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 w:eastAsia="zh-CN"/>
        </w:rPr>
      </w:pPr>
      <w:r>
        <w:rPr>
          <w:rFonts w:hint="eastAsia" w:ascii="仿宋" w:hAnsi="仿宋" w:eastAsia="仿宋" w:cs="仿宋"/>
          <w:sz w:val="32"/>
          <w:szCs w:val="32"/>
          <w:lang w:eastAsia="zh-CN"/>
        </w:rPr>
        <w:t>根据</w:t>
      </w:r>
      <w:r>
        <w:rPr>
          <w:rFonts w:hint="eastAsia" w:ascii="仿宋" w:hAnsi="仿宋" w:eastAsia="仿宋" w:cs="仿宋"/>
          <w:sz w:val="32"/>
          <w:szCs w:val="32"/>
        </w:rPr>
        <w:t>益阳市赫山区守法普法工作办公</w:t>
      </w:r>
      <w:r>
        <w:rPr>
          <w:rFonts w:hint="eastAsia" w:ascii="仿宋" w:hAnsi="仿宋" w:eastAsia="仿宋" w:cs="仿宋"/>
          <w:sz w:val="32"/>
          <w:szCs w:val="32"/>
        </w:rPr>
        <w:t>室</w:t>
      </w:r>
      <w:r>
        <w:rPr>
          <w:rFonts w:hint="eastAsia" w:ascii="仿宋" w:hAnsi="仿宋" w:eastAsia="仿宋" w:cs="仿宋"/>
          <w:sz w:val="32"/>
          <w:szCs w:val="32"/>
        </w:rPr>
        <w:t>印发《赫山区区直国家机关及中央、省、市驻区有关单位普法责任清单》《赫山区区直国家机关及中央、省、市驻区有关单位2023年度普法重点任务清单》的通知</w:t>
      </w:r>
      <w:r>
        <w:rPr>
          <w:rFonts w:hint="eastAsia" w:ascii="仿宋" w:hAnsi="仿宋" w:eastAsia="仿宋" w:cs="仿宋"/>
          <w:sz w:val="32"/>
          <w:szCs w:val="32"/>
          <w:lang w:eastAsia="zh-CN"/>
        </w:rPr>
        <w:t>（</w:t>
      </w:r>
      <w:r>
        <w:rPr>
          <w:rFonts w:hint="eastAsia" w:ascii="仿宋" w:hAnsi="仿宋" w:eastAsia="仿宋" w:cs="仿宋"/>
          <w:sz w:val="32"/>
          <w:szCs w:val="32"/>
        </w:rPr>
        <w:t>益赫普法办〔2023〕</w:t>
      </w:r>
      <w:r>
        <w:rPr>
          <w:rFonts w:hint="eastAsia" w:ascii="仿宋" w:hAnsi="仿宋" w:eastAsia="仿宋" w:cs="仿宋"/>
          <w:sz w:val="32"/>
          <w:szCs w:val="32"/>
          <w:lang w:val="en-US" w:eastAsia="zh-CN"/>
        </w:rPr>
        <w:t>5</w:t>
      </w:r>
      <w:r>
        <w:rPr>
          <w:rFonts w:hint="eastAsia" w:ascii="仿宋" w:hAnsi="仿宋" w:eastAsia="仿宋" w:cs="仿宋"/>
          <w:sz w:val="32"/>
          <w:szCs w:val="32"/>
        </w:rPr>
        <w:t>号</w:t>
      </w:r>
      <w:r>
        <w:rPr>
          <w:rFonts w:hint="eastAsia" w:ascii="仿宋" w:hAnsi="仿宋" w:eastAsia="仿宋" w:cs="仿宋"/>
          <w:sz w:val="32"/>
          <w:szCs w:val="32"/>
          <w:lang w:eastAsia="zh-CN"/>
        </w:rPr>
        <w:t>），现将区财政局</w:t>
      </w:r>
      <w:r>
        <w:rPr>
          <w:rFonts w:hint="eastAsia" w:ascii="仿宋" w:hAnsi="仿宋" w:eastAsia="仿宋" w:cs="仿宋"/>
          <w:sz w:val="32"/>
          <w:szCs w:val="32"/>
        </w:rPr>
        <w:t>普法责任清单及2023年普法重点任务清单予以公布。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
        </w:rPr>
      </w:pPr>
      <w:r>
        <w:rPr>
          <w:rFonts w:hint="eastAsia" w:ascii="黑体" w:hAnsi="黑体" w:eastAsia="黑体" w:cs="黑体"/>
          <w:sz w:val="32"/>
          <w:szCs w:val="32"/>
          <w:lang w:val="en" w:eastAsia="zh-CN"/>
        </w:rPr>
        <w:t>一、赫山区财政局</w:t>
      </w:r>
      <w:r>
        <w:rPr>
          <w:rFonts w:hint="eastAsia" w:ascii="黑体" w:hAnsi="黑体" w:eastAsia="黑体" w:cs="黑体"/>
          <w:sz w:val="32"/>
          <w:szCs w:val="32"/>
          <w:lang w:val="en"/>
        </w:rPr>
        <w:t>202</w:t>
      </w:r>
      <w:r>
        <w:rPr>
          <w:rFonts w:hint="eastAsia" w:ascii="黑体" w:hAnsi="黑体" w:eastAsia="黑体" w:cs="黑体"/>
          <w:sz w:val="32"/>
          <w:szCs w:val="32"/>
        </w:rPr>
        <w:t>3</w:t>
      </w:r>
      <w:r>
        <w:rPr>
          <w:rFonts w:hint="eastAsia" w:ascii="黑体" w:hAnsi="黑体" w:eastAsia="黑体" w:cs="黑体"/>
          <w:sz w:val="32"/>
          <w:szCs w:val="32"/>
          <w:lang w:val="en"/>
        </w:rPr>
        <w:t>年度</w:t>
      </w:r>
      <w:bookmarkStart w:id="0" w:name="_GoBack"/>
      <w:bookmarkEnd w:id="0"/>
      <w:r>
        <w:rPr>
          <w:rFonts w:hint="eastAsia" w:ascii="黑体" w:hAnsi="黑体" w:eastAsia="黑体" w:cs="黑体"/>
          <w:sz w:val="32"/>
          <w:szCs w:val="32"/>
          <w:lang w:val="en"/>
        </w:rPr>
        <w:t>普法责任清单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
        </w:rPr>
      </w:pPr>
      <w:r>
        <w:rPr>
          <w:rFonts w:hint="eastAsia" w:ascii="楷体" w:hAnsi="楷体" w:eastAsia="楷体" w:cs="楷体"/>
          <w:b/>
          <w:bCs/>
          <w:sz w:val="32"/>
          <w:szCs w:val="32"/>
          <w:lang w:val="en" w:eastAsia="zh-CN"/>
        </w:rPr>
        <w:t>（一）</w:t>
      </w:r>
      <w:r>
        <w:rPr>
          <w:rFonts w:hint="eastAsia" w:ascii="楷体" w:hAnsi="楷体" w:eastAsia="楷体" w:cs="楷体"/>
          <w:b/>
          <w:bCs/>
          <w:sz w:val="32"/>
          <w:szCs w:val="32"/>
          <w:lang w:val="en"/>
        </w:rPr>
        <w:t>共性清单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rPr>
        <w:t>深入学习宣传贯彻党的二十大精神</w:t>
      </w:r>
      <w:r>
        <w:rPr>
          <w:rFonts w:hint="eastAsia" w:ascii="仿宋" w:hAnsi="仿宋" w:eastAsia="仿宋" w:cs="仿宋"/>
          <w:sz w:val="32"/>
          <w:szCs w:val="32"/>
        </w:rPr>
        <w:t>和</w:t>
      </w:r>
      <w:r>
        <w:rPr>
          <w:rFonts w:hint="eastAsia" w:ascii="仿宋" w:hAnsi="仿宋" w:eastAsia="仿宋" w:cs="仿宋"/>
          <w:sz w:val="32"/>
          <w:szCs w:val="32"/>
          <w:lang w:val="en"/>
        </w:rPr>
        <w:t>习近平法治思想，持续深入开展宪法宣传教育，深入开展民法典的宣传普及，深入学习宣传党内法规</w:t>
      </w:r>
      <w:r>
        <w:rPr>
          <w:rFonts w:hint="eastAsia" w:ascii="仿宋" w:hAnsi="仿宋" w:eastAsia="仿宋" w:cs="仿宋"/>
          <w:sz w:val="32"/>
          <w:szCs w:val="32"/>
        </w:rPr>
        <w:t>，</w:t>
      </w:r>
      <w:r>
        <w:rPr>
          <w:rFonts w:hint="eastAsia" w:ascii="仿宋" w:hAnsi="仿宋" w:eastAsia="仿宋" w:cs="仿宋"/>
          <w:sz w:val="32"/>
          <w:szCs w:val="32"/>
          <w:lang w:val="en"/>
        </w:rPr>
        <w:t>深入宣传促进高质量发展、助推“三高四新”战略实施相关的法律法规，深入宣传与社会治理现代化密切相关的法律法规，深入宣传促进高质量发展、助推全区重大发展战略实施相关的法律法规，积极开展优化营商环境条例</w:t>
      </w:r>
      <w:r>
        <w:rPr>
          <w:rFonts w:hint="eastAsia" w:ascii="仿宋" w:hAnsi="仿宋" w:eastAsia="仿宋" w:cs="仿宋"/>
          <w:sz w:val="32"/>
          <w:szCs w:val="32"/>
        </w:rPr>
        <w:t>、</w:t>
      </w:r>
      <w:r>
        <w:rPr>
          <w:rFonts w:hint="eastAsia" w:ascii="仿宋" w:hAnsi="仿宋" w:eastAsia="仿宋" w:cs="仿宋"/>
          <w:sz w:val="32"/>
          <w:szCs w:val="32"/>
        </w:rPr>
        <w:t>湖南省优化营商环境规定、</w:t>
      </w:r>
      <w:r>
        <w:rPr>
          <w:rFonts w:hint="eastAsia" w:ascii="仿宋" w:hAnsi="仿宋" w:eastAsia="仿宋" w:cs="仿宋"/>
          <w:sz w:val="32"/>
          <w:szCs w:val="32"/>
          <w:lang w:val="en"/>
        </w:rPr>
        <w:t>益阳市文明行为促进条例</w:t>
      </w:r>
      <w:r>
        <w:rPr>
          <w:rFonts w:hint="eastAsia" w:ascii="仿宋" w:hAnsi="仿宋" w:eastAsia="仿宋" w:cs="仿宋"/>
          <w:sz w:val="32"/>
          <w:szCs w:val="32"/>
        </w:rPr>
        <w:t>、益阳市生活垃圾分类管理条例</w:t>
      </w:r>
      <w:r>
        <w:rPr>
          <w:rFonts w:hint="eastAsia" w:ascii="仿宋" w:hAnsi="仿宋" w:eastAsia="仿宋" w:cs="仿宋"/>
          <w:sz w:val="32"/>
          <w:szCs w:val="32"/>
          <w:lang w:val="en"/>
        </w:rPr>
        <w:t>等法律法规宣传</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个性清单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lang w:val="en"/>
        </w:rPr>
        <w:t>重点宣传普及预算法</w:t>
      </w:r>
      <w:r>
        <w:rPr>
          <w:rFonts w:hint="eastAsia" w:ascii="仿宋" w:hAnsi="仿宋" w:eastAsia="仿宋" w:cs="仿宋"/>
          <w:sz w:val="32"/>
          <w:szCs w:val="32"/>
          <w:lang w:val="en"/>
        </w:rPr>
        <w:t>、</w:t>
      </w:r>
      <w:r>
        <w:rPr>
          <w:rFonts w:hint="eastAsia" w:ascii="仿宋" w:hAnsi="仿宋" w:eastAsia="仿宋" w:cs="仿宋"/>
          <w:sz w:val="32"/>
          <w:szCs w:val="32"/>
          <w:lang w:val="en"/>
        </w:rPr>
        <w:t>预算法实施条例、政府采购法</w:t>
      </w:r>
      <w:r>
        <w:rPr>
          <w:rFonts w:hint="eastAsia" w:ascii="仿宋" w:hAnsi="仿宋" w:eastAsia="仿宋" w:cs="仿宋"/>
          <w:sz w:val="32"/>
          <w:szCs w:val="32"/>
          <w:lang w:val="en"/>
        </w:rPr>
        <w:t>、</w:t>
      </w:r>
      <w:r>
        <w:rPr>
          <w:rFonts w:hint="eastAsia" w:ascii="仿宋" w:hAnsi="仿宋" w:eastAsia="仿宋" w:cs="仿宋"/>
          <w:sz w:val="32"/>
          <w:szCs w:val="32"/>
          <w:lang w:val="en"/>
        </w:rPr>
        <w:t>政府采购法实施条例、注册会计师法、会计法、</w:t>
      </w:r>
      <w:r>
        <w:rPr>
          <w:rFonts w:hint="eastAsia" w:ascii="仿宋" w:hAnsi="仿宋" w:eastAsia="仿宋" w:cs="仿宋"/>
          <w:sz w:val="32"/>
          <w:szCs w:val="32"/>
        </w:rPr>
        <w:t>湖南省财政厅行政处罚裁量权基准实施办法</w:t>
      </w:r>
      <w:r>
        <w:rPr>
          <w:rFonts w:hint="eastAsia" w:ascii="仿宋" w:hAnsi="仿宋" w:eastAsia="仿宋" w:cs="仿宋"/>
          <w:sz w:val="32"/>
          <w:szCs w:val="32"/>
          <w:lang w:val="en"/>
        </w:rPr>
        <w:t>、</w:t>
      </w:r>
      <w:r>
        <w:rPr>
          <w:rFonts w:hint="eastAsia" w:ascii="仿宋" w:hAnsi="仿宋" w:eastAsia="仿宋" w:cs="仿宋"/>
          <w:sz w:val="32"/>
          <w:szCs w:val="32"/>
        </w:rPr>
        <w:t>湖南省财政厅行政处罚裁量权基准</w:t>
      </w:r>
      <w:r>
        <w:rPr>
          <w:rFonts w:hint="eastAsia" w:ascii="仿宋" w:hAnsi="仿宋" w:eastAsia="仿宋" w:cs="仿宋"/>
          <w:sz w:val="32"/>
          <w:szCs w:val="32"/>
          <w:lang w:val="en"/>
        </w:rPr>
        <w:t>等方面的法律法规。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
        </w:rPr>
      </w:pPr>
      <w:r>
        <w:rPr>
          <w:rFonts w:hint="eastAsia" w:ascii="黑体" w:hAnsi="黑体" w:eastAsia="黑体" w:cs="黑体"/>
          <w:sz w:val="32"/>
          <w:szCs w:val="32"/>
          <w:lang w:val="en" w:eastAsia="zh-CN"/>
        </w:rPr>
        <w:t>二、赫山区财政局</w:t>
      </w:r>
      <w:r>
        <w:rPr>
          <w:rFonts w:hint="eastAsia" w:ascii="黑体" w:hAnsi="黑体" w:eastAsia="黑体" w:cs="黑体"/>
          <w:sz w:val="32"/>
          <w:szCs w:val="32"/>
          <w:lang w:val="en"/>
        </w:rPr>
        <w:t>202</w:t>
      </w:r>
      <w:r>
        <w:rPr>
          <w:rFonts w:hint="eastAsia" w:ascii="黑体" w:hAnsi="黑体" w:eastAsia="黑体" w:cs="黑体"/>
          <w:sz w:val="32"/>
          <w:szCs w:val="32"/>
        </w:rPr>
        <w:t>3</w:t>
      </w:r>
      <w:r>
        <w:rPr>
          <w:rFonts w:hint="eastAsia" w:ascii="黑体" w:hAnsi="黑体" w:eastAsia="黑体" w:cs="黑体"/>
          <w:sz w:val="32"/>
          <w:szCs w:val="32"/>
          <w:lang w:val="en"/>
        </w:rPr>
        <w:t>年度普法重点任务清单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
        </w:rPr>
      </w:pPr>
      <w:r>
        <w:rPr>
          <w:rFonts w:hint="eastAsia" w:ascii="楷体" w:hAnsi="楷体" w:eastAsia="楷体" w:cs="楷体"/>
          <w:b/>
          <w:bCs/>
          <w:sz w:val="32"/>
          <w:szCs w:val="32"/>
          <w:lang w:val="en" w:eastAsia="zh-CN"/>
        </w:rPr>
        <w:t>（一）</w:t>
      </w:r>
      <w:r>
        <w:rPr>
          <w:rFonts w:hint="eastAsia" w:ascii="楷体" w:hAnsi="楷体" w:eastAsia="楷体" w:cs="楷体"/>
          <w:b/>
          <w:bCs/>
          <w:sz w:val="32"/>
          <w:szCs w:val="32"/>
          <w:lang w:val="en"/>
        </w:rPr>
        <w:t>共性指标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1.深入学习宣传习近平法治思想，将相关内容纳入年内党委（党组）中心组学习内容和本单位、本系统法治培训内容，开展宣讲不少于1次。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2.突出宣传宪法，开展宪法进机关活动，组织系统干部开展日常宪法学习宣传，集中组织好本系统“宪法宣传周”活动。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3.深入学习《民法典》，年内组织学习或宣传不少于1次。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4.落实党委（党组）理论学习中心组学习制度，年内组织学法不少于2次。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5.落实领导干部年终述法制度，在年度述职中加入述法内容。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健全完善国家工作人员日常学法制度、法治培训制度、学法用法考核制度，年内举办法治专题培训班或法治学习讲座不少于1次。组织做好本单位工作人员网上学法，年内课时达标率100%，应考人员参考率100%，合格率100%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7.落实国家工作人员旁听庭审制度，组织网上集中观看或是现场集中旁听庭审，年内不少于1次。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8.在部门单位门户网站、自办刊物、官方微博、微信公众号开辟法治宣传专栏（专题），设置“以案释法”栏目，定期发布普法宣传内容和“以案释法”案例，年内报送不少于3个典型案例。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9.有乡村振兴联系点的单位，结合乡村振兴联系点打造本单位普法联系点，有针对性地宣传普及本部门与群众生产生活和乡村治理密切相关的法律法规，年内开展“送法下乡”活动不少于1次。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10.认真贯彻落实《湖南省法治社会建设实施方案（2021-2025年）》，制定年度任务清单并抓好组织实施。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val="en"/>
        </w:rPr>
        <w:t>学习优化营商环境条例、益阳市文明行为促进条例，年内组织学习或宣传不少于1次。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rPr>
        <w:t>12.认真做好全区“八五”普法规划中期评估和总结工作。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
        </w:rPr>
      </w:pPr>
      <w:r>
        <w:rPr>
          <w:rFonts w:hint="eastAsia" w:ascii="楷体" w:hAnsi="楷体" w:eastAsia="楷体" w:cs="楷体"/>
          <w:b/>
          <w:bCs/>
          <w:sz w:val="32"/>
          <w:szCs w:val="32"/>
          <w:lang w:eastAsia="zh-CN"/>
        </w:rPr>
        <w:t>（二）</w:t>
      </w:r>
      <w:r>
        <w:rPr>
          <w:rFonts w:hint="eastAsia" w:ascii="楷体" w:hAnsi="楷体" w:eastAsia="楷体" w:cs="楷体"/>
          <w:b/>
          <w:bCs/>
          <w:sz w:val="32"/>
          <w:szCs w:val="32"/>
          <w:lang w:val="en"/>
        </w:rPr>
        <w:t>个性指标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lang w:val="en"/>
        </w:rPr>
        <w:t>1.落实党组中心组学法、领导干部任前考法、年终述法、负责人出庭应诉等学法用法制度。全面培训财政干部。落实公务员、执法人员、新进公务员法律知识培训制度和国家工作人员旁听庭审制度，组织机关财政干部参加全省国家工作人员网上学法考法。扎实做好管理服务对象和社会公众普法。落实以案释法制度，在行政执法、管理、服务过程中主动向执法对象、管理对象、服务对象和社会公众释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lang w:val="en"/>
        </w:rPr>
        <w:t>2.通过培训、讲座、媒体宣传等多种方式，对预算法及其实施条例、政府采购法及其实施条例、注册会计师法、会计法、行政事业性国有资产管理条例、关于进一步加强财会监督工作的意见、关于进一步加强财会监督工作的实施方案等财政法律法规进行学习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DQyMDc3NWFlNmFmMTdiNTEwNTE1NWMwNjdiN2UifQ=="/>
  </w:docVars>
  <w:rsids>
    <w:rsidRoot w:val="00000000"/>
    <w:rsid w:val="1CDB0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2023-09-19T08:09:50Z</dcterms:created>
  <dc:creator>Administrator</dc:creator>
  <cp:lastModifiedBy>Administrator</cp:lastModifiedBy>
  <dcterms:modified xsi:type="dcterms:W3CDTF">2023-09-19T08:21:04Z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3BECD805E4284D0E9C1F6D7C905B63D1_12</vt:lpwstr>
  </property>
</Properties>
</file>