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9C" w:rsidRDefault="003D7B9C">
      <w:pPr>
        <w:ind w:firstLineChars="200" w:firstLine="720"/>
        <w:jc w:val="center"/>
        <w:rPr>
          <w:rFonts w:ascii="黑体" w:eastAsia="黑体" w:hAnsi="黑体" w:cs="黑体"/>
          <w:bCs/>
          <w:color w:val="000000"/>
          <w:kern w:val="0"/>
          <w:sz w:val="36"/>
          <w:szCs w:val="36"/>
        </w:rPr>
      </w:pPr>
    </w:p>
    <w:p w:rsidR="003D7B9C" w:rsidRDefault="008E62D3">
      <w:pPr>
        <w:ind w:firstLineChars="200" w:firstLine="720"/>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益阳市赫山区人民政府办公室</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年度部门</w:t>
      </w:r>
    </w:p>
    <w:p w:rsidR="003D7B9C" w:rsidRDefault="008E62D3">
      <w:pPr>
        <w:ind w:firstLineChars="200" w:firstLine="720"/>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整体支出绩效评价报告</w:t>
      </w:r>
    </w:p>
    <w:p w:rsidR="003D7B9C" w:rsidRDefault="003D7B9C">
      <w:pPr>
        <w:ind w:firstLineChars="200" w:firstLine="720"/>
        <w:jc w:val="center"/>
        <w:rPr>
          <w:rFonts w:ascii="黑体" w:eastAsia="黑体" w:hAnsi="黑体" w:cs="黑体"/>
          <w:bCs/>
          <w:color w:val="000000"/>
          <w:kern w:val="0"/>
          <w:sz w:val="36"/>
          <w:szCs w:val="36"/>
        </w:rPr>
      </w:pP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根据《益阳市赫山区财政局关于做好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号）文件精神，我单位从预算配置、预算执行、预算管理、职责履行、履职效益等五方面入手，对照《部门整体支出绩效评价指标表》，认真负责、客观公正地开展</w:t>
      </w:r>
      <w:r>
        <w:rPr>
          <w:rFonts w:ascii="仿宋" w:eastAsia="仿宋" w:hAnsi="仿宋" w:cs="仿宋" w:hint="eastAsia"/>
          <w:sz w:val="30"/>
          <w:szCs w:val="30"/>
        </w:rPr>
        <w:t>2021</w:t>
      </w:r>
      <w:r>
        <w:rPr>
          <w:rFonts w:ascii="仿宋" w:eastAsia="仿宋" w:hAnsi="仿宋" w:cs="仿宋" w:hint="eastAsia"/>
          <w:sz w:val="30"/>
          <w:szCs w:val="30"/>
        </w:rPr>
        <w:t>年度部门整体支出绩效自评工作，自评综合得分</w:t>
      </w:r>
      <w:r>
        <w:rPr>
          <w:rFonts w:ascii="仿宋" w:eastAsia="仿宋" w:hAnsi="仿宋" w:cs="仿宋" w:hint="eastAsia"/>
          <w:sz w:val="30"/>
          <w:szCs w:val="30"/>
        </w:rPr>
        <w:t>93</w:t>
      </w:r>
      <w:r>
        <w:rPr>
          <w:rFonts w:ascii="仿宋" w:eastAsia="仿宋" w:hAnsi="仿宋" w:cs="仿宋" w:hint="eastAsia"/>
          <w:sz w:val="30"/>
          <w:szCs w:val="30"/>
        </w:rPr>
        <w:t>分，现将相关情况报告如下：</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一、部门、单位基本情况</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（一）协助区政府领导审核或组</w:t>
      </w:r>
      <w:r>
        <w:rPr>
          <w:rFonts w:ascii="仿宋" w:eastAsia="仿宋" w:hAnsi="仿宋" w:cs="仿宋" w:hint="eastAsia"/>
          <w:spacing w:val="-6"/>
          <w:sz w:val="30"/>
          <w:szCs w:val="30"/>
        </w:rPr>
        <w:t>织起草以区政府、区政府办公室名义发布的公文，受理区政府工作部门等递交的请示文件</w:t>
      </w:r>
      <w:r>
        <w:rPr>
          <w:rFonts w:ascii="仿宋" w:eastAsia="仿宋" w:hAnsi="仿宋" w:cs="仿宋" w:hint="eastAsia"/>
          <w:sz w:val="30"/>
          <w:szCs w:val="30"/>
        </w:rPr>
        <w:t>。</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（二）起草《政府工作报告》和区政府重要文稿。</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（三）负责全区经济社会发展监测分析和政务信息工作；组织对重大政策进行深入研究。</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（四）负责区政府常务会议、区长办公会议和区政府全会服务工作，协助区政府领导组织会议决定事项的实施。</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（五）负责行政审批制度改革工作，推进审批服务便民化。</w:t>
      </w:r>
    </w:p>
    <w:p w:rsidR="003D7B9C" w:rsidRDefault="008E62D3">
      <w:pPr>
        <w:pStyle w:val="1"/>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（六）</w:t>
      </w:r>
      <w:r>
        <w:rPr>
          <w:rFonts w:ascii="仿宋" w:eastAsia="仿宋" w:hAnsi="仿宋" w:cs="仿宋" w:hint="eastAsia"/>
          <w:spacing w:val="-6"/>
          <w:sz w:val="30"/>
          <w:szCs w:val="30"/>
        </w:rPr>
        <w:t>负责区政府总值班室的管理工作，及时报告重要情况，</w:t>
      </w:r>
      <w:r>
        <w:rPr>
          <w:rFonts w:ascii="仿宋" w:eastAsia="仿宋" w:hAnsi="仿宋" w:cs="仿宋" w:hint="eastAsia"/>
          <w:sz w:val="30"/>
          <w:szCs w:val="30"/>
        </w:rPr>
        <w:t>传达和督促落实区政府领导指示。</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（七）负责区长热线，受处市长热线。</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（八）负责对全区经济社会发展</w:t>
      </w:r>
      <w:r>
        <w:rPr>
          <w:rFonts w:ascii="仿宋" w:eastAsia="仿宋" w:hAnsi="仿宋" w:cs="仿宋" w:hint="eastAsia"/>
          <w:sz w:val="30"/>
          <w:szCs w:val="30"/>
        </w:rPr>
        <w:t>中的重大课题进行调查研究，提出政策建议，制定可行性方案。</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（九）</w:t>
      </w:r>
      <w:r>
        <w:rPr>
          <w:rFonts w:ascii="仿宋" w:eastAsia="仿宋" w:hAnsi="仿宋" w:cs="仿宋" w:hint="eastAsia"/>
          <w:spacing w:val="-6"/>
          <w:sz w:val="30"/>
          <w:szCs w:val="30"/>
        </w:rPr>
        <w:t>负责区政府和区政府办公室信息发布，编写区政府大事记。</w:t>
      </w:r>
    </w:p>
    <w:p w:rsidR="003D7B9C" w:rsidRDefault="008E62D3">
      <w:pPr>
        <w:spacing w:line="600" w:lineRule="exact"/>
        <w:ind w:firstLineChars="200" w:firstLine="600"/>
        <w:rPr>
          <w:rFonts w:ascii="仿宋" w:eastAsia="仿宋" w:hAnsi="仿宋" w:cs="仿宋"/>
          <w:spacing w:val="-6"/>
          <w:sz w:val="30"/>
          <w:szCs w:val="30"/>
        </w:rPr>
      </w:pPr>
      <w:r>
        <w:rPr>
          <w:rFonts w:ascii="仿宋" w:eastAsia="仿宋" w:hAnsi="仿宋" w:cs="仿宋" w:hint="eastAsia"/>
          <w:sz w:val="30"/>
          <w:szCs w:val="30"/>
        </w:rPr>
        <w:lastRenderedPageBreak/>
        <w:t>（十）</w:t>
      </w:r>
      <w:r>
        <w:rPr>
          <w:rFonts w:ascii="仿宋" w:eastAsia="仿宋" w:hAnsi="仿宋" w:cs="仿宋" w:hint="eastAsia"/>
          <w:spacing w:val="-6"/>
          <w:sz w:val="30"/>
          <w:szCs w:val="30"/>
        </w:rPr>
        <w:t>负责组织协调人大代表建议、政协委员提案办理工作。</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十一）推进全区金融市场（资本市场）体系建设、社会信用体系建设，规范金融市场秩序；组织开展政府、企业、银行、保险机构之间合作，促进金融业发展；协调处置和防范、化解各类金融风险，维护地方金融稳定。</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（十二）负责全区机关事务行政管理相关工作，负责区政府和区政府办公室机关的后勤保障、财务管理和有关接待工作。</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（十三）负责牵头落实省、市重点民生</w:t>
      </w:r>
      <w:r>
        <w:rPr>
          <w:rFonts w:ascii="仿宋" w:eastAsia="仿宋" w:hAnsi="仿宋" w:cs="仿宋" w:hint="eastAsia"/>
          <w:sz w:val="30"/>
          <w:szCs w:val="30"/>
        </w:rPr>
        <w:t>实事办理考核工作。</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（十四）负责督促、检查区政府及其有关部门重要决策、工作部署以及区级领导交办事项的贯彻落实。</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（十五）负责全区政府系统办公室业务指导。</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b/>
          <w:bCs/>
          <w:sz w:val="30"/>
          <w:szCs w:val="30"/>
        </w:rPr>
      </w:pPr>
      <w:r>
        <w:rPr>
          <w:rFonts w:ascii="仿宋" w:eastAsia="仿宋" w:hAnsi="仿宋" w:cs="仿宋" w:hint="eastAsia"/>
          <w:sz w:val="30"/>
          <w:szCs w:val="30"/>
        </w:rPr>
        <w:t>（十六）完成区委、区政府和区政府领导交办的其他任务</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赫山区政府办系行政独立预算单位，有</w:t>
      </w:r>
      <w:r>
        <w:rPr>
          <w:rFonts w:ascii="仿宋" w:eastAsia="仿宋" w:hAnsi="仿宋" w:cs="仿宋" w:hint="eastAsia"/>
          <w:sz w:val="30"/>
          <w:szCs w:val="30"/>
        </w:rPr>
        <w:t>13</w:t>
      </w:r>
      <w:r>
        <w:rPr>
          <w:rFonts w:ascii="仿宋" w:eastAsia="仿宋" w:hAnsi="仿宋" w:cs="仿宋" w:hint="eastAsia"/>
          <w:sz w:val="30"/>
          <w:szCs w:val="30"/>
        </w:rPr>
        <w:t>个内设机构</w:t>
      </w:r>
      <w:r>
        <w:rPr>
          <w:rFonts w:ascii="仿宋" w:eastAsia="仿宋" w:hAnsi="仿宋" w:cs="仿宋" w:hint="eastAsia"/>
          <w:sz w:val="30"/>
          <w:szCs w:val="30"/>
        </w:rPr>
        <w:t>:</w:t>
      </w:r>
      <w:r>
        <w:rPr>
          <w:rFonts w:ascii="仿宋" w:eastAsia="仿宋" w:hAnsi="仿宋" w:cs="仿宋" w:hint="eastAsia"/>
          <w:sz w:val="30"/>
          <w:szCs w:val="30"/>
        </w:rPr>
        <w:t>区经济研究室、文秘机要室、综合信息室、政工内务室、总值班室、区长热线办、行政审批服务综合室、政务公开办、区金融办、建议提案办、实事办、地方志编纂办、督查室。</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区政府办公室机关行政编制</w:t>
      </w:r>
      <w:r>
        <w:rPr>
          <w:rFonts w:ascii="仿宋" w:eastAsia="仿宋" w:hAnsi="仿宋" w:cs="仿宋" w:hint="eastAsia"/>
          <w:sz w:val="30"/>
          <w:szCs w:val="30"/>
        </w:rPr>
        <w:t>41</w:t>
      </w:r>
      <w:r>
        <w:rPr>
          <w:rFonts w:ascii="仿宋" w:eastAsia="仿宋" w:hAnsi="仿宋" w:cs="仿宋" w:hint="eastAsia"/>
          <w:sz w:val="30"/>
          <w:szCs w:val="30"/>
        </w:rPr>
        <w:t>名。设主任</w:t>
      </w:r>
      <w:r>
        <w:rPr>
          <w:rFonts w:ascii="仿宋" w:eastAsia="仿宋" w:hAnsi="仿宋" w:cs="仿宋" w:hint="eastAsia"/>
          <w:sz w:val="30"/>
          <w:szCs w:val="30"/>
        </w:rPr>
        <w:t>1</w:t>
      </w:r>
      <w:r>
        <w:rPr>
          <w:rFonts w:ascii="仿宋" w:eastAsia="仿宋" w:hAnsi="仿宋" w:cs="仿宋" w:hint="eastAsia"/>
          <w:sz w:val="30"/>
          <w:szCs w:val="30"/>
        </w:rPr>
        <w:t>名（正科级领导职数），副主任</w:t>
      </w:r>
      <w:r>
        <w:rPr>
          <w:rFonts w:ascii="仿宋" w:eastAsia="仿宋" w:hAnsi="仿宋" w:cs="仿宋" w:hint="eastAsia"/>
          <w:sz w:val="30"/>
          <w:szCs w:val="30"/>
        </w:rPr>
        <w:t>7</w:t>
      </w:r>
      <w:r>
        <w:rPr>
          <w:rFonts w:ascii="仿宋" w:eastAsia="仿宋" w:hAnsi="仿宋" w:cs="仿宋" w:hint="eastAsia"/>
          <w:sz w:val="30"/>
          <w:szCs w:val="30"/>
        </w:rPr>
        <w:t>名（副科级领导职数），督查专员</w:t>
      </w:r>
      <w:r>
        <w:rPr>
          <w:rFonts w:ascii="仿宋" w:eastAsia="仿宋" w:hAnsi="仿宋" w:cs="仿宋" w:hint="eastAsia"/>
          <w:sz w:val="30"/>
          <w:szCs w:val="30"/>
        </w:rPr>
        <w:t>1</w:t>
      </w:r>
      <w:r>
        <w:rPr>
          <w:rFonts w:ascii="仿宋" w:eastAsia="仿宋" w:hAnsi="仿宋" w:cs="仿宋" w:hint="eastAsia"/>
          <w:sz w:val="30"/>
          <w:szCs w:val="30"/>
        </w:rPr>
        <w:t>名（副科级领导职数）兼督查室主任。内设机构均设正职</w:t>
      </w:r>
      <w:r>
        <w:rPr>
          <w:rFonts w:ascii="仿宋" w:eastAsia="仿宋" w:hAnsi="仿宋" w:cs="仿宋" w:hint="eastAsia"/>
          <w:sz w:val="30"/>
          <w:szCs w:val="30"/>
        </w:rPr>
        <w:t>1</w:t>
      </w:r>
      <w:r>
        <w:rPr>
          <w:rFonts w:ascii="仿宋" w:eastAsia="仿宋" w:hAnsi="仿宋" w:cs="仿宋" w:hint="eastAsia"/>
          <w:sz w:val="30"/>
          <w:szCs w:val="30"/>
        </w:rPr>
        <w:t>名。机关后勤服务全额拨款事业编制</w:t>
      </w:r>
      <w:r>
        <w:rPr>
          <w:rFonts w:ascii="仿宋" w:eastAsia="仿宋" w:hAnsi="仿宋" w:cs="仿宋" w:hint="eastAsia"/>
          <w:sz w:val="30"/>
          <w:szCs w:val="30"/>
        </w:rPr>
        <w:t>5</w:t>
      </w:r>
      <w:r>
        <w:rPr>
          <w:rFonts w:ascii="仿宋" w:eastAsia="仿宋" w:hAnsi="仿宋" w:cs="仿宋" w:hint="eastAsia"/>
          <w:sz w:val="30"/>
          <w:szCs w:val="30"/>
        </w:rPr>
        <w:t>名（后勤服务人员只出不进，编制空一减一）。另区政府办所属事业单位有：益阳市赫山区信息和数据中心，属副科级公益一类事业单位，核定全额拨款事业编制</w:t>
      </w:r>
      <w:r>
        <w:rPr>
          <w:rFonts w:ascii="仿宋" w:eastAsia="仿宋" w:hAnsi="仿宋" w:cs="仿宋" w:hint="eastAsia"/>
          <w:sz w:val="30"/>
          <w:szCs w:val="30"/>
        </w:rPr>
        <w:t>9</w:t>
      </w:r>
      <w:r>
        <w:rPr>
          <w:rFonts w:ascii="仿宋" w:eastAsia="仿宋" w:hAnsi="仿宋" w:cs="仿宋" w:hint="eastAsia"/>
          <w:sz w:val="30"/>
          <w:szCs w:val="30"/>
        </w:rPr>
        <w:t>名，设主任</w:t>
      </w:r>
      <w:r>
        <w:rPr>
          <w:rFonts w:ascii="仿宋" w:eastAsia="仿宋" w:hAnsi="仿宋" w:cs="仿宋" w:hint="eastAsia"/>
          <w:sz w:val="30"/>
          <w:szCs w:val="30"/>
        </w:rPr>
        <w:t>1</w:t>
      </w:r>
      <w:r>
        <w:rPr>
          <w:rFonts w:ascii="仿宋" w:eastAsia="仿宋" w:hAnsi="仿宋" w:cs="仿宋" w:hint="eastAsia"/>
          <w:sz w:val="30"/>
          <w:szCs w:val="30"/>
        </w:rPr>
        <w:t>名，副主任</w:t>
      </w:r>
      <w:r>
        <w:rPr>
          <w:rFonts w:ascii="仿宋" w:eastAsia="仿宋" w:hAnsi="仿宋" w:cs="仿宋" w:hint="eastAsia"/>
          <w:sz w:val="30"/>
          <w:szCs w:val="30"/>
        </w:rPr>
        <w:t>1</w:t>
      </w:r>
      <w:r>
        <w:rPr>
          <w:rFonts w:ascii="仿宋" w:eastAsia="仿宋" w:hAnsi="仿宋" w:cs="仿宋" w:hint="eastAsia"/>
          <w:sz w:val="30"/>
          <w:szCs w:val="30"/>
        </w:rPr>
        <w:t>名；益阳市赫山区产业发展服务中心，属副科级公益一类事业单位，核定全额拨款事业编制</w:t>
      </w:r>
      <w:r>
        <w:rPr>
          <w:rFonts w:ascii="仿宋" w:eastAsia="仿宋" w:hAnsi="仿宋" w:cs="仿宋" w:hint="eastAsia"/>
          <w:sz w:val="30"/>
          <w:szCs w:val="30"/>
        </w:rPr>
        <w:t>22</w:t>
      </w:r>
      <w:r>
        <w:rPr>
          <w:rFonts w:ascii="仿宋" w:eastAsia="仿宋" w:hAnsi="仿宋" w:cs="仿宋" w:hint="eastAsia"/>
          <w:sz w:val="30"/>
          <w:szCs w:val="30"/>
        </w:rPr>
        <w:t>名，设主任</w:t>
      </w:r>
      <w:r>
        <w:rPr>
          <w:rFonts w:ascii="仿宋" w:eastAsia="仿宋" w:hAnsi="仿宋" w:cs="仿宋" w:hint="eastAsia"/>
          <w:sz w:val="30"/>
          <w:szCs w:val="30"/>
        </w:rPr>
        <w:t>1</w:t>
      </w:r>
      <w:r>
        <w:rPr>
          <w:rFonts w:ascii="仿宋" w:eastAsia="仿宋" w:hAnsi="仿宋" w:cs="仿宋" w:hint="eastAsia"/>
          <w:sz w:val="30"/>
          <w:szCs w:val="30"/>
        </w:rPr>
        <w:t>名，副主任</w:t>
      </w:r>
      <w:r>
        <w:rPr>
          <w:rFonts w:ascii="仿宋" w:eastAsia="仿宋" w:hAnsi="仿宋" w:cs="仿宋" w:hint="eastAsia"/>
          <w:sz w:val="30"/>
          <w:szCs w:val="30"/>
        </w:rPr>
        <w:t>1</w:t>
      </w:r>
      <w:r>
        <w:rPr>
          <w:rFonts w:ascii="仿宋" w:eastAsia="仿宋" w:hAnsi="仿宋" w:cs="仿宋" w:hint="eastAsia"/>
          <w:sz w:val="30"/>
          <w:szCs w:val="30"/>
        </w:rPr>
        <w:t>名。</w:t>
      </w:r>
    </w:p>
    <w:p w:rsidR="003D7B9C" w:rsidRDefault="008E62D3">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截止</w:t>
      </w:r>
      <w:r>
        <w:rPr>
          <w:rFonts w:ascii="仿宋" w:eastAsia="仿宋" w:hAnsi="仿宋" w:cs="仿宋" w:hint="eastAsia"/>
          <w:kern w:val="0"/>
          <w:sz w:val="30"/>
          <w:szCs w:val="30"/>
        </w:rPr>
        <w:t>2021</w:t>
      </w:r>
      <w:r>
        <w:rPr>
          <w:rFonts w:ascii="仿宋" w:eastAsia="仿宋" w:hAnsi="仿宋" w:cs="仿宋" w:hint="eastAsia"/>
          <w:kern w:val="0"/>
          <w:sz w:val="30"/>
          <w:szCs w:val="30"/>
        </w:rPr>
        <w:t>年</w:t>
      </w:r>
      <w:r>
        <w:rPr>
          <w:rFonts w:ascii="仿宋" w:eastAsia="仿宋" w:hAnsi="仿宋" w:cs="仿宋" w:hint="eastAsia"/>
          <w:kern w:val="0"/>
          <w:sz w:val="30"/>
          <w:szCs w:val="30"/>
        </w:rPr>
        <w:t>12</w:t>
      </w:r>
      <w:r>
        <w:rPr>
          <w:rFonts w:ascii="仿宋" w:eastAsia="仿宋" w:hAnsi="仿宋" w:cs="仿宋" w:hint="eastAsia"/>
          <w:kern w:val="0"/>
          <w:sz w:val="30"/>
          <w:szCs w:val="30"/>
        </w:rPr>
        <w:t>月</w:t>
      </w:r>
      <w:r>
        <w:rPr>
          <w:rFonts w:ascii="仿宋" w:eastAsia="仿宋" w:hAnsi="仿宋" w:cs="仿宋" w:hint="eastAsia"/>
          <w:kern w:val="0"/>
          <w:sz w:val="30"/>
          <w:szCs w:val="30"/>
        </w:rPr>
        <w:t>31</w:t>
      </w:r>
      <w:r>
        <w:rPr>
          <w:rFonts w:ascii="仿宋" w:eastAsia="仿宋" w:hAnsi="仿宋" w:cs="仿宋" w:hint="eastAsia"/>
          <w:kern w:val="0"/>
          <w:sz w:val="30"/>
          <w:szCs w:val="30"/>
        </w:rPr>
        <w:t>日区编办核定我单位</w:t>
      </w:r>
      <w:r>
        <w:rPr>
          <w:rFonts w:ascii="仿宋" w:eastAsia="仿宋" w:hAnsi="仿宋" w:cs="仿宋" w:hint="eastAsia"/>
          <w:kern w:val="0"/>
          <w:sz w:val="30"/>
          <w:szCs w:val="30"/>
        </w:rPr>
        <w:t>编制</w:t>
      </w:r>
      <w:r>
        <w:rPr>
          <w:rFonts w:ascii="仿宋" w:eastAsia="仿宋" w:hAnsi="仿宋" w:cs="仿宋" w:hint="eastAsia"/>
          <w:kern w:val="0"/>
          <w:sz w:val="30"/>
          <w:szCs w:val="30"/>
        </w:rPr>
        <w:t>77</w:t>
      </w:r>
      <w:r>
        <w:rPr>
          <w:rFonts w:ascii="仿宋" w:eastAsia="仿宋" w:hAnsi="仿宋" w:cs="仿宋" w:hint="eastAsia"/>
          <w:kern w:val="0"/>
          <w:sz w:val="30"/>
          <w:szCs w:val="30"/>
        </w:rPr>
        <w:t>名，在职人</w:t>
      </w:r>
      <w:r>
        <w:rPr>
          <w:rFonts w:ascii="仿宋" w:eastAsia="仿宋" w:hAnsi="仿宋" w:cs="仿宋" w:hint="eastAsia"/>
          <w:kern w:val="0"/>
          <w:sz w:val="30"/>
          <w:szCs w:val="30"/>
        </w:rPr>
        <w:lastRenderedPageBreak/>
        <w:t>数</w:t>
      </w:r>
      <w:r>
        <w:rPr>
          <w:rFonts w:ascii="仿宋" w:eastAsia="仿宋" w:hAnsi="仿宋" w:cs="仿宋" w:hint="eastAsia"/>
          <w:kern w:val="0"/>
          <w:sz w:val="30"/>
          <w:szCs w:val="30"/>
        </w:rPr>
        <w:t>69</w:t>
      </w:r>
      <w:r>
        <w:rPr>
          <w:rFonts w:ascii="仿宋" w:eastAsia="仿宋" w:hAnsi="仿宋" w:cs="仿宋" w:hint="eastAsia"/>
          <w:kern w:val="0"/>
          <w:sz w:val="30"/>
          <w:szCs w:val="30"/>
        </w:rPr>
        <w:t>人，行政编制</w:t>
      </w:r>
      <w:r>
        <w:rPr>
          <w:rFonts w:ascii="仿宋" w:eastAsia="仿宋" w:hAnsi="仿宋" w:cs="仿宋" w:hint="eastAsia"/>
          <w:kern w:val="0"/>
          <w:sz w:val="30"/>
          <w:szCs w:val="30"/>
        </w:rPr>
        <w:t>39</w:t>
      </w:r>
      <w:r>
        <w:rPr>
          <w:rFonts w:ascii="仿宋" w:eastAsia="仿宋" w:hAnsi="仿宋" w:cs="仿宋" w:hint="eastAsia"/>
          <w:kern w:val="0"/>
          <w:sz w:val="30"/>
          <w:szCs w:val="30"/>
        </w:rPr>
        <w:t>人，事业编制</w:t>
      </w:r>
      <w:r>
        <w:rPr>
          <w:rFonts w:ascii="仿宋" w:eastAsia="仿宋" w:hAnsi="仿宋" w:cs="仿宋" w:hint="eastAsia"/>
          <w:kern w:val="0"/>
          <w:sz w:val="30"/>
          <w:szCs w:val="30"/>
        </w:rPr>
        <w:t>27</w:t>
      </w:r>
      <w:r>
        <w:rPr>
          <w:rFonts w:ascii="仿宋" w:eastAsia="仿宋" w:hAnsi="仿宋" w:cs="仿宋" w:hint="eastAsia"/>
          <w:kern w:val="0"/>
          <w:sz w:val="30"/>
          <w:szCs w:val="30"/>
        </w:rPr>
        <w:t>人，机关工勤人员</w:t>
      </w:r>
      <w:r>
        <w:rPr>
          <w:rFonts w:ascii="仿宋" w:eastAsia="仿宋" w:hAnsi="仿宋" w:cs="仿宋" w:hint="eastAsia"/>
          <w:kern w:val="0"/>
          <w:sz w:val="30"/>
          <w:szCs w:val="30"/>
        </w:rPr>
        <w:t>3</w:t>
      </w:r>
      <w:r>
        <w:rPr>
          <w:rFonts w:ascii="仿宋" w:eastAsia="仿宋" w:hAnsi="仿宋" w:cs="仿宋" w:hint="eastAsia"/>
          <w:kern w:val="0"/>
          <w:sz w:val="30"/>
          <w:szCs w:val="30"/>
        </w:rPr>
        <w:t>人。在职人员控制率为</w:t>
      </w:r>
      <w:r>
        <w:rPr>
          <w:rFonts w:ascii="仿宋" w:eastAsia="仿宋" w:hAnsi="仿宋" w:cs="仿宋" w:hint="eastAsia"/>
          <w:kern w:val="0"/>
          <w:sz w:val="30"/>
          <w:szCs w:val="30"/>
        </w:rPr>
        <w:t>90%</w:t>
      </w:r>
      <w:r>
        <w:rPr>
          <w:rFonts w:ascii="仿宋" w:eastAsia="仿宋" w:hAnsi="仿宋" w:cs="仿宋" w:hint="eastAsia"/>
          <w:kern w:val="0"/>
          <w:sz w:val="30"/>
          <w:szCs w:val="30"/>
        </w:rPr>
        <w:t>。</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二、一般公共预算支出情况</w:t>
      </w:r>
    </w:p>
    <w:p w:rsidR="003D7B9C" w:rsidRDefault="008E62D3">
      <w:pPr>
        <w:pStyle w:val="a4"/>
        <w:widowControl w:val="0"/>
        <w:shd w:val="clear" w:color="auto" w:fill="FFFFFF"/>
        <w:spacing w:before="0" w:beforeAutospacing="0" w:after="0" w:afterAutospacing="0" w:line="600" w:lineRule="exact"/>
        <w:ind w:firstLineChars="200" w:firstLine="602"/>
        <w:jc w:val="both"/>
        <w:rPr>
          <w:rFonts w:ascii="仿宋" w:eastAsia="仿宋" w:hAnsi="仿宋" w:cs="仿宋"/>
          <w:b/>
          <w:sz w:val="30"/>
          <w:szCs w:val="30"/>
        </w:rPr>
      </w:pPr>
      <w:r>
        <w:rPr>
          <w:rFonts w:ascii="仿宋" w:eastAsia="仿宋" w:hAnsi="仿宋" w:cs="仿宋" w:hint="eastAsia"/>
          <w:b/>
          <w:sz w:val="30"/>
          <w:szCs w:val="30"/>
        </w:rPr>
        <w:t>（一）基本支出情况</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年年初基本支出预算数为</w:t>
      </w:r>
      <w:r>
        <w:rPr>
          <w:rFonts w:ascii="仿宋" w:eastAsia="仿宋" w:hAnsi="仿宋" w:cs="仿宋" w:hint="eastAsia"/>
          <w:sz w:val="30"/>
          <w:szCs w:val="30"/>
        </w:rPr>
        <w:t>585.99</w:t>
      </w:r>
      <w:r>
        <w:rPr>
          <w:rFonts w:ascii="仿宋" w:eastAsia="仿宋" w:hAnsi="仿宋" w:cs="仿宋" w:hint="eastAsia"/>
          <w:sz w:val="30"/>
          <w:szCs w:val="30"/>
        </w:rPr>
        <w:t>万元，是指为保障单位机构正常运转、完成日常工作任务而发生的各项支出，其中工资福利支出</w:t>
      </w:r>
      <w:r>
        <w:rPr>
          <w:rFonts w:ascii="仿宋" w:eastAsia="仿宋" w:hAnsi="仿宋" w:cs="仿宋" w:hint="eastAsia"/>
          <w:sz w:val="30"/>
          <w:szCs w:val="30"/>
        </w:rPr>
        <w:t>485.78</w:t>
      </w:r>
      <w:r>
        <w:rPr>
          <w:rFonts w:ascii="仿宋" w:eastAsia="仿宋" w:hAnsi="仿宋" w:cs="仿宋" w:hint="eastAsia"/>
          <w:sz w:val="30"/>
          <w:szCs w:val="30"/>
        </w:rPr>
        <w:t>万元、商品和服务支出</w:t>
      </w:r>
      <w:r>
        <w:rPr>
          <w:rFonts w:ascii="仿宋" w:eastAsia="仿宋" w:hAnsi="仿宋" w:cs="仿宋" w:hint="eastAsia"/>
          <w:sz w:val="30"/>
          <w:szCs w:val="30"/>
        </w:rPr>
        <w:t>84.32</w:t>
      </w:r>
      <w:r>
        <w:rPr>
          <w:rFonts w:ascii="仿宋" w:eastAsia="仿宋" w:hAnsi="仿宋" w:cs="仿宋" w:hint="eastAsia"/>
          <w:sz w:val="30"/>
          <w:szCs w:val="30"/>
        </w:rPr>
        <w:t>万元、对个人和家庭的补助支出</w:t>
      </w:r>
      <w:r>
        <w:rPr>
          <w:rFonts w:ascii="仿宋" w:eastAsia="仿宋" w:hAnsi="仿宋" w:cs="仿宋" w:hint="eastAsia"/>
          <w:sz w:val="30"/>
          <w:szCs w:val="30"/>
        </w:rPr>
        <w:t>15.89</w:t>
      </w:r>
      <w:r>
        <w:rPr>
          <w:rFonts w:ascii="仿宋" w:eastAsia="仿宋" w:hAnsi="仿宋" w:cs="仿宋" w:hint="eastAsia"/>
          <w:sz w:val="30"/>
          <w:szCs w:val="30"/>
        </w:rPr>
        <w:t>万元。</w:t>
      </w:r>
    </w:p>
    <w:p w:rsidR="003D7B9C" w:rsidRDefault="008E62D3">
      <w:pPr>
        <w:pStyle w:val="a4"/>
        <w:widowControl w:val="0"/>
        <w:shd w:val="clear" w:color="auto" w:fill="FFFFFF"/>
        <w:spacing w:before="0" w:beforeAutospacing="0" w:after="0" w:afterAutospacing="0" w:line="600" w:lineRule="exact"/>
        <w:ind w:firstLineChars="200" w:firstLine="602"/>
        <w:jc w:val="both"/>
        <w:rPr>
          <w:rFonts w:ascii="仿宋" w:eastAsia="仿宋" w:hAnsi="仿宋" w:cs="仿宋"/>
          <w:b/>
          <w:sz w:val="30"/>
          <w:szCs w:val="30"/>
        </w:rPr>
      </w:pPr>
      <w:r>
        <w:rPr>
          <w:rFonts w:ascii="仿宋" w:eastAsia="仿宋" w:hAnsi="仿宋" w:cs="仿宋" w:hint="eastAsia"/>
          <w:b/>
          <w:sz w:val="30"/>
          <w:szCs w:val="30"/>
        </w:rPr>
        <w:t>（二）项目支出情况</w:t>
      </w:r>
    </w:p>
    <w:p w:rsidR="003D7B9C" w:rsidRDefault="008E62D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年年初项目支出预算数为</w:t>
      </w:r>
      <w:r>
        <w:rPr>
          <w:rFonts w:ascii="仿宋" w:eastAsia="仿宋" w:hAnsi="仿宋" w:cs="仿宋" w:hint="eastAsia"/>
          <w:sz w:val="30"/>
          <w:szCs w:val="30"/>
        </w:rPr>
        <w:t>251.70</w:t>
      </w:r>
      <w:r>
        <w:rPr>
          <w:rFonts w:ascii="仿宋" w:eastAsia="仿宋" w:hAnsi="仿宋" w:cs="仿宋" w:hint="eastAsia"/>
          <w:sz w:val="30"/>
          <w:szCs w:val="30"/>
        </w:rPr>
        <w:t>万元，是指单位为完成特定行政工作任务或事业发展目标而发生的支出，主要用于行政审批</w:t>
      </w:r>
      <w:r>
        <w:rPr>
          <w:rFonts w:ascii="仿宋" w:eastAsia="仿宋" w:hAnsi="仿宋" w:cs="仿宋" w:hint="eastAsia"/>
          <w:sz w:val="30"/>
          <w:szCs w:val="30"/>
        </w:rPr>
        <w:t>服务、全区产业发展服务、区政府值班值守、区政府综合信息编辑及应急值守、机关支部建设及支部活动开展、人大建议和政协提案办理、开展金融工作及打击非法集资活动；、全区电子政务外网平台建设及运维等项目支出。其中政府门户网站经费</w:t>
      </w:r>
      <w:r>
        <w:rPr>
          <w:rFonts w:ascii="仿宋" w:eastAsia="仿宋" w:hAnsi="仿宋" w:cs="仿宋" w:hint="eastAsia"/>
          <w:sz w:val="30"/>
          <w:szCs w:val="30"/>
        </w:rPr>
        <w:t>10.00</w:t>
      </w:r>
      <w:r>
        <w:rPr>
          <w:rFonts w:ascii="仿宋" w:eastAsia="仿宋" w:hAnsi="仿宋" w:cs="仿宋" w:hint="eastAsia"/>
          <w:sz w:val="30"/>
          <w:szCs w:val="30"/>
        </w:rPr>
        <w:t>万元、挂职区长经费</w:t>
      </w:r>
      <w:r>
        <w:rPr>
          <w:rFonts w:ascii="仿宋" w:eastAsia="仿宋" w:hAnsi="仿宋" w:cs="仿宋" w:hint="eastAsia"/>
          <w:sz w:val="30"/>
          <w:szCs w:val="30"/>
        </w:rPr>
        <w:t>9.00</w:t>
      </w:r>
      <w:r>
        <w:rPr>
          <w:rFonts w:ascii="仿宋" w:eastAsia="仿宋" w:hAnsi="仿宋" w:cs="仿宋" w:hint="eastAsia"/>
          <w:sz w:val="30"/>
          <w:szCs w:val="30"/>
        </w:rPr>
        <w:t>万元、区长热线经费</w:t>
      </w:r>
      <w:r>
        <w:rPr>
          <w:rFonts w:ascii="仿宋" w:eastAsia="仿宋" w:hAnsi="仿宋" w:cs="仿宋" w:hint="eastAsia"/>
          <w:sz w:val="30"/>
          <w:szCs w:val="30"/>
        </w:rPr>
        <w:t>10.00</w:t>
      </w:r>
      <w:r>
        <w:rPr>
          <w:rFonts w:ascii="仿宋" w:eastAsia="仿宋" w:hAnsi="仿宋" w:cs="仿宋" w:hint="eastAsia"/>
          <w:sz w:val="30"/>
          <w:szCs w:val="30"/>
        </w:rPr>
        <w:t>万元、值班电话经费</w:t>
      </w:r>
      <w:r>
        <w:rPr>
          <w:rFonts w:ascii="仿宋" w:eastAsia="仿宋" w:hAnsi="仿宋" w:cs="仿宋" w:hint="eastAsia"/>
          <w:sz w:val="30"/>
          <w:szCs w:val="30"/>
        </w:rPr>
        <w:t>5.00</w:t>
      </w:r>
      <w:r>
        <w:rPr>
          <w:rFonts w:ascii="仿宋" w:eastAsia="仿宋" w:hAnsi="仿宋" w:cs="仿宋" w:hint="eastAsia"/>
          <w:sz w:val="30"/>
          <w:szCs w:val="30"/>
        </w:rPr>
        <w:t>万元、区志办经费</w:t>
      </w:r>
      <w:r>
        <w:rPr>
          <w:rFonts w:ascii="仿宋" w:eastAsia="仿宋" w:hAnsi="仿宋" w:cs="仿宋" w:hint="eastAsia"/>
          <w:sz w:val="30"/>
          <w:szCs w:val="30"/>
        </w:rPr>
        <w:t>12.00</w:t>
      </w:r>
      <w:r>
        <w:rPr>
          <w:rFonts w:ascii="仿宋" w:eastAsia="仿宋" w:hAnsi="仿宋" w:cs="仿宋" w:hint="eastAsia"/>
          <w:sz w:val="30"/>
          <w:szCs w:val="30"/>
        </w:rPr>
        <w:t>万元、金融办经费</w:t>
      </w:r>
      <w:r>
        <w:rPr>
          <w:rFonts w:ascii="仿宋" w:eastAsia="仿宋" w:hAnsi="仿宋" w:cs="仿宋" w:hint="eastAsia"/>
          <w:sz w:val="30"/>
          <w:szCs w:val="30"/>
        </w:rPr>
        <w:t>4.00</w:t>
      </w:r>
      <w:r>
        <w:rPr>
          <w:rFonts w:ascii="仿宋" w:eastAsia="仿宋" w:hAnsi="仿宋" w:cs="仿宋" w:hint="eastAsia"/>
          <w:sz w:val="30"/>
          <w:szCs w:val="30"/>
        </w:rPr>
        <w:t>万元、交通管理模范城市经费</w:t>
      </w:r>
      <w:r>
        <w:rPr>
          <w:rFonts w:ascii="仿宋" w:eastAsia="仿宋" w:hAnsi="仿宋" w:cs="仿宋" w:hint="eastAsia"/>
          <w:sz w:val="30"/>
          <w:szCs w:val="30"/>
        </w:rPr>
        <w:t>12.00</w:t>
      </w:r>
      <w:r>
        <w:rPr>
          <w:rFonts w:ascii="仿宋" w:eastAsia="仿宋" w:hAnsi="仿宋" w:cs="仿宋" w:hint="eastAsia"/>
          <w:sz w:val="30"/>
          <w:szCs w:val="30"/>
        </w:rPr>
        <w:t>万元、调研室经费</w:t>
      </w:r>
      <w:r>
        <w:rPr>
          <w:rFonts w:ascii="仿宋" w:eastAsia="仿宋" w:hAnsi="仿宋" w:cs="仿宋" w:hint="eastAsia"/>
          <w:sz w:val="30"/>
          <w:szCs w:val="30"/>
        </w:rPr>
        <w:t>3.00</w:t>
      </w:r>
      <w:r>
        <w:rPr>
          <w:rFonts w:ascii="仿宋" w:eastAsia="仿宋" w:hAnsi="仿宋" w:cs="仿宋" w:hint="eastAsia"/>
          <w:sz w:val="30"/>
          <w:szCs w:val="30"/>
        </w:rPr>
        <w:t>万元、行政审批服务经费</w:t>
      </w:r>
      <w:r>
        <w:rPr>
          <w:rFonts w:ascii="仿宋" w:eastAsia="仿宋" w:hAnsi="仿宋" w:cs="仿宋" w:hint="eastAsia"/>
          <w:sz w:val="30"/>
          <w:szCs w:val="30"/>
        </w:rPr>
        <w:t>3.00</w:t>
      </w:r>
      <w:r>
        <w:rPr>
          <w:rFonts w:ascii="仿宋" w:eastAsia="仿宋" w:hAnsi="仿宋" w:cs="仿宋" w:hint="eastAsia"/>
          <w:sz w:val="30"/>
          <w:szCs w:val="30"/>
        </w:rPr>
        <w:t>万元、政务公开经费</w:t>
      </w:r>
      <w:r>
        <w:rPr>
          <w:rFonts w:ascii="仿宋" w:eastAsia="仿宋" w:hAnsi="仿宋" w:cs="仿宋" w:hint="eastAsia"/>
          <w:sz w:val="30"/>
          <w:szCs w:val="30"/>
        </w:rPr>
        <w:t>3.00</w:t>
      </w:r>
      <w:r>
        <w:rPr>
          <w:rFonts w:ascii="仿宋" w:eastAsia="仿宋" w:hAnsi="仿宋" w:cs="仿宋" w:hint="eastAsia"/>
          <w:sz w:val="30"/>
          <w:szCs w:val="30"/>
        </w:rPr>
        <w:t>万元、党建经费</w:t>
      </w:r>
      <w:r>
        <w:rPr>
          <w:rFonts w:ascii="仿宋" w:eastAsia="仿宋" w:hAnsi="仿宋" w:cs="仿宋" w:hint="eastAsia"/>
          <w:sz w:val="30"/>
          <w:szCs w:val="30"/>
        </w:rPr>
        <w:t>2.00</w:t>
      </w:r>
      <w:r>
        <w:rPr>
          <w:rFonts w:ascii="仿宋" w:eastAsia="仿宋" w:hAnsi="仿宋" w:cs="仿宋" w:hint="eastAsia"/>
          <w:sz w:val="30"/>
          <w:szCs w:val="30"/>
        </w:rPr>
        <w:t>万元、临时工经费</w:t>
      </w:r>
      <w:r>
        <w:rPr>
          <w:rFonts w:ascii="仿宋" w:eastAsia="仿宋" w:hAnsi="仿宋" w:cs="仿宋" w:hint="eastAsia"/>
          <w:sz w:val="30"/>
          <w:szCs w:val="30"/>
        </w:rPr>
        <w:t>5.40</w:t>
      </w:r>
      <w:r>
        <w:rPr>
          <w:rFonts w:ascii="仿宋" w:eastAsia="仿宋" w:hAnsi="仿宋" w:cs="仿宋" w:hint="eastAsia"/>
          <w:sz w:val="30"/>
          <w:szCs w:val="30"/>
        </w:rPr>
        <w:t>万元、体改经费</w:t>
      </w:r>
      <w:r>
        <w:rPr>
          <w:rFonts w:ascii="仿宋" w:eastAsia="仿宋" w:hAnsi="仿宋" w:cs="仿宋" w:hint="eastAsia"/>
          <w:sz w:val="30"/>
          <w:szCs w:val="30"/>
        </w:rPr>
        <w:t>2.50</w:t>
      </w:r>
      <w:r>
        <w:rPr>
          <w:rFonts w:ascii="仿宋" w:eastAsia="仿宋" w:hAnsi="仿宋" w:cs="仿宋" w:hint="eastAsia"/>
          <w:sz w:val="30"/>
          <w:szCs w:val="30"/>
        </w:rPr>
        <w:t>万元、建议提案办理经费</w:t>
      </w:r>
      <w:r>
        <w:rPr>
          <w:rFonts w:ascii="仿宋" w:eastAsia="仿宋" w:hAnsi="仿宋" w:cs="仿宋" w:hint="eastAsia"/>
          <w:sz w:val="30"/>
          <w:szCs w:val="30"/>
        </w:rPr>
        <w:t>1.00</w:t>
      </w:r>
      <w:r>
        <w:rPr>
          <w:rFonts w:ascii="仿宋" w:eastAsia="仿宋" w:hAnsi="仿宋" w:cs="仿宋" w:hint="eastAsia"/>
          <w:sz w:val="30"/>
          <w:szCs w:val="30"/>
        </w:rPr>
        <w:t>万元、电子政务经费</w:t>
      </w:r>
      <w:r>
        <w:rPr>
          <w:rFonts w:ascii="仿宋" w:eastAsia="仿宋" w:hAnsi="仿宋" w:cs="仿宋" w:hint="eastAsia"/>
          <w:sz w:val="30"/>
          <w:szCs w:val="30"/>
        </w:rPr>
        <w:t>10.00</w:t>
      </w:r>
      <w:r>
        <w:rPr>
          <w:rFonts w:ascii="仿宋" w:eastAsia="仿宋" w:hAnsi="仿宋" w:cs="仿宋" w:hint="eastAsia"/>
          <w:sz w:val="30"/>
          <w:szCs w:val="30"/>
        </w:rPr>
        <w:t>万元、计算机联网经费</w:t>
      </w:r>
      <w:r>
        <w:rPr>
          <w:rFonts w:ascii="仿宋" w:eastAsia="仿宋" w:hAnsi="仿宋" w:cs="仿宋" w:hint="eastAsia"/>
          <w:sz w:val="30"/>
          <w:szCs w:val="30"/>
        </w:rPr>
        <w:t>4.80</w:t>
      </w:r>
      <w:r>
        <w:rPr>
          <w:rFonts w:ascii="仿宋" w:eastAsia="仿宋" w:hAnsi="仿宋" w:cs="仿宋" w:hint="eastAsia"/>
          <w:sz w:val="30"/>
          <w:szCs w:val="30"/>
        </w:rPr>
        <w:t>万元、文印支出经费</w:t>
      </w:r>
      <w:r>
        <w:rPr>
          <w:rFonts w:ascii="仿宋" w:eastAsia="仿宋" w:hAnsi="仿宋" w:cs="仿宋" w:hint="eastAsia"/>
          <w:sz w:val="30"/>
          <w:szCs w:val="30"/>
        </w:rPr>
        <w:t>10.00</w:t>
      </w:r>
      <w:r>
        <w:rPr>
          <w:rFonts w:ascii="仿宋" w:eastAsia="仿宋" w:hAnsi="仿宋" w:cs="仿宋" w:hint="eastAsia"/>
          <w:sz w:val="30"/>
          <w:szCs w:val="30"/>
        </w:rPr>
        <w:t>万元、信息应急经费</w:t>
      </w:r>
      <w:r>
        <w:rPr>
          <w:rFonts w:ascii="仿宋" w:eastAsia="仿宋" w:hAnsi="仿宋" w:cs="仿宋" w:hint="eastAsia"/>
          <w:sz w:val="30"/>
          <w:szCs w:val="30"/>
        </w:rPr>
        <w:t>8.00</w:t>
      </w:r>
      <w:r>
        <w:rPr>
          <w:rFonts w:ascii="仿宋" w:eastAsia="仿宋" w:hAnsi="仿宋" w:cs="仿宋" w:hint="eastAsia"/>
          <w:sz w:val="30"/>
          <w:szCs w:val="30"/>
        </w:rPr>
        <w:t>万元、电子政务外网平台建设</w:t>
      </w:r>
      <w:r>
        <w:rPr>
          <w:rFonts w:ascii="仿宋" w:eastAsia="仿宋" w:hAnsi="仿宋" w:cs="仿宋" w:hint="eastAsia"/>
          <w:sz w:val="30"/>
          <w:szCs w:val="30"/>
        </w:rPr>
        <w:t>12.00</w:t>
      </w:r>
      <w:r>
        <w:rPr>
          <w:rFonts w:ascii="仿宋" w:eastAsia="仿宋" w:hAnsi="仿宋" w:cs="仿宋" w:hint="eastAsia"/>
          <w:sz w:val="30"/>
          <w:szCs w:val="30"/>
        </w:rPr>
        <w:t>万元、产业发展服务经费</w:t>
      </w:r>
      <w:r>
        <w:rPr>
          <w:rFonts w:ascii="仿宋" w:eastAsia="仿宋" w:hAnsi="仿宋" w:cs="仿宋" w:hint="eastAsia"/>
          <w:sz w:val="30"/>
          <w:szCs w:val="30"/>
        </w:rPr>
        <w:t>8.00</w:t>
      </w:r>
      <w:r>
        <w:rPr>
          <w:rFonts w:ascii="仿宋" w:eastAsia="仿宋" w:hAnsi="仿宋" w:cs="仿宋" w:hint="eastAsia"/>
          <w:sz w:val="30"/>
          <w:szCs w:val="30"/>
        </w:rPr>
        <w:t>万元、政府常务会议室经费</w:t>
      </w:r>
      <w:r>
        <w:rPr>
          <w:rFonts w:ascii="仿宋" w:eastAsia="仿宋" w:hAnsi="仿宋" w:cs="仿宋" w:hint="eastAsia"/>
          <w:sz w:val="30"/>
          <w:szCs w:val="30"/>
        </w:rPr>
        <w:t>9.00</w:t>
      </w:r>
      <w:r>
        <w:rPr>
          <w:rFonts w:ascii="仿宋" w:eastAsia="仿宋" w:hAnsi="仿宋" w:cs="仿宋" w:hint="eastAsia"/>
          <w:sz w:val="30"/>
          <w:szCs w:val="30"/>
        </w:rPr>
        <w:t>万元。</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三、政府性基金预算支出情况</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lastRenderedPageBreak/>
        <w:t>2021</w:t>
      </w:r>
      <w:r>
        <w:rPr>
          <w:rFonts w:ascii="仿宋" w:eastAsia="仿宋" w:hAnsi="仿宋" w:cs="仿宋" w:hint="eastAsia"/>
          <w:sz w:val="30"/>
          <w:szCs w:val="30"/>
        </w:rPr>
        <w:t>年度区政府办无政府性基金预算支出。</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四、国有资本经营预算支出情况</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年度区政府办无国有资本经营预算支出。</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五、社会保险基金预算支出情况</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年度区政府办社会保险基金预算支出。</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我单位在资金使</w:t>
      </w:r>
      <w:r>
        <w:rPr>
          <w:rFonts w:ascii="仿宋" w:eastAsia="仿宋" w:hAnsi="仿宋" w:cs="仿宋" w:hint="eastAsia"/>
          <w:sz w:val="30"/>
          <w:szCs w:val="30"/>
        </w:rPr>
        <w:t>用上，严格遵守各项财经法规和财务管理制度规定，资金拨付有完整的审批程序和手续，支出符合部门预算批复的用途，无截留、挤占、挪用、虚列支出等情况。</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六、部门整体支出绩效情况</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年在区委、区政府的正确领导和各级有关部门的共同努力下，上下齐心，全面完成了年初绩效工作目标。</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（一）规范程序，健全和完善各项规章制度，切实认真履行好办文、办会、办事三大办公室工作职责：</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规范办文程序，努力提高办文质量和速度。公文是党政机关传达党和政府的路线、方针、政策、决策、部署和商洽工作、通报情况的主要手段。办文质量的高低和速度快慢，直接反映着一个机关的工作效率和工作作风。近年来，我们针对政府工作任务繁重，公文处理数量不断上升的情况，根据《国家行政机关公文处理规定》，进一步规范了我办公文处理程序和规定。明确了：上来文一律由文秘机要室签收、登记，并报办公室主任提出阅办意见后，分送区长或相关副区长传阅；下来文统一由文秘机要室签收、登记后分送主任或相关副主任阅办，其中请示统一由文秘机要室签</w:t>
      </w:r>
      <w:r>
        <w:rPr>
          <w:rFonts w:ascii="仿宋" w:eastAsia="仿宋" w:hAnsi="仿宋" w:cs="仿宋" w:hint="eastAsia"/>
          <w:sz w:val="30"/>
          <w:szCs w:val="30"/>
        </w:rPr>
        <w:t>收、登记，贴上公文审批单，报办公室分管文秘工作的副主任提出拟办意见后，分送区长或相关副区长签收、批示，并根据政府领导的批示留底后，转办公室相关人员或政府相关部门办理；上行文、下行文及平行文</w:t>
      </w:r>
      <w:r>
        <w:rPr>
          <w:rFonts w:ascii="仿宋" w:eastAsia="仿宋" w:hAnsi="仿宋" w:cs="仿宋" w:hint="eastAsia"/>
          <w:sz w:val="30"/>
          <w:szCs w:val="30"/>
        </w:rPr>
        <w:lastRenderedPageBreak/>
        <w:t>由办公室秘书人员或政府有关部门人员拟稿，分管文秘的副主任负责文字审核，并就文件的发与不发提出建议后，分送区长或相关副区长及办公室主任签发。经领导签发的公文，送文秘机要室登记编号、印刷、用印，并负责发送。稿样的校核由拟稿人负责，校核工作至少要有两次以上，确系无误后，方能付印。在文稿打印中要求注明打印、校对或审核人姓名；在办文</w:t>
      </w:r>
      <w:r>
        <w:rPr>
          <w:rFonts w:ascii="仿宋" w:eastAsia="仿宋" w:hAnsi="仿宋" w:cs="仿宋" w:hint="eastAsia"/>
          <w:sz w:val="30"/>
          <w:szCs w:val="30"/>
        </w:rPr>
        <w:t>时限上要求经办人当天收文当天分送，特殊情况不得超过第二天。并列入年终了我工作考核依据。通过上述规定的严格执行，公文办理的质量和速度有了明显的提高。</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精心组织，承办好以政府名义召开的各类会议。会议是各级组织传达贯彻党和政府的方针政策、研究或安排部署工作简捷有效的办法。为认真筹备好每次会议，确保会议达到预期的目的，结合市政府“三讲”教育后制定的《益阳市人民政府规则及加强队伍自身建设意见》的有关会议制度，进一步完善了会议筹备工作的有关规定，明确：凡属全区性的各类专业工作会议，从会议通知的拟定、材料准备、议程拟定到会场布置，由各口秘书具体负责，所联系的主任或副主任把关，文秘机要室、机关后勤组给予配合；全区性大型会议，会议筹备工作由分管文秘的副主任带领经研室</w:t>
      </w:r>
      <w:r>
        <w:rPr>
          <w:rFonts w:ascii="仿宋" w:eastAsia="仿宋" w:hAnsi="仿宋" w:cs="仿宋" w:hint="eastAsia"/>
          <w:sz w:val="30"/>
          <w:szCs w:val="30"/>
        </w:rPr>
        <w:t>工作人员具体负责，主任把关，相应科室给予配合。由于制定了上述会议筹备工作的明确规定，各科室工作人员的分工与协作，秘书人员平时资料、信息的收集，会议的筹备工作基本能够做到会议组织安排周到及时、材料准备充分，凡属全区性会议都能为领导准备一份正式的讲话稿，各种会议材料印制也更加规范。</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加强信息网络建设，认真做好信息搜集工作。以前我区的信息网络一直以区委办公室为主，各乡镇和委办局的信息多往区委办</w:t>
      </w:r>
      <w:r>
        <w:rPr>
          <w:rFonts w:ascii="仿宋" w:eastAsia="仿宋" w:hAnsi="仿宋" w:cs="仿宋" w:hint="eastAsia"/>
          <w:sz w:val="30"/>
          <w:szCs w:val="30"/>
        </w:rPr>
        <w:lastRenderedPageBreak/>
        <w:t>报送。今年初，根据市政府办公室《关于加强政府系统信息报送工作和值班工作的通知》要求，我们在政府系统也建起了自己的信息网</w:t>
      </w:r>
      <w:r>
        <w:rPr>
          <w:rFonts w:ascii="仿宋" w:eastAsia="仿宋" w:hAnsi="仿宋" w:cs="仿宋" w:hint="eastAsia"/>
          <w:sz w:val="30"/>
          <w:szCs w:val="30"/>
        </w:rPr>
        <w:t>络，并制定了信息工作考核办法。</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加强督办工作力度，确保政府工作部署、重大决策和政府领导重要批示的贯彻落实。今年，我们将《政府工作报告》分方面分项进行了分解立项，明确了各项工作的牵头单位、承办单位和责任人，并要求按时上报工作情况。还对今年政府实施的重点工程实行了立项督办，明确了工程责任单位和责任人，并要求定期工程情况。另外，对于政府领导的重要批示及政府常务会、区长办公会重要决定事项，也作了立项督查，有力地促进了政府各项工作的顺利进行。</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切实认真做好群众信访接待工作和“</w:t>
      </w:r>
      <w:r>
        <w:rPr>
          <w:rFonts w:ascii="仿宋" w:eastAsia="仿宋" w:hAnsi="仿宋" w:cs="仿宋" w:hint="eastAsia"/>
          <w:sz w:val="30"/>
          <w:szCs w:val="30"/>
        </w:rPr>
        <w:t>12345</w:t>
      </w:r>
      <w:r>
        <w:rPr>
          <w:rFonts w:ascii="仿宋" w:eastAsia="仿宋" w:hAnsi="仿宋" w:cs="仿宋" w:hint="eastAsia"/>
          <w:sz w:val="30"/>
          <w:szCs w:val="30"/>
        </w:rPr>
        <w:t>”市民热线电话服务工作，</w:t>
      </w:r>
      <w:r>
        <w:rPr>
          <w:rFonts w:ascii="仿宋" w:eastAsia="仿宋" w:hAnsi="仿宋" w:cs="仿宋" w:hint="eastAsia"/>
          <w:sz w:val="30"/>
          <w:szCs w:val="30"/>
        </w:rPr>
        <w:t>维护社会稳定。针对近年来，我区城市建设和旧城改造工程步伐的加快，尤其是今年实施的十大重点工程，涉及的征占用土地、拆迁安置补偿带来的热点、难点问题增多的实际，我们在“区长信访接待日”工作制度的基础上，又建立了“办公室主任信访日”制度，增加了一名信访办工作人员。同时，还定期向领导提供《信访简报》和《信访动态》，以便政府领导及时掌握群众上访反映的问题和要求。及时、妥善地处理好一些带有苗头性的群体上访事件，维护社会稳定。另外，还指定一位副主任，安排了一位具体经办人员，认真做好“</w:t>
      </w:r>
      <w:r>
        <w:rPr>
          <w:rFonts w:ascii="仿宋" w:eastAsia="仿宋" w:hAnsi="仿宋" w:cs="仿宋" w:hint="eastAsia"/>
          <w:sz w:val="30"/>
          <w:szCs w:val="30"/>
        </w:rPr>
        <w:t>12345</w:t>
      </w:r>
      <w:r>
        <w:rPr>
          <w:rFonts w:ascii="仿宋" w:eastAsia="仿宋" w:hAnsi="仿宋" w:cs="仿宋" w:hint="eastAsia"/>
          <w:sz w:val="30"/>
          <w:szCs w:val="30"/>
        </w:rPr>
        <w:t>”市民热线电话连动服务，按时</w:t>
      </w:r>
      <w:r>
        <w:rPr>
          <w:rFonts w:ascii="仿宋" w:eastAsia="仿宋" w:hAnsi="仿宋" w:cs="仿宋" w:hint="eastAsia"/>
          <w:sz w:val="30"/>
          <w:szCs w:val="30"/>
        </w:rPr>
        <w:t>限要求尽可能地满意答复群众的要求。</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七、存在的问题及原因分析</w:t>
      </w:r>
    </w:p>
    <w:p w:rsidR="003D7B9C" w:rsidRDefault="008E62D3">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因部分工作不可预见性，有些支出无法纳入预算，导致预算执行存在偏差。</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八、下一步改进措施</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lastRenderedPageBreak/>
        <w:t>不断加强队伍自身建设，牢固树立服务意识。政府办公室的工作是锁碎而繁重的。对上要认真完成好领导交办的各项工作任务，上级部门及人大、政协的各种检查、视察、调研等的材料准备和各种协调工作；对内要做好各种会议准备及领导间工作的协调；对下要做好各种请示、汇报的答复以及人大代表、政协委员批评、建议和提案的催督办和大量的群众来信、来访工作。要完成这些锁碎而繁重的工作任务，切</w:t>
      </w:r>
      <w:r>
        <w:rPr>
          <w:rFonts w:ascii="仿宋" w:eastAsia="仿宋" w:hAnsi="仿宋" w:cs="仿宋" w:hint="eastAsia"/>
          <w:sz w:val="30"/>
          <w:szCs w:val="30"/>
        </w:rPr>
        <w:t>实做好为领导服务、为部门服务、为基层服务工作，没有一套运作规范的办事程序，一支作风优良、政治可靠、业务素质较高的干部职工队伍，是难以胜任和完成的。近年来，我们以创建文明单位为突破口，强化内部管理，狠抓队伍自身建设，在干部职工中牢固树立服务意识。</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坚持不懈地抓好职工队伍的思想政治工作和业务素质培训。结合办公室人员流动性大的特点，在完成省级文明单位创建工作，树立了良好的机关形象的基础上，我们始终坚持不懈地抓好职工队伍的思想政治工作和业务素质培训工作。今年，我们利用星期五政治业务学习时间，认真组织学习了江泽民</w:t>
      </w:r>
      <w:r>
        <w:rPr>
          <w:rFonts w:ascii="仿宋" w:eastAsia="仿宋" w:hAnsi="仿宋" w:cs="仿宋" w:hint="eastAsia"/>
          <w:sz w:val="30"/>
          <w:szCs w:val="30"/>
        </w:rPr>
        <w:t>总书记关于“三讲”教育的重要讲话和关于“两学一做”的重要论述。通过学习要求干部职工结合自身工作特点，牢固树立服务意识和奉献精神。</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建立岗位责任制。为进一步提高机关工作效率，实现机关工作的高效运转。我们在制定了各科室工作职责的基础上，今年又细化了各科室人员的岗位职责，实行了岗位责任制。并对部分岗位人员作了适当的调整。</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狠抓作风建设，加强廉洁自律教育，提高职工队伍的政治思想素质。政府办公室是上情下达、下情上达的中枢部门，工作作风的好坏，直接影响着政府在群众中的形象。我们历来比较重视干部</w:t>
      </w:r>
      <w:r>
        <w:rPr>
          <w:rFonts w:ascii="仿宋" w:eastAsia="仿宋" w:hAnsi="仿宋" w:cs="仿宋" w:hint="eastAsia"/>
          <w:sz w:val="30"/>
          <w:szCs w:val="30"/>
        </w:rPr>
        <w:lastRenderedPageBreak/>
        <w:t>职工队伍的作风建设</w:t>
      </w:r>
      <w:r>
        <w:rPr>
          <w:rFonts w:ascii="仿宋" w:eastAsia="仿宋" w:hAnsi="仿宋" w:cs="仿宋" w:hint="eastAsia"/>
          <w:sz w:val="30"/>
          <w:szCs w:val="30"/>
        </w:rPr>
        <w:t>和廉洁自律教育。要求办公室每一位同志都要有光荣感和责任感，但不能有特权感和优越感，要严格要求和约束自己，要牢固树立全心全意为人民服务的宗旨和勤奋扎实的工作作风，决不能滋生或助长“衙门作风”和沾染“吃、拿、卡、要”的腐败习气，真正做到忠诚坚定，经得起政治考验；甘于奉献，耐得住艰苦磨炼；廉洁自律，抗得住各种诱惑；业务精湛</w:t>
      </w:r>
      <w:r>
        <w:rPr>
          <w:rFonts w:ascii="仿宋" w:eastAsia="仿宋" w:hAnsi="仿宋" w:cs="仿宋" w:hint="eastAsia"/>
          <w:sz w:val="30"/>
          <w:szCs w:val="30"/>
        </w:rPr>
        <w:t>,</w:t>
      </w:r>
      <w:r>
        <w:rPr>
          <w:rFonts w:ascii="仿宋" w:eastAsia="仿宋" w:hAnsi="仿宋" w:cs="仿宋" w:hint="eastAsia"/>
          <w:sz w:val="30"/>
          <w:szCs w:val="30"/>
        </w:rPr>
        <w:t>担得起服务重任务。</w:t>
      </w:r>
    </w:p>
    <w:p w:rsidR="003D7B9C" w:rsidRDefault="008E62D3">
      <w:pPr>
        <w:pStyle w:val="a4"/>
        <w:widowControl w:val="0"/>
        <w:shd w:val="clear" w:color="auto" w:fill="FFFFFF"/>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九、其他需要说明的情况</w:t>
      </w:r>
    </w:p>
    <w:p w:rsidR="003D7B9C" w:rsidRDefault="008E62D3">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科学合理编制预算，严格执行预算。要按照《预算法》及其实施条例的相关规定，参考上一年的预算执行情况和年度的收支预测、部门重点工作等科学编制预算，避免年</w:t>
      </w:r>
      <w:r>
        <w:rPr>
          <w:rFonts w:ascii="仿宋" w:eastAsia="仿宋" w:hAnsi="仿宋" w:cs="仿宋" w:hint="eastAsia"/>
          <w:kern w:val="0"/>
          <w:sz w:val="30"/>
          <w:szCs w:val="30"/>
        </w:rPr>
        <w:t>中大幅追加以及超预算。同时严格预算执行，提高资金使用效率。</w:t>
      </w:r>
    </w:p>
    <w:p w:rsidR="003D7B9C" w:rsidRDefault="008E62D3">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附件</w:t>
      </w:r>
      <w:r>
        <w:rPr>
          <w:rFonts w:ascii="仿宋" w:eastAsia="仿宋" w:hAnsi="仿宋" w:cs="仿宋" w:hint="eastAsia"/>
          <w:kern w:val="0"/>
          <w:sz w:val="30"/>
          <w:szCs w:val="30"/>
        </w:rPr>
        <w:t>：</w:t>
      </w:r>
      <w:r>
        <w:rPr>
          <w:rFonts w:ascii="仿宋" w:eastAsia="仿宋" w:hAnsi="仿宋" w:cs="仿宋" w:hint="eastAsia"/>
          <w:kern w:val="0"/>
          <w:sz w:val="30"/>
          <w:szCs w:val="30"/>
        </w:rPr>
        <w:t>2021</w:t>
      </w:r>
      <w:r>
        <w:rPr>
          <w:rFonts w:ascii="仿宋" w:eastAsia="仿宋" w:hAnsi="仿宋" w:cs="仿宋" w:hint="eastAsia"/>
          <w:kern w:val="0"/>
          <w:sz w:val="30"/>
          <w:szCs w:val="30"/>
        </w:rPr>
        <w:t>年度部门整体支出绩效自评指标计分表</w:t>
      </w: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pPr>
        <w:pStyle w:val="a4"/>
        <w:widowControl w:val="0"/>
        <w:shd w:val="clear" w:color="auto" w:fill="FFFFFF"/>
        <w:spacing w:before="0" w:beforeAutospacing="0" w:after="0" w:afterAutospacing="0" w:line="600" w:lineRule="exact"/>
        <w:ind w:firstLineChars="200" w:firstLine="720"/>
        <w:jc w:val="both"/>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jc w:val="left"/>
        <w:rPr>
          <w:rFonts w:ascii="方正小标宋简体" w:eastAsia="方正小标宋简体" w:cs="方正小标宋_GBK"/>
          <w:sz w:val="36"/>
          <w:szCs w:val="36"/>
        </w:rPr>
      </w:pPr>
    </w:p>
    <w:p w:rsidR="003D7B9C" w:rsidRDefault="003D7B9C" w:rsidP="007B4959">
      <w:pPr>
        <w:spacing w:beforeLines="50" w:afterLines="50" w:line="440" w:lineRule="exact"/>
        <w:rPr>
          <w:rFonts w:ascii="方正小标宋简体" w:eastAsia="方正小标宋简体" w:cs="方正小标宋_GBK"/>
          <w:sz w:val="36"/>
          <w:szCs w:val="36"/>
        </w:rPr>
      </w:pPr>
    </w:p>
    <w:p w:rsidR="003D7B9C" w:rsidRDefault="003D7B9C" w:rsidP="007B4959">
      <w:pPr>
        <w:spacing w:beforeLines="50" w:afterLines="50" w:line="440" w:lineRule="exact"/>
        <w:rPr>
          <w:rFonts w:ascii="方正小标宋简体" w:eastAsia="方正小标宋简体" w:cs="方正小标宋_GBK"/>
          <w:sz w:val="36"/>
          <w:szCs w:val="36"/>
        </w:rPr>
      </w:pPr>
    </w:p>
    <w:p w:rsidR="003D7B9C" w:rsidRDefault="003D7B9C" w:rsidP="007B4959">
      <w:pPr>
        <w:spacing w:beforeLines="50" w:afterLines="50" w:line="440" w:lineRule="exact"/>
        <w:rPr>
          <w:rFonts w:ascii="方正小标宋简体" w:eastAsia="方正小标宋简体" w:cs="方正小标宋_GBK"/>
          <w:sz w:val="36"/>
          <w:szCs w:val="36"/>
        </w:rPr>
      </w:pPr>
      <w:bookmarkStart w:id="0" w:name="_GoBack"/>
      <w:bookmarkEnd w:id="0"/>
    </w:p>
    <w:p w:rsidR="003D7B9C" w:rsidRDefault="008E62D3" w:rsidP="007B4959">
      <w:pPr>
        <w:spacing w:beforeLines="50" w:afterLines="50" w:line="440" w:lineRule="exact"/>
        <w:jc w:val="center"/>
        <w:rPr>
          <w:rFonts w:ascii="黑体" w:eastAsia="黑体" w:hAnsi="黑体" w:cs="黑体"/>
          <w:sz w:val="32"/>
          <w:szCs w:val="32"/>
        </w:rPr>
      </w:pPr>
      <w:r>
        <w:rPr>
          <w:rFonts w:ascii="方正小标宋简体" w:eastAsia="方正小标宋简体" w:cs="方正小标宋_GBK" w:hint="eastAsia"/>
          <w:sz w:val="36"/>
          <w:szCs w:val="36"/>
        </w:rPr>
        <w:t>2021</w:t>
      </w:r>
      <w:r>
        <w:rPr>
          <w:rFonts w:ascii="方正小标宋简体" w:eastAsia="方正小标宋简体" w:cs="方正小标宋_GBK" w:hint="eastAsia"/>
          <w:sz w:val="36"/>
          <w:szCs w:val="36"/>
        </w:rPr>
        <w:t>年度部门整体支出绩效自评指标计分表</w:t>
      </w:r>
    </w:p>
    <w:tbl>
      <w:tblPr>
        <w:tblW w:w="533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577"/>
        <w:gridCol w:w="709"/>
        <w:gridCol w:w="978"/>
        <w:gridCol w:w="679"/>
        <w:gridCol w:w="2983"/>
        <w:gridCol w:w="3532"/>
      </w:tblGrid>
      <w:tr w:rsidR="003D7B9C">
        <w:trPr>
          <w:trHeight w:val="567"/>
          <w:tblHeader/>
          <w:jc w:val="center"/>
        </w:trPr>
        <w:tc>
          <w:tcPr>
            <w:tcW w:w="305" w:type="pct"/>
            <w:tcBorders>
              <w:tl2br w:val="nil"/>
              <w:tr2bl w:val="nil"/>
            </w:tcBorders>
            <w:tcMar>
              <w:top w:w="10" w:type="dxa"/>
              <w:left w:w="10" w:type="dxa"/>
              <w:bottom w:w="0" w:type="dxa"/>
              <w:right w:w="10" w:type="dxa"/>
            </w:tcMar>
            <w:vAlign w:val="center"/>
          </w:tcPr>
          <w:p w:rsidR="003D7B9C" w:rsidRDefault="008E62D3">
            <w:pPr>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b/>
                <w:bCs/>
              </w:rPr>
            </w:pPr>
            <w:r>
              <w:rPr>
                <w:rFonts w:ascii="宋体" w:hAnsi="宋体" w:cs="宋体" w:hint="eastAsia"/>
                <w:b/>
                <w:bCs/>
              </w:rPr>
              <w:t>二级</w:t>
            </w:r>
          </w:p>
          <w:p w:rsidR="003D7B9C" w:rsidRDefault="008E62D3">
            <w:pPr>
              <w:ind w:leftChars="-50" w:left="-105" w:rightChars="-50" w:right="-105"/>
              <w:jc w:val="center"/>
              <w:rPr>
                <w:rFonts w:ascii="宋体" w:cs="宋体"/>
                <w:b/>
                <w:bCs/>
              </w:rPr>
            </w:pPr>
            <w:r>
              <w:rPr>
                <w:rFonts w:ascii="宋体" w:hAnsi="宋体" w:cs="宋体" w:hint="eastAsia"/>
                <w:b/>
                <w:bCs/>
              </w:rPr>
              <w:t>指标</w:t>
            </w: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b/>
                <w:bCs/>
              </w:rPr>
            </w:pPr>
            <w:r>
              <w:rPr>
                <w:rFonts w:ascii="宋体" w:hAnsi="宋体" w:cs="宋体" w:hint="eastAsia"/>
                <w:b/>
                <w:bCs/>
              </w:rPr>
              <w:t>三级</w:t>
            </w:r>
          </w:p>
          <w:p w:rsidR="003D7B9C" w:rsidRDefault="008E62D3">
            <w:pPr>
              <w:ind w:leftChars="-50" w:left="-105" w:rightChars="-50" w:right="-105"/>
              <w:jc w:val="center"/>
              <w:rPr>
                <w:rFonts w:ascii="宋体" w:cs="宋体"/>
                <w:b/>
                <w:bCs/>
              </w:rPr>
            </w:pPr>
            <w:r>
              <w:rPr>
                <w:rFonts w:ascii="宋体" w:hAnsi="宋体" w:cs="宋体" w:hint="eastAsia"/>
                <w:b/>
                <w:bCs/>
              </w:rPr>
              <w:t>指标</w:t>
            </w:r>
          </w:p>
        </w:tc>
        <w:tc>
          <w:tcPr>
            <w:tcW w:w="359" w:type="pct"/>
            <w:tcBorders>
              <w:tl2br w:val="nil"/>
              <w:tr2bl w:val="nil"/>
            </w:tcBorders>
            <w:tcMar>
              <w:top w:w="10" w:type="dxa"/>
              <w:left w:w="10" w:type="dxa"/>
              <w:bottom w:w="0" w:type="dxa"/>
              <w:right w:w="10" w:type="dxa"/>
            </w:tcMar>
            <w:vAlign w:val="center"/>
          </w:tcPr>
          <w:p w:rsidR="003D7B9C" w:rsidRDefault="008E62D3">
            <w:pPr>
              <w:jc w:val="center"/>
              <w:rPr>
                <w:rFonts w:ascii="宋体" w:cs="宋体"/>
                <w:b/>
                <w:bCs/>
              </w:rPr>
            </w:pPr>
            <w:r>
              <w:rPr>
                <w:rFonts w:ascii="宋体" w:hAnsi="宋体" w:cs="宋体" w:hint="eastAsia"/>
                <w:b/>
                <w:bCs/>
              </w:rPr>
              <w:t>自评分</w:t>
            </w:r>
          </w:p>
        </w:tc>
        <w:tc>
          <w:tcPr>
            <w:tcW w:w="157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b/>
                <w:bCs/>
              </w:rPr>
            </w:pPr>
            <w:r>
              <w:rPr>
                <w:rFonts w:ascii="宋体" w:hAnsi="宋体" w:cs="宋体" w:hint="eastAsia"/>
                <w:b/>
                <w:bCs/>
              </w:rPr>
              <w:t>指标解释</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b/>
                <w:bCs/>
              </w:rPr>
            </w:pPr>
            <w:r>
              <w:rPr>
                <w:rFonts w:ascii="宋体" w:hAnsi="宋体" w:cs="宋体" w:hint="eastAsia"/>
                <w:b/>
                <w:bCs/>
              </w:rPr>
              <w:t>指标说明</w:t>
            </w:r>
          </w:p>
        </w:tc>
      </w:tr>
      <w:tr w:rsidR="003D7B9C">
        <w:trPr>
          <w:trHeight w:val="567"/>
          <w:jc w:val="center"/>
        </w:trPr>
        <w:tc>
          <w:tcPr>
            <w:tcW w:w="305" w:type="pct"/>
            <w:vMerge w:val="restart"/>
            <w:tcBorders>
              <w:tl2br w:val="nil"/>
              <w:tr2bl w:val="nil"/>
            </w:tcBorders>
            <w:noWrap/>
            <w:tcMar>
              <w:top w:w="10" w:type="dxa"/>
              <w:left w:w="10" w:type="dxa"/>
              <w:bottom w:w="0" w:type="dxa"/>
              <w:right w:w="10" w:type="dxa"/>
            </w:tcMar>
            <w:textDirection w:val="tbRlV"/>
            <w:vAlign w:val="center"/>
          </w:tcPr>
          <w:p w:rsidR="003D7B9C" w:rsidRDefault="008E62D3">
            <w:pPr>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目标</w:t>
            </w:r>
            <w:r>
              <w:rPr>
                <w:rFonts w:ascii="宋体" w:cs="宋体"/>
              </w:rPr>
              <w:br/>
            </w:r>
            <w:r>
              <w:rPr>
                <w:rFonts w:ascii="宋体" w:hAnsi="宋体" w:cs="宋体" w:hint="eastAsia"/>
              </w:rPr>
              <w:t>设定</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绩效目标</w:t>
            </w:r>
          </w:p>
          <w:p w:rsidR="003D7B9C" w:rsidRDefault="008E62D3">
            <w:pPr>
              <w:ind w:leftChars="-50" w:left="-105" w:rightChars="-50" w:right="-105"/>
              <w:jc w:val="center"/>
              <w:rPr>
                <w:rFonts w:ascii="宋体" w:hAnsi="宋体" w:cs="宋体"/>
              </w:rPr>
            </w:pPr>
            <w:r>
              <w:rPr>
                <w:rFonts w:ascii="宋体" w:hAnsi="宋体" w:cs="宋体" w:hint="eastAsia"/>
              </w:rPr>
              <w:t>合理性</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304"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绩效指标</w:t>
            </w:r>
          </w:p>
          <w:p w:rsidR="003D7B9C" w:rsidRDefault="008E62D3">
            <w:pPr>
              <w:ind w:leftChars="-50" w:left="-105" w:rightChars="-50" w:right="-105"/>
              <w:jc w:val="center"/>
              <w:rPr>
                <w:rFonts w:ascii="宋体" w:hAnsi="宋体" w:cs="宋体"/>
              </w:rPr>
            </w:pPr>
            <w:r>
              <w:rPr>
                <w:rFonts w:ascii="宋体" w:hAnsi="宋体" w:cs="宋体" w:hint="eastAsia"/>
              </w:rPr>
              <w:t>明确性</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3</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3</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304" w:lineRule="exact"/>
              <w:ind w:leftChars="50" w:left="105" w:rightChars="50" w:right="105"/>
              <w:rPr>
                <w:rFonts w:ascii="宋体" w:hAns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p>
          <w:p w:rsidR="003D7B9C" w:rsidRDefault="008E62D3">
            <w:pPr>
              <w:spacing w:line="304" w:lineRule="exact"/>
              <w:ind w:leftChars="50" w:left="105" w:rightChars="50" w:right="105"/>
              <w:rPr>
                <w:rFonts w:ascii="宋体" w:cs="宋体"/>
              </w:rPr>
            </w:pPr>
            <w:r>
              <w:rPr>
                <w:rFonts w:ascii="宋体" w:hAnsi="宋体" w:cs="宋体" w:hint="eastAsia"/>
              </w:rPr>
              <w:t>③是否与部门年度的任务数或计划数相对应；</w:t>
            </w:r>
            <w:r>
              <w:rPr>
                <w:rFonts w:ascii="宋体" w:cs="宋体"/>
              </w:rPr>
              <w:br/>
            </w:r>
            <w:r>
              <w:rPr>
                <w:rFonts w:ascii="宋体" w:hAnsi="宋体" w:cs="宋体" w:hint="eastAsia"/>
                <w:spacing w:val="-6"/>
              </w:rPr>
              <w:t>④是否与本年度部门预算资金相匹配。</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val="restar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预算</w:t>
            </w:r>
            <w:r>
              <w:rPr>
                <w:rFonts w:ascii="宋体" w:cs="宋体"/>
              </w:rPr>
              <w:br/>
            </w:r>
            <w:r>
              <w:rPr>
                <w:rFonts w:ascii="宋体" w:hAnsi="宋体" w:cs="宋体" w:hint="eastAsia"/>
              </w:rPr>
              <w:t>配置</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15</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在职人员</w:t>
            </w:r>
          </w:p>
          <w:p w:rsidR="003D7B9C" w:rsidRDefault="008E62D3">
            <w:pPr>
              <w:ind w:leftChars="-50" w:left="-105" w:rightChars="-50" w:right="-105"/>
              <w:jc w:val="center"/>
              <w:rPr>
                <w:rFonts w:ascii="宋体" w:hAnsi="宋体" w:cs="宋体"/>
              </w:rPr>
            </w:pPr>
            <w:r>
              <w:rPr>
                <w:rFonts w:ascii="宋体" w:hAnsi="宋体" w:cs="宋体" w:hint="eastAsia"/>
              </w:rPr>
              <w:t>控制率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5</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304"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spacing w:val="-6"/>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“三公</w:t>
            </w:r>
          </w:p>
          <w:p w:rsidR="003D7B9C" w:rsidRDefault="008E62D3">
            <w:pPr>
              <w:ind w:leftChars="-50" w:left="-105" w:rightChars="-50" w:right="-105"/>
              <w:jc w:val="center"/>
              <w:rPr>
                <w:rFonts w:ascii="宋体" w:cs="宋体"/>
              </w:rPr>
            </w:pPr>
            <w:r>
              <w:rPr>
                <w:rFonts w:ascii="宋体" w:hAnsi="宋体" w:cs="宋体" w:hint="eastAsia"/>
              </w:rPr>
              <w:t>经费”</w:t>
            </w:r>
          </w:p>
          <w:p w:rsidR="003D7B9C" w:rsidRDefault="008E62D3">
            <w:pPr>
              <w:ind w:leftChars="-50" w:left="-105" w:rightChars="-50" w:right="-105"/>
              <w:jc w:val="center"/>
              <w:rPr>
                <w:rFonts w:ascii="宋体" w:hAnsi="宋体" w:cs="宋体"/>
              </w:rPr>
            </w:pPr>
            <w:r>
              <w:rPr>
                <w:rFonts w:ascii="宋体" w:hAnsi="宋体" w:cs="宋体" w:hint="eastAsia"/>
              </w:rPr>
              <w:t>变动率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jc w:val="center"/>
              <w:rPr>
                <w:rFonts w:ascii="宋体" w:cs="宋体"/>
              </w:rPr>
            </w:pPr>
            <w:r>
              <w:rPr>
                <w:rFonts w:ascii="宋体" w:cs="宋体" w:hint="eastAsia"/>
              </w:rPr>
              <w:t>5</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304" w:lineRule="exact"/>
              <w:ind w:leftChars="50" w:left="105" w:rightChars="50" w:right="105"/>
              <w:rPr>
                <w:rFonts w:ascii="宋体" w:cs="宋体"/>
              </w:rPr>
            </w:pPr>
            <w:r>
              <w:rPr>
                <w:rFonts w:ascii="宋体" w:hAnsi="宋体" w:cs="宋体" w:hint="eastAsia"/>
              </w:rPr>
              <w:t>“</w:t>
            </w:r>
            <w:r>
              <w:rPr>
                <w:rFonts w:ascii="宋体" w:hAnsi="宋体" w:cs="宋体" w:hint="eastAsia"/>
                <w:spacing w:val="-6"/>
              </w:rPr>
              <w:t>三公经费”变动率</w:t>
            </w:r>
            <w:r>
              <w:rPr>
                <w:rFonts w:ascii="宋体" w:hAnsi="宋体" w:cs="宋体"/>
                <w:spacing w:val="-6"/>
              </w:rPr>
              <w:t>=[</w:t>
            </w:r>
            <w:r>
              <w:rPr>
                <w:rFonts w:ascii="宋体" w:hAnsi="宋体" w:cs="宋体" w:hint="eastAsia"/>
                <w:spacing w:val="-6"/>
              </w:rPr>
              <w:t>（本年度“三公经费”总额</w:t>
            </w:r>
            <w:r>
              <w:rPr>
                <w:rFonts w:ascii="宋体" w:hAnsi="宋体" w:cs="宋体"/>
                <w:spacing w:val="-6"/>
              </w:rPr>
              <w:t>-</w:t>
            </w:r>
            <w:r>
              <w:rPr>
                <w:rFonts w:ascii="宋体" w:hAnsi="宋体" w:cs="宋体" w:hint="eastAsia"/>
                <w:spacing w:val="-6"/>
              </w:rPr>
              <w:t>上年度“三公经费”总额）</w:t>
            </w:r>
            <w:r>
              <w:rPr>
                <w:rFonts w:ascii="宋体" w:hAnsi="宋体" w:cs="宋体"/>
                <w:spacing w:val="-6"/>
              </w:rPr>
              <w:t>/</w:t>
            </w:r>
            <w:r>
              <w:rPr>
                <w:rFonts w:ascii="宋体" w:hAnsi="宋体" w:cs="宋体" w:hint="eastAsia"/>
                <w:spacing w:val="-6"/>
              </w:rPr>
              <w:t>上年度“三公经费”总额</w:t>
            </w:r>
            <w:r>
              <w:rPr>
                <w:rFonts w:ascii="宋体" w:hAnsi="宋体" w:cs="宋体"/>
                <w:spacing w:val="-6"/>
              </w:rPr>
              <w:t>]</w:t>
            </w:r>
            <w:r>
              <w:rPr>
                <w:rFonts w:ascii="宋体" w:hAnsi="宋体" w:cs="宋体" w:hint="eastAsia"/>
                <w:spacing w:val="-6"/>
              </w:rPr>
              <w:t>×</w:t>
            </w:r>
            <w:r>
              <w:rPr>
                <w:rFonts w:ascii="宋体" w:hAnsi="宋体" w:cs="宋体"/>
                <w:spacing w:val="-6"/>
              </w:rPr>
              <w:t>100%</w:t>
            </w:r>
            <w:r>
              <w:rPr>
                <w:rFonts w:ascii="宋体" w:hAnsi="宋体" w:cs="宋体" w:hint="eastAsia"/>
                <w:spacing w:val="-6"/>
              </w:rPr>
              <w:t>。</w:t>
            </w:r>
            <w:r>
              <w:rPr>
                <w:rFonts w:ascii="宋体" w:cs="宋体"/>
              </w:rPr>
              <w:br/>
            </w:r>
            <w:r>
              <w:rPr>
                <w:rFonts w:ascii="宋体" w:hAnsi="宋体" w:cs="宋体" w:hint="eastAsia"/>
              </w:rPr>
              <w:t>“三公经费”：年度预算安排的因公出国（境）费、公务车辆购置及运行费和公务招待费。</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重点支出</w:t>
            </w:r>
          </w:p>
          <w:p w:rsidR="003D7B9C" w:rsidRDefault="008E62D3">
            <w:pPr>
              <w:ind w:leftChars="-50" w:left="-105" w:rightChars="-50" w:right="-105"/>
              <w:jc w:val="center"/>
              <w:rPr>
                <w:rFonts w:ascii="宋体" w:hAnsi="宋体" w:cs="宋体"/>
              </w:rPr>
            </w:pPr>
            <w:r>
              <w:rPr>
                <w:rFonts w:ascii="宋体" w:hAnsi="宋体" w:cs="宋体" w:hint="eastAsia"/>
              </w:rPr>
              <w:t>安排率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jc w:val="center"/>
              <w:rPr>
                <w:rFonts w:ascii="宋体" w:cs="宋体"/>
              </w:rPr>
            </w:pPr>
            <w:r>
              <w:rPr>
                <w:rFonts w:ascii="宋体" w:cs="宋体" w:hint="eastAsia"/>
              </w:rPr>
              <w:t>5</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304"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3D7B9C">
        <w:trPr>
          <w:trHeight w:val="567"/>
          <w:jc w:val="center"/>
        </w:trPr>
        <w:tc>
          <w:tcPr>
            <w:tcW w:w="305" w:type="pct"/>
            <w:vMerge w:val="restart"/>
            <w:tcBorders>
              <w:tl2br w:val="nil"/>
              <w:tr2bl w:val="nil"/>
            </w:tcBorders>
            <w:noWrap/>
            <w:tcMar>
              <w:top w:w="10" w:type="dxa"/>
              <w:left w:w="10" w:type="dxa"/>
              <w:bottom w:w="0" w:type="dxa"/>
              <w:right w:w="10" w:type="dxa"/>
            </w:tcMar>
            <w:textDirection w:val="tbRlV"/>
            <w:vAlign w:val="center"/>
          </w:tcPr>
          <w:p w:rsidR="003D7B9C" w:rsidRDefault="008E62D3">
            <w:pPr>
              <w:spacing w:line="278"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hAnsi="宋体" w:cs="宋体"/>
              </w:rPr>
            </w:pPr>
            <w:r>
              <w:rPr>
                <w:rFonts w:ascii="宋体" w:hAnsi="宋体" w:cs="宋体" w:hint="eastAsia"/>
              </w:rPr>
              <w:t>预算</w:t>
            </w:r>
            <w:r>
              <w:rPr>
                <w:rFonts w:ascii="宋体" w:cs="宋体"/>
              </w:rPr>
              <w:br/>
            </w:r>
            <w:r>
              <w:rPr>
                <w:rFonts w:ascii="宋体" w:hAnsi="宋体" w:cs="宋体" w:hint="eastAsia"/>
              </w:rPr>
              <w:t>执行</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20</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预算</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执行率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jc w:val="center"/>
              <w:rPr>
                <w:rFonts w:ascii="宋体" w:cs="宋体"/>
              </w:rPr>
            </w:pPr>
            <w:r>
              <w:rPr>
                <w:rFonts w:ascii="宋体" w:cs="宋体" w:hint="eastAsia"/>
              </w:rPr>
              <w:t>4</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部门本年度预算完成数与预算数的比率，用以反映和考核部门预算完成程度。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预算</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调整率</w:t>
            </w:r>
          </w:p>
          <w:p w:rsidR="003D7B9C" w:rsidRDefault="008E62D3">
            <w:pPr>
              <w:spacing w:line="278" w:lineRule="exact"/>
              <w:ind w:leftChars="-50" w:left="-105" w:rightChars="-50" w:right="-105"/>
              <w:jc w:val="center"/>
              <w:rPr>
                <w:rFonts w:ascii="宋体" w:cs="宋体"/>
              </w:rPr>
            </w:pPr>
            <w:r>
              <w:rPr>
                <w:rFonts w:ascii="宋体" w:hAnsi="宋体" w:cs="宋体" w:hint="eastAsia"/>
              </w:rPr>
              <w:lastRenderedPageBreak/>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spacing w:line="278" w:lineRule="exact"/>
              <w:jc w:val="center"/>
              <w:rPr>
                <w:rFonts w:ascii="宋体" w:cs="宋体"/>
              </w:rPr>
            </w:pPr>
            <w:r>
              <w:rPr>
                <w:rFonts w:ascii="宋体" w:cs="宋体" w:hint="eastAsia"/>
              </w:rPr>
              <w:lastRenderedPageBreak/>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部门本年度预算调整数与预算数的比率，用以反映和考核部</w:t>
            </w:r>
            <w:r>
              <w:rPr>
                <w:rFonts w:ascii="宋体" w:hAnsi="宋体" w:cs="宋体" w:hint="eastAsia"/>
              </w:rPr>
              <w:lastRenderedPageBreak/>
              <w:t>门预算的调整程度。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lastRenderedPageBreak/>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lastRenderedPageBreak/>
              <w:t>预算调整数：部门在本年度内涉及预算的追加、追减或结构调整的资金总和（因落实国家政策、发生不可抗力、上级部门或本级党委政府临时交办而产生的调整除外）。</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支付</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进度率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3D7B9C">
        <w:trPr>
          <w:trHeight w:val="567"/>
          <w:jc w:val="center"/>
        </w:trPr>
        <w:tc>
          <w:tcPr>
            <w:tcW w:w="305" w:type="pct"/>
            <w:vMerge/>
            <w:tcBorders>
              <w:tl2br w:val="nil"/>
              <w:tr2bl w:val="nil"/>
            </w:tcBorders>
            <w:noWrap/>
            <w:tcMar>
              <w:top w:w="10" w:type="dxa"/>
              <w:left w:w="10" w:type="dxa"/>
              <w:bottom w:w="0" w:type="dxa"/>
              <w:right w:w="10" w:type="dxa"/>
            </w:tcMar>
            <w:textDirection w:val="tbRlV"/>
            <w:vAlign w:val="center"/>
          </w:tcPr>
          <w:p w:rsidR="003D7B9C" w:rsidRDefault="003D7B9C">
            <w:pPr>
              <w:spacing w:line="278" w:lineRule="exact"/>
              <w:jc w:val="center"/>
              <w:rPr>
                <w:rFonts w:ascii="宋体" w:cs="宋体"/>
              </w:rPr>
            </w:pPr>
          </w:p>
        </w:tc>
        <w:tc>
          <w:tcPr>
            <w:tcW w:w="375" w:type="pct"/>
            <w:vMerge/>
            <w:tcBorders>
              <w:tl2br w:val="nil"/>
              <w:tr2bl w:val="nil"/>
            </w:tcBorders>
            <w:tcMar>
              <w:top w:w="10" w:type="dxa"/>
              <w:left w:w="10" w:type="dxa"/>
              <w:bottom w:w="0" w:type="dxa"/>
              <w:right w:w="10" w:type="dxa"/>
            </w:tcMar>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结转</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结余率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spacing w:line="278"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结转结余</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变动率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spacing w:line="278"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w:t>
            </w:r>
            <w:r>
              <w:rPr>
                <w:rFonts w:ascii="宋体" w:hAnsi="宋体" w:cs="宋体" w:hint="eastAsia"/>
                <w:spacing w:val="-6"/>
              </w:rPr>
              <w:t>门本年度结转结余资金总额与上年度结转结余资金总额的变动比率，用以反映和考核部门对控制结转结余资金的努力程度。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公用经费</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控制率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hAnsi="宋体" w:cs="宋体"/>
              </w:rPr>
            </w:pPr>
            <w:r>
              <w:rPr>
                <w:rFonts w:ascii="宋体" w:hAnsi="宋体" w:cs="宋体" w:hint="eastAsia"/>
              </w:rPr>
              <w:t>“三公经费”控制率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3D7B9C">
        <w:trPr>
          <w:trHeight w:val="567"/>
          <w:jc w:val="center"/>
        </w:trPr>
        <w:tc>
          <w:tcPr>
            <w:tcW w:w="305" w:type="pct"/>
            <w:vMerge/>
            <w:tcBorders>
              <w:tl2br w:val="nil"/>
              <w:tr2bl w:val="nil"/>
            </w:tcBorders>
            <w:vAlign w:val="center"/>
          </w:tcPr>
          <w:p w:rsidR="003D7B9C" w:rsidRDefault="003D7B9C">
            <w:pPr>
              <w:spacing w:line="278" w:lineRule="exact"/>
              <w:jc w:val="center"/>
              <w:rPr>
                <w:rFonts w:ascii="宋体" w:cs="宋体"/>
              </w:rPr>
            </w:pPr>
          </w:p>
        </w:tc>
        <w:tc>
          <w:tcPr>
            <w:tcW w:w="375" w:type="pct"/>
            <w:vMerge/>
            <w:tcBorders>
              <w:tl2br w:val="nil"/>
              <w:tr2bl w:val="nil"/>
            </w:tcBorders>
            <w:vAlign w:val="center"/>
          </w:tcPr>
          <w:p w:rsidR="003D7B9C" w:rsidRDefault="003D7B9C">
            <w:pPr>
              <w:spacing w:line="278"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jc w:val="center"/>
              <w:rPr>
                <w:rFonts w:ascii="宋体" w:cs="宋体"/>
              </w:rPr>
            </w:pPr>
            <w:r>
              <w:rPr>
                <w:rFonts w:ascii="宋体" w:hAnsi="宋体" w:cs="宋体" w:hint="eastAsia"/>
              </w:rPr>
              <w:t>政府采购</w:t>
            </w:r>
          </w:p>
          <w:p w:rsidR="003D7B9C" w:rsidRDefault="008E62D3">
            <w:pPr>
              <w:spacing w:line="278" w:lineRule="exact"/>
              <w:ind w:leftChars="-50" w:left="-105" w:rightChars="-50" w:right="-105"/>
              <w:jc w:val="center"/>
              <w:rPr>
                <w:rFonts w:ascii="宋体" w:hAnsi="宋体" w:cs="宋体"/>
              </w:rPr>
            </w:pPr>
            <w:r>
              <w:rPr>
                <w:rFonts w:ascii="宋体" w:hAnsi="宋体" w:cs="宋体" w:hint="eastAsia"/>
              </w:rPr>
              <w:t>执行率</w:t>
            </w:r>
          </w:p>
          <w:p w:rsidR="003D7B9C" w:rsidRDefault="008E62D3">
            <w:pPr>
              <w:spacing w:line="278" w:lineRule="exact"/>
              <w:ind w:leftChars="-50" w:left="-105" w:rightChars="-50" w:right="-105"/>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jc w:val="center"/>
              <w:rPr>
                <w:rFonts w:ascii="宋体" w:cs="宋体"/>
              </w:rPr>
            </w:pPr>
            <w:r>
              <w:rPr>
                <w:rFonts w:ascii="宋体" w:cs="宋体" w:hint="eastAsia"/>
              </w:rPr>
              <w:t>4</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78" w:lineRule="exact"/>
              <w:ind w:leftChars="50" w:left="105" w:rightChars="50" w:right="105"/>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78"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3D7B9C">
        <w:trPr>
          <w:trHeight w:val="567"/>
          <w:jc w:val="center"/>
        </w:trPr>
        <w:tc>
          <w:tcPr>
            <w:tcW w:w="305" w:type="pct"/>
            <w:vMerge w:val="restart"/>
            <w:tcBorders>
              <w:tl2br w:val="nil"/>
              <w:tr2bl w:val="nil"/>
            </w:tcBorders>
            <w:textDirection w:val="tbRl"/>
            <w:vAlign w:val="center"/>
          </w:tcPr>
          <w:p w:rsidR="003D7B9C" w:rsidRDefault="008E62D3">
            <w:pPr>
              <w:spacing w:line="260" w:lineRule="exact"/>
              <w:ind w:left="113" w:right="113"/>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hAnsi="宋体" w:cs="宋体"/>
              </w:rPr>
            </w:pPr>
            <w:r>
              <w:rPr>
                <w:rFonts w:ascii="宋体" w:hAnsi="宋体" w:cs="宋体" w:hint="eastAsia"/>
              </w:rPr>
              <w:t>预算</w:t>
            </w:r>
            <w:r>
              <w:rPr>
                <w:rFonts w:ascii="宋体" w:cs="宋体"/>
              </w:rPr>
              <w:br/>
            </w:r>
            <w:r>
              <w:rPr>
                <w:rFonts w:ascii="宋体" w:hAnsi="宋体" w:cs="宋体" w:hint="eastAsia"/>
              </w:rPr>
              <w:t>管理</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管理制度</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健全性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ind w:leftChars="50" w:left="105" w:rightChars="50" w:right="105"/>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w:t>
            </w:r>
            <w:r>
              <w:rPr>
                <w:rFonts w:ascii="宋体" w:hAnsi="宋体" w:cs="宋体" w:hint="eastAsia"/>
                <w:spacing w:val="-6"/>
              </w:rPr>
              <w:t>相关管理制度是否合法、合规、完整；</w:t>
            </w:r>
            <w:r>
              <w:rPr>
                <w:rFonts w:ascii="宋体" w:cs="宋体"/>
              </w:rPr>
              <w:br/>
            </w:r>
            <w:r>
              <w:rPr>
                <w:rFonts w:ascii="宋体" w:hAnsi="宋体" w:cs="宋体" w:hint="eastAsia"/>
              </w:rPr>
              <w:t>③相关管理制度是否得到有效执行。</w:t>
            </w:r>
          </w:p>
        </w:tc>
      </w:tr>
      <w:tr w:rsidR="003D7B9C">
        <w:trPr>
          <w:trHeight w:val="567"/>
          <w:jc w:val="center"/>
        </w:trPr>
        <w:tc>
          <w:tcPr>
            <w:tcW w:w="305" w:type="pct"/>
            <w:vMerge/>
            <w:tcBorders>
              <w:tl2br w:val="nil"/>
              <w:tr2bl w:val="nil"/>
            </w:tcBorders>
            <w:vAlign w:val="center"/>
          </w:tcPr>
          <w:p w:rsidR="003D7B9C" w:rsidRDefault="003D7B9C">
            <w:pPr>
              <w:spacing w:line="260" w:lineRule="exact"/>
              <w:jc w:val="center"/>
              <w:rPr>
                <w:rFonts w:ascii="宋体" w:cs="宋体"/>
              </w:rPr>
            </w:pPr>
          </w:p>
        </w:tc>
        <w:tc>
          <w:tcPr>
            <w:tcW w:w="375" w:type="pct"/>
            <w:vMerge/>
            <w:tcBorders>
              <w:tl2br w:val="nil"/>
              <w:tr2bl w:val="nil"/>
            </w:tcBorders>
            <w:vAlign w:val="center"/>
          </w:tcPr>
          <w:p w:rsidR="003D7B9C" w:rsidRDefault="003D7B9C">
            <w:pPr>
              <w:spacing w:line="260"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资金使用</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合规性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1</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jc w:val="center"/>
              <w:rPr>
                <w:rFonts w:ascii="宋体" w:cs="宋体"/>
              </w:rPr>
            </w:pPr>
            <w:r>
              <w:rPr>
                <w:rFonts w:ascii="宋体" w:cs="宋体" w:hint="eastAsia"/>
              </w:rPr>
              <w:t>1</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ind w:leftChars="50" w:left="105" w:rightChars="50" w:right="105"/>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lastRenderedPageBreak/>
              <w:t>⑤是否存在截留、挤占、挪用、虚列支出等情况。</w:t>
            </w:r>
          </w:p>
        </w:tc>
      </w:tr>
      <w:tr w:rsidR="003D7B9C">
        <w:trPr>
          <w:trHeight w:val="567"/>
          <w:jc w:val="center"/>
        </w:trPr>
        <w:tc>
          <w:tcPr>
            <w:tcW w:w="305" w:type="pct"/>
            <w:vMerge/>
            <w:tcBorders>
              <w:tl2br w:val="nil"/>
              <w:tr2bl w:val="nil"/>
            </w:tcBorders>
            <w:vAlign w:val="center"/>
          </w:tcPr>
          <w:p w:rsidR="003D7B9C" w:rsidRDefault="003D7B9C">
            <w:pPr>
              <w:spacing w:line="260" w:lineRule="exact"/>
              <w:jc w:val="center"/>
              <w:rPr>
                <w:rFonts w:ascii="宋体" w:cs="宋体"/>
              </w:rPr>
            </w:pPr>
          </w:p>
        </w:tc>
        <w:tc>
          <w:tcPr>
            <w:tcW w:w="375" w:type="pct"/>
            <w:vMerge/>
            <w:tcBorders>
              <w:tl2br w:val="nil"/>
              <w:tr2bl w:val="nil"/>
            </w:tcBorders>
            <w:vAlign w:val="center"/>
          </w:tcPr>
          <w:p w:rsidR="003D7B9C" w:rsidRDefault="003D7B9C">
            <w:pPr>
              <w:spacing w:line="260"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预决算信</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息公开性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1</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jc w:val="center"/>
              <w:rPr>
                <w:rFonts w:ascii="宋体" w:cs="宋体"/>
              </w:rPr>
            </w:pPr>
            <w:r>
              <w:rPr>
                <w:rFonts w:ascii="宋体" w:cs="宋体" w:hint="eastAsia"/>
              </w:rPr>
              <w:t>1</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ind w:leftChars="50" w:left="105" w:rightChars="50" w:right="105"/>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3D7B9C">
        <w:trPr>
          <w:trHeight w:val="567"/>
          <w:jc w:val="center"/>
        </w:trPr>
        <w:tc>
          <w:tcPr>
            <w:tcW w:w="305" w:type="pct"/>
            <w:vMerge/>
            <w:tcBorders>
              <w:tl2br w:val="nil"/>
              <w:tr2bl w:val="nil"/>
            </w:tcBorders>
            <w:vAlign w:val="center"/>
          </w:tcPr>
          <w:p w:rsidR="003D7B9C" w:rsidRDefault="003D7B9C">
            <w:pPr>
              <w:spacing w:line="260" w:lineRule="exact"/>
              <w:jc w:val="center"/>
              <w:rPr>
                <w:rFonts w:ascii="宋体" w:cs="宋体"/>
              </w:rPr>
            </w:pPr>
          </w:p>
        </w:tc>
        <w:tc>
          <w:tcPr>
            <w:tcW w:w="375" w:type="pct"/>
            <w:vMerge/>
            <w:tcBorders>
              <w:tl2br w:val="nil"/>
              <w:tr2bl w:val="nil"/>
            </w:tcBorders>
            <w:vAlign w:val="center"/>
          </w:tcPr>
          <w:p w:rsidR="003D7B9C" w:rsidRDefault="003D7B9C">
            <w:pPr>
              <w:spacing w:line="260"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基础信息</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完善性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1</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jc w:val="center"/>
              <w:rPr>
                <w:rFonts w:ascii="宋体" w:cs="宋体"/>
              </w:rPr>
            </w:pPr>
            <w:r>
              <w:rPr>
                <w:rFonts w:ascii="宋体" w:cs="宋体" w:hint="eastAsia"/>
              </w:rPr>
              <w:t>1</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ind w:leftChars="50" w:left="105" w:rightChars="50" w:right="105"/>
              <w:rPr>
                <w:rFonts w:ascii="宋体" w:cs="宋体"/>
              </w:rPr>
            </w:pPr>
            <w:r>
              <w:rPr>
                <w:rFonts w:ascii="宋体" w:hAnsi="宋体" w:cs="宋体" w:hint="eastAsia"/>
              </w:rPr>
              <w:t>部门基础信息是否完善，用以反映和考核基础信息对预算管理工作的支撑情况。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3D7B9C">
        <w:trPr>
          <w:trHeight w:val="567"/>
          <w:jc w:val="center"/>
        </w:trPr>
        <w:tc>
          <w:tcPr>
            <w:tcW w:w="305" w:type="pct"/>
            <w:vMerge/>
            <w:tcBorders>
              <w:tl2br w:val="nil"/>
              <w:tr2bl w:val="nil"/>
            </w:tcBorders>
            <w:noWrap/>
            <w:tcMar>
              <w:top w:w="10" w:type="dxa"/>
              <w:left w:w="10" w:type="dxa"/>
              <w:bottom w:w="0" w:type="dxa"/>
              <w:right w:w="10" w:type="dxa"/>
            </w:tcMar>
            <w:textDirection w:val="tbRlV"/>
            <w:vAlign w:val="center"/>
          </w:tcPr>
          <w:p w:rsidR="003D7B9C" w:rsidRDefault="003D7B9C">
            <w:pPr>
              <w:spacing w:line="260" w:lineRule="exact"/>
              <w:jc w:val="center"/>
              <w:rPr>
                <w:rFonts w:ascii="宋体" w:cs="宋体"/>
              </w:rPr>
            </w:pPr>
          </w:p>
        </w:tc>
        <w:tc>
          <w:tcPr>
            <w:tcW w:w="375" w:type="pct"/>
            <w:vMerge w:val="restar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hAnsi="宋体" w:cs="宋体"/>
              </w:rPr>
            </w:pPr>
            <w:r>
              <w:rPr>
                <w:rFonts w:ascii="宋体" w:hAnsi="宋体" w:cs="宋体" w:hint="eastAsia"/>
              </w:rPr>
              <w:t>资产</w:t>
            </w:r>
            <w:r>
              <w:rPr>
                <w:rFonts w:ascii="宋体" w:cs="宋体"/>
              </w:rPr>
              <w:br/>
            </w:r>
            <w:r>
              <w:rPr>
                <w:rFonts w:ascii="宋体" w:hAnsi="宋体" w:cs="宋体" w:hint="eastAsia"/>
              </w:rPr>
              <w:t>管理</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管理制度</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健全性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spacing w:line="260" w:lineRule="exact"/>
              <w:ind w:leftChars="50" w:left="105" w:rightChars="50" w:right="105"/>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①是否已制定或具有资产管理制度；②相关资金管理制度是否合法、合规、完整；</w:t>
            </w:r>
            <w:r>
              <w:rPr>
                <w:rFonts w:ascii="宋体" w:cs="宋体"/>
              </w:rPr>
              <w:br/>
            </w:r>
            <w:r>
              <w:rPr>
                <w:rFonts w:ascii="宋体" w:hAnsi="宋体" w:cs="宋体" w:hint="eastAsia"/>
              </w:rPr>
              <w:t>③相关资产管理制度是否得到有效执行。</w:t>
            </w:r>
          </w:p>
        </w:tc>
      </w:tr>
      <w:tr w:rsidR="003D7B9C">
        <w:trPr>
          <w:trHeight w:val="567"/>
          <w:jc w:val="center"/>
        </w:trPr>
        <w:tc>
          <w:tcPr>
            <w:tcW w:w="305" w:type="pct"/>
            <w:vMerge/>
            <w:tcBorders>
              <w:tl2br w:val="nil"/>
              <w:tr2bl w:val="nil"/>
            </w:tcBorders>
            <w:vAlign w:val="center"/>
          </w:tcPr>
          <w:p w:rsidR="003D7B9C" w:rsidRDefault="003D7B9C">
            <w:pPr>
              <w:spacing w:line="260" w:lineRule="exact"/>
              <w:jc w:val="center"/>
              <w:rPr>
                <w:rFonts w:ascii="宋体" w:cs="宋体"/>
              </w:rPr>
            </w:pPr>
          </w:p>
        </w:tc>
        <w:tc>
          <w:tcPr>
            <w:tcW w:w="375" w:type="pct"/>
            <w:vMerge/>
            <w:tcBorders>
              <w:tl2br w:val="nil"/>
              <w:tr2bl w:val="nil"/>
            </w:tcBorders>
            <w:vAlign w:val="center"/>
          </w:tcPr>
          <w:p w:rsidR="003D7B9C" w:rsidRDefault="003D7B9C">
            <w:pPr>
              <w:spacing w:line="260" w:lineRule="exact"/>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jc w:val="center"/>
              <w:rPr>
                <w:rFonts w:ascii="宋体" w:cs="宋体"/>
              </w:rPr>
            </w:pPr>
            <w:r>
              <w:rPr>
                <w:rFonts w:ascii="宋体" w:hAnsi="宋体" w:cs="宋体" w:hint="eastAsia"/>
              </w:rPr>
              <w:t>资产管理</w:t>
            </w:r>
          </w:p>
          <w:p w:rsidR="003D7B9C" w:rsidRDefault="008E62D3">
            <w:pPr>
              <w:spacing w:line="260" w:lineRule="exact"/>
              <w:ind w:leftChars="-50" w:left="-105" w:rightChars="-50" w:right="-105"/>
              <w:jc w:val="center"/>
              <w:rPr>
                <w:rFonts w:ascii="宋体" w:hAnsi="宋体" w:cs="宋体"/>
              </w:rPr>
            </w:pPr>
            <w:r>
              <w:rPr>
                <w:rFonts w:ascii="宋体" w:hAnsi="宋体" w:cs="宋体" w:hint="eastAsia"/>
              </w:rPr>
              <w:t>安全性</w:t>
            </w:r>
          </w:p>
          <w:p w:rsidR="003D7B9C" w:rsidRDefault="008E62D3">
            <w:pPr>
              <w:spacing w:line="260" w:lineRule="exact"/>
              <w:ind w:leftChars="-50" w:left="-105" w:rightChars="-50" w:right="-105"/>
              <w:jc w:val="center"/>
              <w:rPr>
                <w:rFonts w:ascii="宋体" w:cs="宋体"/>
              </w:rPr>
            </w:pPr>
            <w:r>
              <w:rPr>
                <w:rFonts w:ascii="宋体" w:hAnsi="宋体" w:cs="宋体" w:hint="eastAsia"/>
              </w:rPr>
              <w:t>（</w:t>
            </w:r>
            <w:r>
              <w:rPr>
                <w:rFonts w:ascii="宋体" w:hAnsi="宋体" w:cs="宋体"/>
              </w:rPr>
              <w:t>2</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761"/>
                <w:tab w:val="left" w:pos="2604"/>
              </w:tabs>
              <w:spacing w:line="260" w:lineRule="exact"/>
              <w:jc w:val="center"/>
              <w:rPr>
                <w:rFonts w:ascii="宋体" w:cs="宋体"/>
              </w:rPr>
            </w:pPr>
            <w:r>
              <w:rPr>
                <w:rFonts w:ascii="宋体" w:cs="宋体" w:hint="eastAsia"/>
              </w:rPr>
              <w:t>2</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761"/>
                <w:tab w:val="left" w:pos="2604"/>
              </w:tabs>
              <w:spacing w:line="260" w:lineRule="exact"/>
              <w:ind w:leftChars="50" w:left="105" w:rightChars="50" w:right="105"/>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Borders>
              <w:tl2br w:val="nil"/>
              <w:tr2bl w:val="nil"/>
            </w:tcBorders>
            <w:tcMar>
              <w:top w:w="10" w:type="dxa"/>
              <w:left w:w="10" w:type="dxa"/>
              <w:bottom w:w="0" w:type="dxa"/>
              <w:right w:w="10" w:type="dxa"/>
            </w:tcMar>
            <w:vAlign w:val="center"/>
          </w:tcPr>
          <w:p w:rsidR="003D7B9C" w:rsidRDefault="008E62D3">
            <w:pPr>
              <w:spacing w:line="26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固定资产</w:t>
            </w:r>
          </w:p>
          <w:p w:rsidR="003D7B9C" w:rsidRDefault="008E62D3">
            <w:pPr>
              <w:ind w:leftChars="-50" w:left="-105" w:rightChars="-50" w:right="-105"/>
              <w:jc w:val="center"/>
              <w:rPr>
                <w:rFonts w:ascii="宋体" w:hAnsi="宋体" w:cs="宋体"/>
              </w:rPr>
            </w:pPr>
            <w:r>
              <w:rPr>
                <w:rFonts w:ascii="宋体" w:hAnsi="宋体" w:cs="宋体" w:hint="eastAsia"/>
              </w:rPr>
              <w:t>利用率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1</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1</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3D7B9C">
        <w:trPr>
          <w:trHeight w:val="567"/>
          <w:jc w:val="center"/>
        </w:trPr>
        <w:tc>
          <w:tcPr>
            <w:tcW w:w="305" w:type="pct"/>
            <w:vMerge w:val="restart"/>
            <w:tcBorders>
              <w:tl2br w:val="nil"/>
              <w:tr2bl w:val="nil"/>
            </w:tcBorders>
            <w:noWrap/>
            <w:tcMar>
              <w:top w:w="10" w:type="dxa"/>
              <w:left w:w="10" w:type="dxa"/>
              <w:bottom w:w="0" w:type="dxa"/>
              <w:right w:w="10" w:type="dxa"/>
            </w:tcMar>
            <w:textDirection w:val="tbRlV"/>
            <w:vAlign w:val="center"/>
          </w:tcPr>
          <w:p w:rsidR="003D7B9C" w:rsidRDefault="008E62D3">
            <w:pPr>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职责</w:t>
            </w:r>
            <w:r>
              <w:rPr>
                <w:rFonts w:ascii="宋体" w:cs="宋体"/>
              </w:rPr>
              <w:br/>
            </w:r>
            <w:r>
              <w:rPr>
                <w:rFonts w:ascii="宋体" w:hAnsi="宋体" w:cs="宋体" w:hint="eastAsia"/>
              </w:rPr>
              <w:t>履行</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30</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实际</w:t>
            </w:r>
          </w:p>
          <w:p w:rsidR="003D7B9C" w:rsidRDefault="008E62D3">
            <w:pPr>
              <w:ind w:leftChars="-50" w:left="-105" w:rightChars="-50" w:right="-105"/>
              <w:jc w:val="center"/>
              <w:rPr>
                <w:rFonts w:ascii="宋体" w:hAnsi="宋体" w:cs="宋体"/>
              </w:rPr>
            </w:pPr>
            <w:r>
              <w:rPr>
                <w:rFonts w:ascii="宋体" w:hAnsi="宋体" w:cs="宋体" w:hint="eastAsia"/>
              </w:rPr>
              <w:t>完成率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7</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3D7B9C">
        <w:trPr>
          <w:trHeight w:val="567"/>
          <w:jc w:val="center"/>
        </w:trPr>
        <w:tc>
          <w:tcPr>
            <w:tcW w:w="305" w:type="pct"/>
            <w:vMerge/>
            <w:tcBorders>
              <w:tl2br w:val="nil"/>
              <w:tr2bl w:val="nil"/>
            </w:tcBorders>
            <w:textDirection w:val="tbRlV"/>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完成</w:t>
            </w:r>
          </w:p>
          <w:p w:rsidR="003D7B9C" w:rsidRDefault="008E62D3">
            <w:pPr>
              <w:ind w:leftChars="-50" w:left="-105" w:rightChars="-50" w:right="-105"/>
              <w:jc w:val="center"/>
              <w:rPr>
                <w:rFonts w:ascii="宋体" w:hAnsi="宋体" w:cs="宋体"/>
              </w:rPr>
            </w:pPr>
            <w:r>
              <w:rPr>
                <w:rFonts w:ascii="宋体" w:hAnsi="宋体" w:cs="宋体" w:hint="eastAsia"/>
              </w:rPr>
              <w:t>及时率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3</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质量</w:t>
            </w:r>
          </w:p>
          <w:p w:rsidR="003D7B9C" w:rsidRDefault="008E62D3">
            <w:pPr>
              <w:ind w:leftChars="-50" w:left="-105" w:rightChars="-50" w:right="-105"/>
              <w:jc w:val="center"/>
              <w:rPr>
                <w:rFonts w:ascii="宋体" w:hAnsi="宋体" w:cs="宋体"/>
              </w:rPr>
            </w:pPr>
            <w:r>
              <w:rPr>
                <w:rFonts w:ascii="宋体" w:hAnsi="宋体" w:cs="宋体" w:hint="eastAsia"/>
              </w:rPr>
              <w:t>达标率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7</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重点工作</w:t>
            </w:r>
          </w:p>
          <w:p w:rsidR="003D7B9C" w:rsidRDefault="008E62D3">
            <w:pPr>
              <w:ind w:leftChars="-50" w:left="-105" w:rightChars="-50" w:right="-105"/>
              <w:jc w:val="center"/>
              <w:rPr>
                <w:rFonts w:ascii="宋体" w:hAnsi="宋体" w:cs="宋体"/>
              </w:rPr>
            </w:pPr>
            <w:r>
              <w:rPr>
                <w:rFonts w:ascii="宋体" w:hAnsi="宋体" w:cs="宋体" w:hint="eastAsia"/>
              </w:rPr>
              <w:t>办结率</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10</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9</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3D7B9C">
        <w:trPr>
          <w:trHeight w:val="567"/>
          <w:jc w:val="center"/>
        </w:trPr>
        <w:tc>
          <w:tcPr>
            <w:tcW w:w="305" w:type="pct"/>
            <w:vMerge w:val="restart"/>
            <w:tcBorders>
              <w:tl2br w:val="nil"/>
              <w:tr2bl w:val="nil"/>
            </w:tcBorders>
            <w:noWrap/>
            <w:tcMar>
              <w:top w:w="10" w:type="dxa"/>
              <w:left w:w="10" w:type="dxa"/>
              <w:bottom w:w="0" w:type="dxa"/>
              <w:right w:w="10" w:type="dxa"/>
            </w:tcMar>
            <w:textDirection w:val="tbRlV"/>
            <w:vAlign w:val="center"/>
          </w:tcPr>
          <w:p w:rsidR="003D7B9C" w:rsidRDefault="008E62D3">
            <w:pPr>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履职</w:t>
            </w:r>
            <w:r>
              <w:rPr>
                <w:rFonts w:ascii="宋体" w:cs="宋体"/>
              </w:rPr>
              <w:br/>
            </w:r>
            <w:r>
              <w:rPr>
                <w:rFonts w:ascii="宋体" w:hAnsi="宋体" w:cs="宋体" w:hint="eastAsia"/>
              </w:rPr>
              <w:t>效益</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20</w:t>
            </w:r>
            <w:r>
              <w:rPr>
                <w:rFonts w:ascii="宋体" w:hAnsi="宋体" w:cs="宋体" w:hint="eastAsia"/>
              </w:rPr>
              <w:t>分）</w:t>
            </w: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经济效益</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4</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部门履行职责对经济发展所带来的直接或间接影响。</w:t>
            </w:r>
          </w:p>
        </w:tc>
        <w:tc>
          <w:tcPr>
            <w:tcW w:w="1866" w:type="pct"/>
            <w:vMerge w:val="restar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社会效益</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vAlign w:val="center"/>
          </w:tcPr>
          <w:p w:rsidR="003D7B9C" w:rsidRDefault="008E62D3">
            <w:pPr>
              <w:tabs>
                <w:tab w:val="left" w:pos="2604"/>
              </w:tabs>
              <w:jc w:val="center"/>
              <w:rPr>
                <w:rFonts w:ascii="宋体" w:cs="宋体"/>
              </w:rPr>
            </w:pPr>
            <w:r>
              <w:rPr>
                <w:rFonts w:ascii="宋体" w:cs="宋体" w:hint="eastAsia"/>
              </w:rPr>
              <w:t>4</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部门履行职责对社会发展所带来的直接或间接影响。</w:t>
            </w:r>
          </w:p>
        </w:tc>
        <w:tc>
          <w:tcPr>
            <w:tcW w:w="1866" w:type="pct"/>
            <w:vMerge/>
            <w:tcBorders>
              <w:tl2br w:val="nil"/>
              <w:tr2bl w:val="nil"/>
            </w:tcBorders>
            <w:vAlign w:val="center"/>
          </w:tcPr>
          <w:p w:rsidR="003D7B9C" w:rsidRDefault="003D7B9C">
            <w:pPr>
              <w:ind w:leftChars="50" w:left="105" w:rightChars="50" w:right="105"/>
              <w:rPr>
                <w:rFonts w:ascii="宋体" w:cs="宋体"/>
              </w:rPr>
            </w:pP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hAnsi="宋体" w:cs="宋体"/>
              </w:rPr>
            </w:pPr>
            <w:r>
              <w:rPr>
                <w:rFonts w:ascii="宋体" w:hAnsi="宋体" w:cs="宋体" w:hint="eastAsia"/>
              </w:rPr>
              <w:t>生态效益</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vAlign w:val="center"/>
          </w:tcPr>
          <w:p w:rsidR="003D7B9C" w:rsidRDefault="008E62D3">
            <w:pPr>
              <w:tabs>
                <w:tab w:val="left" w:pos="2604"/>
              </w:tabs>
              <w:jc w:val="center"/>
              <w:rPr>
                <w:rFonts w:ascii="宋体" w:cs="宋体"/>
              </w:rPr>
            </w:pPr>
            <w:r>
              <w:rPr>
                <w:rFonts w:ascii="宋体" w:cs="宋体" w:hint="eastAsia"/>
              </w:rPr>
              <w:t>4</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部门履行职责对生态环境所带来的直接或间接影响。</w:t>
            </w:r>
          </w:p>
        </w:tc>
        <w:tc>
          <w:tcPr>
            <w:tcW w:w="1866" w:type="pct"/>
            <w:vMerge/>
            <w:tcBorders>
              <w:tl2br w:val="nil"/>
              <w:tr2bl w:val="nil"/>
            </w:tcBorders>
            <w:vAlign w:val="center"/>
          </w:tcPr>
          <w:p w:rsidR="003D7B9C" w:rsidRDefault="003D7B9C">
            <w:pPr>
              <w:ind w:leftChars="50" w:left="105" w:rightChars="50" w:right="105"/>
              <w:rPr>
                <w:rFonts w:ascii="宋体" w:cs="宋体"/>
              </w:rPr>
            </w:pPr>
          </w:p>
        </w:tc>
      </w:tr>
      <w:tr w:rsidR="003D7B9C">
        <w:trPr>
          <w:trHeight w:val="567"/>
          <w:jc w:val="center"/>
        </w:trPr>
        <w:tc>
          <w:tcPr>
            <w:tcW w:w="305" w:type="pct"/>
            <w:vMerge/>
            <w:tcBorders>
              <w:tl2br w:val="nil"/>
              <w:tr2bl w:val="nil"/>
            </w:tcBorders>
            <w:vAlign w:val="center"/>
          </w:tcPr>
          <w:p w:rsidR="003D7B9C" w:rsidRDefault="003D7B9C">
            <w:pPr>
              <w:jc w:val="center"/>
              <w:rPr>
                <w:rFonts w:ascii="宋体" w:cs="宋体"/>
              </w:rPr>
            </w:pPr>
          </w:p>
        </w:tc>
        <w:tc>
          <w:tcPr>
            <w:tcW w:w="375" w:type="pct"/>
            <w:vMerge/>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8E62D3">
            <w:pPr>
              <w:ind w:leftChars="-50" w:left="-105" w:rightChars="-50" w:right="-105"/>
              <w:jc w:val="center"/>
              <w:rPr>
                <w:rFonts w:ascii="宋体" w:cs="宋体"/>
              </w:rPr>
            </w:pPr>
            <w:r>
              <w:rPr>
                <w:rFonts w:ascii="宋体" w:hAnsi="宋体" w:cs="宋体" w:hint="eastAsia"/>
              </w:rPr>
              <w:t>社会公众</w:t>
            </w:r>
          </w:p>
          <w:p w:rsidR="003D7B9C" w:rsidRDefault="008E62D3">
            <w:pPr>
              <w:ind w:leftChars="-50" w:left="-105" w:rightChars="-50" w:right="-105"/>
              <w:jc w:val="center"/>
              <w:rPr>
                <w:rFonts w:ascii="宋体" w:cs="宋体"/>
              </w:rPr>
            </w:pPr>
            <w:r>
              <w:rPr>
                <w:rFonts w:ascii="宋体" w:hAnsi="宋体" w:cs="宋体" w:hint="eastAsia"/>
              </w:rPr>
              <w:t>或服务对</w:t>
            </w:r>
          </w:p>
          <w:p w:rsidR="003D7B9C" w:rsidRDefault="008E62D3">
            <w:pPr>
              <w:ind w:leftChars="-50" w:left="-105" w:rightChars="-50" w:right="-105"/>
              <w:jc w:val="center"/>
              <w:rPr>
                <w:rFonts w:ascii="宋体" w:hAnsi="宋体" w:cs="宋体"/>
              </w:rPr>
            </w:pPr>
            <w:r>
              <w:rPr>
                <w:rFonts w:ascii="宋体" w:hAnsi="宋体" w:cs="宋体" w:hint="eastAsia"/>
              </w:rPr>
              <w:t>象满意度</w:t>
            </w:r>
          </w:p>
          <w:p w:rsidR="003D7B9C" w:rsidRDefault="008E62D3">
            <w:pPr>
              <w:ind w:leftChars="-50" w:left="-105" w:rightChars="-50" w:right="-105"/>
              <w:jc w:val="center"/>
              <w:rPr>
                <w:rFonts w:ascii="宋体" w:cs="宋体"/>
              </w:rPr>
            </w:pPr>
            <w:r>
              <w:rPr>
                <w:rFonts w:ascii="宋体" w:hAnsi="宋体" w:cs="宋体" w:hint="eastAsia"/>
              </w:rPr>
              <w:t>（</w:t>
            </w:r>
            <w:r>
              <w:rPr>
                <w:rFonts w:ascii="宋体" w:hAnsi="宋体" w:cs="宋体"/>
              </w:rPr>
              <w:t>5</w:t>
            </w:r>
            <w:r>
              <w:rPr>
                <w:rFonts w:ascii="宋体" w:hAnsi="宋体" w:cs="宋体" w:hint="eastAsia"/>
              </w:rPr>
              <w:t>分）</w:t>
            </w: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5</w:t>
            </w:r>
          </w:p>
        </w:tc>
        <w:tc>
          <w:tcPr>
            <w:tcW w:w="1576" w:type="pct"/>
            <w:tcBorders>
              <w:tl2br w:val="nil"/>
              <w:tr2bl w:val="nil"/>
            </w:tcBorders>
            <w:tcMar>
              <w:top w:w="10" w:type="dxa"/>
              <w:left w:w="10" w:type="dxa"/>
              <w:bottom w:w="0" w:type="dxa"/>
              <w:right w:w="10" w:type="dxa"/>
            </w:tcMar>
            <w:vAlign w:val="center"/>
          </w:tcPr>
          <w:p w:rsidR="003D7B9C" w:rsidRDefault="008E62D3">
            <w:pPr>
              <w:tabs>
                <w:tab w:val="left" w:pos="2604"/>
              </w:tabs>
              <w:ind w:leftChars="50" w:left="105" w:rightChars="50" w:right="105"/>
              <w:rPr>
                <w:rFonts w:ascii="宋体" w:cs="宋体"/>
              </w:rPr>
            </w:pPr>
            <w:r>
              <w:rPr>
                <w:rFonts w:ascii="宋体" w:hAnsi="宋体" w:cs="宋体" w:hint="eastAsia"/>
              </w:rPr>
              <w:t>社会公众或部门的服务对象对部门履职效果的满意程度。</w:t>
            </w:r>
          </w:p>
        </w:tc>
        <w:tc>
          <w:tcPr>
            <w:tcW w:w="1866" w:type="pct"/>
            <w:tcBorders>
              <w:tl2br w:val="nil"/>
              <w:tr2bl w:val="nil"/>
            </w:tcBorders>
            <w:tcMar>
              <w:top w:w="10" w:type="dxa"/>
              <w:left w:w="10" w:type="dxa"/>
              <w:bottom w:w="0" w:type="dxa"/>
              <w:right w:w="10" w:type="dxa"/>
            </w:tcMar>
            <w:vAlign w:val="center"/>
          </w:tcPr>
          <w:p w:rsidR="003D7B9C" w:rsidRDefault="008E62D3">
            <w:pPr>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3D7B9C">
        <w:trPr>
          <w:trHeight w:val="432"/>
          <w:jc w:val="center"/>
        </w:trPr>
        <w:tc>
          <w:tcPr>
            <w:tcW w:w="305" w:type="pct"/>
            <w:tcBorders>
              <w:tl2br w:val="nil"/>
              <w:tr2bl w:val="nil"/>
            </w:tcBorders>
            <w:vAlign w:val="center"/>
          </w:tcPr>
          <w:p w:rsidR="003D7B9C" w:rsidRDefault="008E62D3">
            <w:pPr>
              <w:jc w:val="center"/>
              <w:rPr>
                <w:rFonts w:ascii="宋体" w:cs="宋体"/>
              </w:rPr>
            </w:pPr>
            <w:r>
              <w:rPr>
                <w:rFonts w:ascii="宋体" w:hAnsi="宋体" w:cs="宋体" w:hint="eastAsia"/>
              </w:rPr>
              <w:t>总分</w:t>
            </w:r>
          </w:p>
        </w:tc>
        <w:tc>
          <w:tcPr>
            <w:tcW w:w="375" w:type="pct"/>
            <w:tcBorders>
              <w:tl2br w:val="nil"/>
              <w:tr2bl w:val="nil"/>
            </w:tcBorders>
            <w:vAlign w:val="center"/>
          </w:tcPr>
          <w:p w:rsidR="003D7B9C" w:rsidRDefault="003D7B9C">
            <w:pPr>
              <w:ind w:leftChars="-50" w:left="-105" w:rightChars="-50" w:right="-105"/>
              <w:jc w:val="center"/>
              <w:rPr>
                <w:rFonts w:ascii="宋体" w:cs="宋体"/>
              </w:rPr>
            </w:pPr>
          </w:p>
        </w:tc>
        <w:tc>
          <w:tcPr>
            <w:tcW w:w="517" w:type="pct"/>
            <w:tcBorders>
              <w:tl2br w:val="nil"/>
              <w:tr2bl w:val="nil"/>
            </w:tcBorders>
            <w:tcMar>
              <w:top w:w="10" w:type="dxa"/>
              <w:left w:w="10" w:type="dxa"/>
              <w:bottom w:w="0" w:type="dxa"/>
              <w:right w:w="10" w:type="dxa"/>
            </w:tcMar>
            <w:vAlign w:val="center"/>
          </w:tcPr>
          <w:p w:rsidR="003D7B9C" w:rsidRDefault="003D7B9C">
            <w:pPr>
              <w:ind w:leftChars="-50" w:left="-105" w:rightChars="-50" w:right="-105"/>
              <w:jc w:val="center"/>
              <w:rPr>
                <w:rFonts w:ascii="宋体" w:cs="宋体"/>
              </w:rPr>
            </w:pPr>
          </w:p>
        </w:tc>
        <w:tc>
          <w:tcPr>
            <w:tcW w:w="359" w:type="pct"/>
            <w:tcBorders>
              <w:tl2br w:val="nil"/>
              <w:tr2bl w:val="nil"/>
            </w:tcBorders>
            <w:tcMar>
              <w:top w:w="10" w:type="dxa"/>
              <w:left w:w="10" w:type="dxa"/>
              <w:bottom w:w="0" w:type="dxa"/>
              <w:right w:w="10" w:type="dxa"/>
            </w:tcMar>
            <w:vAlign w:val="center"/>
          </w:tcPr>
          <w:p w:rsidR="003D7B9C" w:rsidRDefault="008E62D3">
            <w:pPr>
              <w:tabs>
                <w:tab w:val="left" w:pos="2604"/>
              </w:tabs>
              <w:jc w:val="center"/>
              <w:rPr>
                <w:rFonts w:ascii="宋体" w:cs="宋体"/>
              </w:rPr>
            </w:pPr>
            <w:r>
              <w:rPr>
                <w:rFonts w:ascii="宋体" w:cs="宋体" w:hint="eastAsia"/>
              </w:rPr>
              <w:t>93</w:t>
            </w:r>
          </w:p>
        </w:tc>
        <w:tc>
          <w:tcPr>
            <w:tcW w:w="1576" w:type="pct"/>
            <w:tcBorders>
              <w:tl2br w:val="nil"/>
              <w:tr2bl w:val="nil"/>
            </w:tcBorders>
            <w:tcMar>
              <w:top w:w="10" w:type="dxa"/>
              <w:left w:w="10" w:type="dxa"/>
              <w:bottom w:w="0" w:type="dxa"/>
              <w:right w:w="10" w:type="dxa"/>
            </w:tcMar>
            <w:vAlign w:val="center"/>
          </w:tcPr>
          <w:p w:rsidR="003D7B9C" w:rsidRDefault="003D7B9C" w:rsidP="007B4959">
            <w:pPr>
              <w:tabs>
                <w:tab w:val="left" w:pos="2604"/>
              </w:tabs>
              <w:ind w:leftChars="50" w:left="105" w:rightChars="50" w:right="105" w:firstLineChars="46" w:firstLine="97"/>
              <w:rPr>
                <w:rFonts w:ascii="宋体" w:cs="宋体"/>
              </w:rPr>
            </w:pPr>
          </w:p>
        </w:tc>
        <w:tc>
          <w:tcPr>
            <w:tcW w:w="1866" w:type="pct"/>
            <w:tcBorders>
              <w:tl2br w:val="nil"/>
              <w:tr2bl w:val="nil"/>
            </w:tcBorders>
            <w:tcMar>
              <w:top w:w="10" w:type="dxa"/>
              <w:left w:w="10" w:type="dxa"/>
              <w:bottom w:w="0" w:type="dxa"/>
              <w:right w:w="10" w:type="dxa"/>
            </w:tcMar>
            <w:vAlign w:val="center"/>
          </w:tcPr>
          <w:p w:rsidR="003D7B9C" w:rsidRDefault="003D7B9C">
            <w:pPr>
              <w:ind w:leftChars="50" w:left="105" w:rightChars="50" w:right="105"/>
              <w:rPr>
                <w:rFonts w:ascii="宋体" w:cs="宋体"/>
              </w:rPr>
            </w:pPr>
          </w:p>
        </w:tc>
      </w:tr>
    </w:tbl>
    <w:p w:rsidR="003D7B9C" w:rsidRDefault="003D7B9C">
      <w:pPr>
        <w:jc w:val="left"/>
        <w:rPr>
          <w:rFonts w:asciiTheme="minorEastAsia" w:hAnsiTheme="minorEastAsia" w:cs="黑体"/>
          <w:color w:val="000000"/>
          <w:kern w:val="0"/>
          <w:sz w:val="32"/>
          <w:szCs w:val="32"/>
        </w:rPr>
      </w:pPr>
    </w:p>
    <w:p w:rsidR="003D7B9C" w:rsidRDefault="003D7B9C"/>
    <w:sectPr w:rsidR="003D7B9C" w:rsidSect="003D7B9C">
      <w:pgSz w:w="11906" w:h="16838"/>
      <w:pgMar w:top="720" w:right="1531" w:bottom="720"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D3" w:rsidRDefault="008E62D3" w:rsidP="007B4959">
      <w:r>
        <w:separator/>
      </w:r>
    </w:p>
  </w:endnote>
  <w:endnote w:type="continuationSeparator" w:id="1">
    <w:p w:rsidR="008E62D3" w:rsidRDefault="008E62D3" w:rsidP="007B4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D3" w:rsidRDefault="008E62D3" w:rsidP="007B4959">
      <w:r>
        <w:separator/>
      </w:r>
    </w:p>
  </w:footnote>
  <w:footnote w:type="continuationSeparator" w:id="1">
    <w:p w:rsidR="008E62D3" w:rsidRDefault="008E62D3" w:rsidP="007B495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3D7B9C"/>
    <w:rsid w:val="003D7B9C"/>
    <w:rsid w:val="007B4959"/>
    <w:rsid w:val="008E62D3"/>
    <w:rsid w:val="79001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7B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D7B9C"/>
    <w:pPr>
      <w:jc w:val="left"/>
    </w:pPr>
  </w:style>
  <w:style w:type="paragraph" w:styleId="1">
    <w:name w:val="toc 1"/>
    <w:basedOn w:val="a"/>
    <w:next w:val="a"/>
    <w:qFormat/>
    <w:rsid w:val="003D7B9C"/>
    <w:rPr>
      <w:rFonts w:ascii="Times New Roman" w:eastAsia="宋体" w:hAnsi="Times New Roman" w:cs="Times New Roman"/>
      <w:szCs w:val="24"/>
    </w:rPr>
  </w:style>
  <w:style w:type="paragraph" w:styleId="a4">
    <w:name w:val="Normal (Web)"/>
    <w:basedOn w:val="a"/>
    <w:qFormat/>
    <w:rsid w:val="003D7B9C"/>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rsid w:val="003D7B9C"/>
    <w:rPr>
      <w:sz w:val="21"/>
      <w:szCs w:val="21"/>
    </w:rPr>
  </w:style>
  <w:style w:type="paragraph" w:styleId="a6">
    <w:name w:val="header"/>
    <w:basedOn w:val="a"/>
    <w:link w:val="Char"/>
    <w:rsid w:val="007B49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4959"/>
    <w:rPr>
      <w:kern w:val="2"/>
      <w:sz w:val="18"/>
      <w:szCs w:val="18"/>
    </w:rPr>
  </w:style>
  <w:style w:type="paragraph" w:styleId="a7">
    <w:name w:val="footer"/>
    <w:basedOn w:val="a"/>
    <w:link w:val="Char0"/>
    <w:rsid w:val="007B4959"/>
    <w:pPr>
      <w:tabs>
        <w:tab w:val="center" w:pos="4153"/>
        <w:tab w:val="right" w:pos="8306"/>
      </w:tabs>
      <w:snapToGrid w:val="0"/>
      <w:jc w:val="left"/>
    </w:pPr>
    <w:rPr>
      <w:sz w:val="18"/>
      <w:szCs w:val="18"/>
    </w:rPr>
  </w:style>
  <w:style w:type="character" w:customStyle="1" w:styleId="Char0">
    <w:name w:val="页脚 Char"/>
    <w:basedOn w:val="a0"/>
    <w:link w:val="a7"/>
    <w:rsid w:val="007B4959"/>
    <w:rPr>
      <w:kern w:val="2"/>
      <w:sz w:val="18"/>
      <w:szCs w:val="18"/>
    </w:rPr>
  </w:style>
  <w:style w:type="paragraph" w:styleId="a8">
    <w:name w:val="Balloon Text"/>
    <w:basedOn w:val="a"/>
    <w:link w:val="Char1"/>
    <w:rsid w:val="007B4959"/>
    <w:rPr>
      <w:sz w:val="18"/>
      <w:szCs w:val="18"/>
    </w:rPr>
  </w:style>
  <w:style w:type="character" w:customStyle="1" w:styleId="Char1">
    <w:name w:val="批注框文本 Char"/>
    <w:basedOn w:val="a0"/>
    <w:link w:val="a8"/>
    <w:rsid w:val="007B495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1325</Words>
  <Characters>7553</Characters>
  <Application>Microsoft Office Word</Application>
  <DocSecurity>0</DocSecurity>
  <Lines>62</Lines>
  <Paragraphs>17</Paragraphs>
  <ScaleCrop>false</ScaleCrop>
  <Company>微软中国</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2</cp:revision>
  <dcterms:created xsi:type="dcterms:W3CDTF">2023-06-17T09:12:00Z</dcterms:created>
  <dcterms:modified xsi:type="dcterms:W3CDTF">2023-10-05T11:43:00Z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0BD153EAF30247DFBEE35609038EA560_12</vt:lpwstr>
  </property>
</Properties>
</file>