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color w:val="000000"/>
          <w:kern w:val="0"/>
          <w:sz w:val="36"/>
          <w:szCs w:val="36"/>
          <w:highlight w:val="none"/>
        </w:rPr>
      </w:pPr>
      <w:r>
        <w:rPr>
          <w:rFonts w:hint="eastAsia" w:ascii="黑体" w:hAnsi="黑体" w:eastAsia="黑体" w:cs="黑体"/>
          <w:bCs/>
          <w:color w:val="000000"/>
          <w:kern w:val="0"/>
          <w:sz w:val="36"/>
          <w:szCs w:val="36"/>
          <w:highlight w:val="none"/>
        </w:rPr>
        <w:t>益阳市赫山区委组织部2021年红色美丽村庄建设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方正小标宋_GBK"/>
          <w:sz w:val="30"/>
          <w:szCs w:val="30"/>
          <w:highlight w:val="none"/>
        </w:rPr>
      </w:pPr>
      <w:r>
        <w:rPr>
          <w:rFonts w:hint="eastAsia" w:ascii="方正小标宋简体" w:eastAsia="方正小标宋简体" w:cs="方正小标宋_GBK"/>
          <w:sz w:val="36"/>
          <w:szCs w:val="36"/>
          <w:highlight w:val="none"/>
        </w:rPr>
        <w:t>项目支出绩效评价报告</w:t>
      </w:r>
      <w:r>
        <w:rPr>
          <w:rFonts w:eastAsia="黑体"/>
          <w:kern w:val="0"/>
          <w:sz w:val="30"/>
          <w:szCs w:val="30"/>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eastAsia="黑体"/>
          <w:sz w:val="30"/>
          <w:szCs w:val="30"/>
          <w:highlight w:val="none"/>
        </w:rPr>
      </w:pPr>
      <w:r>
        <w:rPr>
          <w:rFonts w:hint="eastAsia" w:eastAsia="黑体" w:cs="黑体"/>
          <w:sz w:val="30"/>
          <w:szCs w:val="30"/>
          <w:highlight w:val="none"/>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（一）预算支出概况。</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rPr>
      </w:pPr>
      <w:r>
        <w:rPr>
          <w:rFonts w:hint="eastAsia" w:eastAsia="仿宋_GB2312" w:cs="仿宋_GB2312"/>
          <w:sz w:val="30"/>
          <w:szCs w:val="30"/>
          <w:highlight w:val="none"/>
        </w:rPr>
        <w:t>本单位2021年项目支出175.36万元，为2020年中央第二批农村综合改革转移支付红色美丽村庄建设试点专项资金。</w:t>
      </w:r>
      <w:r>
        <w:rPr>
          <w:rFonts w:hint="eastAsia" w:eastAsia="仿宋_GB2312" w:cs="仿宋_GB2312"/>
          <w:sz w:val="30"/>
          <w:szCs w:val="30"/>
          <w:highlight w:val="none"/>
          <w:lang w:eastAsia="zh-CN"/>
        </w:rPr>
        <w:t>区委组织部负责统筹协调八字哨镇金家堤村红色美丽村庄建设，各区直部门分工协作，整合资金、人才、规划、土地等各方面资源要素，相互配合共同推进工作。八字哨镇党委负责将美丽村庄建设纳入镇区经济社会发展规划，定期研究解决美丽村庄建设工作中的重大问题，全面组织指导协调金家堤村开展红色美丽村庄建设。</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预算资金使用管理情况。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rPr>
      </w:pPr>
      <w:r>
        <w:rPr>
          <w:rFonts w:hint="eastAsia" w:eastAsia="仿宋_GB2312" w:cs="仿宋_GB2312"/>
          <w:sz w:val="30"/>
          <w:szCs w:val="30"/>
          <w:highlight w:val="none"/>
          <w:lang w:eastAsia="zh-CN"/>
        </w:rPr>
        <w:t>健全了项目资金财务管理制度，财务会计和出纳按岗位分设、印鉴分设管理，账务处理及时、会计核算规范，符合会计管理要求。项目</w:t>
      </w:r>
      <w:r>
        <w:rPr>
          <w:rFonts w:hint="eastAsia" w:eastAsia="仿宋_GB2312" w:cs="仿宋_GB2312"/>
          <w:sz w:val="30"/>
          <w:szCs w:val="30"/>
          <w:highlight w:val="none"/>
        </w:rPr>
        <w:t>资金支出内容符合项目预算批复同规定的用途，不存在截留、挤占、挪用、虚列支出等情况。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（三）预算支出绩效目标完成程度。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一是红色资源挖掘充分。由区委组织部牵头，区文旅广体局具体负责，通过询问参战老兵、“百岁老人”、老党员以及走访欧阳笛渔、欧阳泽后人等方式，搜集整理红色史料、创作红色作品，挖掘红色文化故事10余个。组建由2名专业讲解员，5名红色文化宣讲员组成的志愿者讲解服务队，全面开展红色文化宣讲。二是红色载体塑造得当。修建有中共金家堤支部陈列馆、赫山党史馆，益阳市重要的党史党性教育基地、红色文化教育基地、爱国主义教育基地、廉政建设教育基地，成为广大党员、群众学习革命传统、陶冶道德情操的重要课堂。三是红色精神引领到位。以红色精神的传承赓续不断激发广大党员群众创造美好幸福生活的磅礴力量。建立常态化志愿服务名单，组建人居环境志愿服务队、综治巡逻志愿服务队，引领党员群众投入村庄发展中来。</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黑体" w:cs="黑体"/>
          <w:sz w:val="30"/>
          <w:szCs w:val="30"/>
          <w:highlight w:val="none"/>
        </w:rPr>
      </w:pPr>
      <w:r>
        <w:rPr>
          <w:rFonts w:hint="eastAsia" w:eastAsia="黑体" w:cs="黑体"/>
          <w:sz w:val="30"/>
          <w:szCs w:val="30"/>
          <w:highlight w:val="none"/>
        </w:rPr>
        <w:t>二、绩效评价工作情况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严格按照《财政部关于印发〈农村综合改革转移支付管理办法〉的通知》（财农〔2021〕36号）等政策文件要求，加强财政奖补资金监管，切实提高资金使用效益。依据设定的项目支出绩效评价指标体系进行了评分，形成了综合性书面报告。</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黑体" w:cs="黑体"/>
          <w:sz w:val="30"/>
          <w:szCs w:val="30"/>
          <w:highlight w:val="none"/>
        </w:rPr>
      </w:pPr>
      <w:r>
        <w:rPr>
          <w:rFonts w:hint="eastAsia" w:eastAsia="黑体" w:cs="黑体"/>
          <w:sz w:val="30"/>
          <w:szCs w:val="30"/>
          <w:highlight w:val="none"/>
        </w:rPr>
        <w:t>三、预算支出主要绩效及评价结论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预算绩效评价自评为96分，具体绩效情况如下：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1.预算支出决策。预算支出决策（项目立项）符合法律法规、相关政策、发展规划以及部门职责；预算支出申请、设立过程符合相关要求；事前已经过必要的可行性研究、专家论证、风险评估、绩效评估、集体决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2.绩效目标。预算支出所设定的绩效目标依据充分，符合客观实际；依据绩效目标设定的绩效指标清晰、细化、可衡量。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eastAsia="仿宋_GB2312" w:cs="仿宋_GB2312"/>
          <w:sz w:val="30"/>
          <w:szCs w:val="30"/>
          <w:highlight w:val="none"/>
          <w:lang w:val="en-US" w:eastAsia="zh-CN"/>
        </w:rPr>
      </w:pPr>
      <w:r>
        <w:rPr>
          <w:rFonts w:hint="eastAsia" w:eastAsia="仿宋_GB2312" w:cs="仿宋_GB2312"/>
          <w:sz w:val="30"/>
          <w:szCs w:val="30"/>
          <w:highlight w:val="none"/>
          <w:lang w:val="en-US" w:eastAsia="zh-CN"/>
        </w:rPr>
        <w:t>3.资金投入。预算编制经过科学论证、有明确标准，资金额度与年度目标相适应；预算资金分配有测算依据，与补助单位或地方实际相适应。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val="en-US" w:eastAsia="zh-CN"/>
        </w:rPr>
        <w:t>4</w:t>
      </w:r>
      <w:r>
        <w:rPr>
          <w:rFonts w:hint="eastAsia" w:eastAsia="仿宋_GB2312" w:cs="仿宋_GB2312"/>
          <w:sz w:val="30"/>
          <w:szCs w:val="30"/>
          <w:highlight w:val="none"/>
          <w:lang w:eastAsia="zh-CN"/>
        </w:rPr>
        <w:t>.资金管理。预算资金按照计划执行，资金到位率100%；预算资金使用符合相关的财务管理制度规定；预算支出实施单位的财务和业务管理制度健全</w:t>
      </w:r>
      <w:r>
        <w:rPr>
          <w:rFonts w:hint="eastAsia" w:eastAsia="仿宋_GB2312" w:cs="仿宋_GB2312"/>
          <w:sz w:val="30"/>
          <w:szCs w:val="30"/>
          <w:highlight w:val="none"/>
          <w:lang w:val="en-US" w:eastAsia="zh-CN"/>
        </w:rPr>
        <w:t>；预算支出实施符合相关业务管理规定</w:t>
      </w:r>
      <w:r>
        <w:rPr>
          <w:rFonts w:hint="eastAsia" w:eastAsia="仿宋_GB2312" w:cs="仿宋_GB2312"/>
          <w:sz w:val="30"/>
          <w:szCs w:val="30"/>
          <w:highlight w:val="none"/>
          <w:lang w:eastAsia="zh-CN"/>
        </w:rPr>
        <w:t>；预算资金使用符合相关的财务管理制度规定。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eastAsia="仿宋_GB2312" w:cs="仿宋_GB2312"/>
          <w:sz w:val="30"/>
          <w:szCs w:val="30"/>
          <w:highlight w:val="none"/>
          <w:lang w:val="en-US" w:eastAsia="zh-CN"/>
        </w:rPr>
      </w:pPr>
      <w:r>
        <w:rPr>
          <w:rFonts w:hint="eastAsia" w:eastAsia="仿宋_GB2312" w:cs="仿宋_GB2312"/>
          <w:sz w:val="30"/>
          <w:szCs w:val="30"/>
          <w:highlight w:val="none"/>
          <w:lang w:val="en-US" w:eastAsia="zh-CN"/>
        </w:rPr>
        <w:t>5.预算支出产出。预算支出实施单位如期、保质、保量完成既定工作目标，节约了成本，</w:t>
      </w:r>
      <w:r>
        <w:rPr>
          <w:rFonts w:hint="eastAsia" w:eastAsia="仿宋_GB2312" w:cs="仿宋_GB2312"/>
          <w:sz w:val="30"/>
          <w:szCs w:val="30"/>
          <w:highlight w:val="none"/>
          <w:lang w:eastAsia="zh-CN"/>
        </w:rPr>
        <w:t>对于增加群众收入、提升群众生活品质有积极的推动作用，当地群众</w:t>
      </w:r>
      <w:r>
        <w:rPr>
          <w:rFonts w:hint="eastAsia" w:eastAsia="仿宋_GB2312" w:cs="仿宋_GB2312"/>
          <w:sz w:val="30"/>
          <w:szCs w:val="30"/>
          <w:highlight w:val="none"/>
          <w:lang w:val="en-US" w:eastAsia="zh-CN"/>
        </w:rPr>
        <w:t>对项目实施效果满意。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eastAsia="黑体"/>
          <w:sz w:val="30"/>
          <w:szCs w:val="30"/>
          <w:highlight w:val="none"/>
        </w:rPr>
      </w:pPr>
      <w:r>
        <w:rPr>
          <w:rFonts w:hint="eastAsia" w:eastAsia="黑体" w:cs="黑体"/>
          <w:sz w:val="30"/>
          <w:szCs w:val="30"/>
          <w:highlight w:val="none"/>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（一）预算支出决策情况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项目立项依据充分；绩效目标与预算支出相匹配；2020年中央第二批农村综合改革转移支付红色美丽村庄建设试点专项资金175.36万元，严格对项目资金实行专款专用，项目资金全部实施国库集中支付管理。对于下拨资金，全部经由部务会研究决定。</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预算执行过程情况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严格按照《财政部关于印发〈农村综合改革转移支付管理办法〉的通知》（财农〔2021〕36号）等政策文件要求，预算资金按照计划执行，专款专用，按时足额拨付项目资金，资金到位率100%，不存在截留、挤占、挪用、虚列支出等情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预算支出产出情况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val="en-US" w:eastAsia="zh-CN"/>
        </w:rPr>
      </w:pPr>
      <w:r>
        <w:rPr>
          <w:rFonts w:hint="eastAsia" w:eastAsia="仿宋_GB2312" w:cs="仿宋_GB2312"/>
          <w:sz w:val="30"/>
          <w:szCs w:val="30"/>
          <w:highlight w:val="none"/>
          <w:lang w:eastAsia="zh-CN"/>
        </w:rPr>
        <w:t>八字哨镇金家堤村以基础公共服务（一门式）全覆盖工作要求为指引，村部打造了390平方米党群服务中心，配齐党员服务中心、村民活动中心、党支部活动中心。创建“党支部+合作社+农户”、“党支部+生态农庄+农旅文融合”、“党员领办+群众参与”等模式，形成“土地流转+劳务就业+股份分红”、“村民入股+保底收益+按股分红”等多种利益联结机制，引导在村党员带头创办领办农民合作社、家庭农场等新型农业经营主体12家，带动村民创收近百万元。充分挖掘红色文化资源、绿色农业资源，全面推进农、旅、文融合发展。将中共金家堤支部陈列馆、卜豆角生态农庄、金家堤农业科技发展有限公司、苦竹湖生态园等景点连线，开发出一条集红色教育、田园采摘、农业观光、水乡风情、民宿美食为一体的精品旅游路线，实现资源共享、产业互补，群众收入、村级集体经济收入均有大幅增长。</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02" w:firstLineChars="200"/>
        <w:textAlignment w:val="auto"/>
        <w:rPr>
          <w:rFonts w:hint="eastAsia" w:eastAsia="楷体_GB2312" w:cs="楷体_GB2312"/>
          <w:b/>
          <w:bCs/>
          <w:sz w:val="30"/>
          <w:szCs w:val="30"/>
          <w:highlight w:val="none"/>
        </w:rPr>
      </w:pPr>
      <w:r>
        <w:rPr>
          <w:rFonts w:hint="eastAsia" w:eastAsia="楷体_GB2312" w:cs="楷体_GB2312"/>
          <w:b/>
          <w:bCs/>
          <w:sz w:val="30"/>
          <w:szCs w:val="30"/>
          <w:highlight w:val="none"/>
        </w:rPr>
        <w:t>预算支出效益情况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做大富足有余“集体蛋糕”，谱好集体经济“增长曲”。对于增加群众收入、提升群众生活品质、加快八字哨镇红色旅游发展具有积极的推动作用。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eastAsia="黑体"/>
          <w:sz w:val="30"/>
          <w:szCs w:val="30"/>
          <w:highlight w:val="none"/>
        </w:rPr>
      </w:pPr>
      <w:r>
        <w:rPr>
          <w:rFonts w:hint="eastAsia" w:eastAsia="黑体" w:cs="黑体"/>
          <w:sz w:val="30"/>
          <w:szCs w:val="30"/>
          <w:highlight w:val="none"/>
        </w:rPr>
        <w:t>五、主要经验及做法、存在的问题及原因分析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eastAsia="仿宋_GB2312" w:cs="仿宋_GB2312"/>
          <w:sz w:val="30"/>
          <w:szCs w:val="30"/>
          <w:highlight w:val="none"/>
          <w:lang w:eastAsia="zh-CN"/>
        </w:rPr>
      </w:pPr>
      <w:r>
        <w:rPr>
          <w:rFonts w:hint="eastAsia" w:eastAsia="仿宋_GB2312" w:cs="仿宋_GB2312"/>
          <w:sz w:val="30"/>
          <w:szCs w:val="30"/>
          <w:highlight w:val="none"/>
          <w:lang w:eastAsia="zh-CN"/>
        </w:rPr>
        <w:t>赫山区开展红色美丽乡村建设以来，充分依托三湘第一个农村党支部的红色资源，提高站位谋规划，强化担当抓落实，推动各项工作落地落细。加强财政资金绩效管理，在预算执行过程中，对照下达的绩效目标，做好绩效运行监控和绩效评价，确保年度绩效目标如期实现。</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黑体" w:cs="黑体"/>
          <w:sz w:val="30"/>
          <w:szCs w:val="30"/>
          <w:highlight w:val="none"/>
        </w:rPr>
      </w:pPr>
    </w:p>
    <w:p>
      <w:pPr>
        <w:spacing w:line="480" w:lineRule="exact"/>
        <w:ind w:firstLine="640" w:firstLineChars="200"/>
        <w:rPr>
          <w:rFonts w:hint="eastAsia" w:eastAsia="黑体" w:cs="黑体"/>
          <w:sz w:val="32"/>
          <w:szCs w:val="32"/>
          <w:highlight w:val="yellow"/>
        </w:rPr>
      </w:pPr>
    </w:p>
    <w:p>
      <w:pPr>
        <w:spacing w:line="480" w:lineRule="exact"/>
        <w:ind w:firstLine="640" w:firstLineChars="200"/>
        <w:rPr>
          <w:rFonts w:hint="eastAsia" w:eastAsia="黑体" w:cs="黑体"/>
          <w:sz w:val="32"/>
          <w:szCs w:val="32"/>
          <w:highlight w:val="yellow"/>
        </w:rPr>
      </w:pPr>
    </w:p>
    <w:p>
      <w:pPr>
        <w:spacing w:line="480" w:lineRule="exact"/>
        <w:ind w:firstLine="640" w:firstLineChars="200"/>
        <w:rPr>
          <w:rFonts w:hint="eastAsia" w:eastAsia="黑体" w:cs="黑体"/>
          <w:sz w:val="32"/>
          <w:szCs w:val="32"/>
          <w:highlight w:val="yellow"/>
        </w:rPr>
      </w:pPr>
    </w:p>
    <w:p>
      <w:pPr>
        <w:spacing w:line="480" w:lineRule="exact"/>
        <w:rPr>
          <w:rFonts w:hint="eastAsia" w:eastAsia="黑体" w:cs="黑体"/>
          <w:sz w:val="32"/>
          <w:szCs w:val="32"/>
          <w:highlight w:val="yellow"/>
        </w:rPr>
      </w:pPr>
    </w:p>
    <w:p>
      <w:pPr>
        <w:spacing w:line="480" w:lineRule="exact"/>
        <w:ind w:firstLine="640" w:firstLineChars="200"/>
        <w:rPr>
          <w:rFonts w:hint="eastAsia" w:eastAsia="黑体" w:cs="黑体"/>
          <w:sz w:val="32"/>
          <w:szCs w:val="32"/>
          <w:highlight w:val="yellow"/>
        </w:rPr>
      </w:pPr>
    </w:p>
    <w:p>
      <w:pPr>
        <w:spacing w:line="480" w:lineRule="exact"/>
        <w:ind w:firstLine="640" w:firstLineChars="200"/>
        <w:rPr>
          <w:rFonts w:hint="eastAsia" w:eastAsia="黑体" w:cs="黑体"/>
          <w:sz w:val="32"/>
          <w:szCs w:val="32"/>
          <w:highlight w:val="yellow"/>
        </w:rPr>
      </w:pPr>
    </w:p>
    <w:p>
      <w:pPr>
        <w:spacing w:line="480" w:lineRule="exact"/>
        <w:ind w:firstLine="640" w:firstLineChars="200"/>
        <w:rPr>
          <w:rFonts w:hint="eastAsia" w:eastAsia="黑体" w:cs="黑体"/>
          <w:sz w:val="32"/>
          <w:szCs w:val="32"/>
          <w:highlight w:val="yellow"/>
        </w:rPr>
      </w:pPr>
    </w:p>
    <w:p>
      <w:pPr>
        <w:spacing w:line="480" w:lineRule="exact"/>
        <w:ind w:firstLine="640" w:firstLineChars="200"/>
        <w:rPr>
          <w:rFonts w:hint="eastAsia" w:eastAsia="黑体" w:cs="黑体"/>
          <w:sz w:val="32"/>
          <w:szCs w:val="32"/>
          <w:highlight w:val="yellow"/>
        </w:rPr>
      </w:pPr>
    </w:p>
    <w:p>
      <w:pPr>
        <w:spacing w:afterLines="50" w:line="400" w:lineRule="exact"/>
        <w:jc w:val="center"/>
        <w:rPr>
          <w:rFonts w:ascii="方正小标宋简体" w:eastAsia="方正小标宋简体" w:cs="方正小标宋_GBK"/>
          <w:sz w:val="36"/>
          <w:szCs w:val="36"/>
          <w:highlight w:val="none"/>
        </w:rPr>
      </w:pPr>
      <w:r>
        <w:rPr>
          <w:rFonts w:hint="eastAsia" w:ascii="方正小标宋简体" w:eastAsia="方正小标宋简体" w:cs="方正小标宋_GBK"/>
          <w:sz w:val="36"/>
          <w:szCs w:val="36"/>
          <w:highlight w:val="none"/>
        </w:rPr>
        <w:t>2021年度项目支出绩效自评指标计分表</w:t>
      </w:r>
    </w:p>
    <w:tbl>
      <w:tblPr>
        <w:tblStyle w:val="2"/>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hAnsi="宋体" w:cs="宋体"/>
                <w:b/>
                <w:bCs/>
                <w:highlight w:val="none"/>
              </w:rPr>
            </w:pPr>
            <w:r>
              <w:rPr>
                <w:rFonts w:hint="eastAsia" w:ascii="宋体" w:hAnsi="宋体" w:cs="宋体"/>
                <w:b/>
                <w:bCs/>
                <w:highlight w:val="none"/>
              </w:rPr>
              <w:t>一级</w:t>
            </w:r>
          </w:p>
          <w:p>
            <w:pPr>
              <w:spacing w:line="240" w:lineRule="exact"/>
              <w:jc w:val="center"/>
              <w:rPr>
                <w:rFonts w:ascii="宋体"/>
                <w:b/>
                <w:bCs/>
                <w:highlight w:val="none"/>
              </w:rPr>
            </w:pPr>
            <w:r>
              <w:rPr>
                <w:rFonts w:hint="eastAsia" w:ascii="宋体" w:hAnsi="宋体" w:cs="宋体"/>
                <w:b/>
                <w:bCs/>
                <w:highlight w:val="none"/>
              </w:rPr>
              <w:t>指标</w:t>
            </w:r>
          </w:p>
        </w:tc>
        <w:tc>
          <w:tcPr>
            <w:tcW w:w="247" w:type="pct"/>
            <w:tcMar>
              <w:top w:w="10" w:type="dxa"/>
              <w:left w:w="10" w:type="dxa"/>
              <w:bottom w:w="0" w:type="dxa"/>
              <w:right w:w="10" w:type="dxa"/>
            </w:tcMar>
            <w:vAlign w:val="center"/>
          </w:tcPr>
          <w:p>
            <w:pPr>
              <w:spacing w:line="240" w:lineRule="exact"/>
              <w:jc w:val="center"/>
              <w:rPr>
                <w:rFonts w:ascii="宋体" w:hAnsi="宋体" w:cs="宋体"/>
                <w:b/>
                <w:bCs/>
                <w:highlight w:val="none"/>
              </w:rPr>
            </w:pPr>
            <w:r>
              <w:rPr>
                <w:rFonts w:hint="eastAsia" w:ascii="宋体" w:hAnsi="宋体" w:cs="宋体"/>
                <w:b/>
                <w:bCs/>
                <w:highlight w:val="none"/>
              </w:rPr>
              <w:t>二级</w:t>
            </w:r>
          </w:p>
          <w:p>
            <w:pPr>
              <w:spacing w:line="240" w:lineRule="exact"/>
              <w:jc w:val="center"/>
              <w:rPr>
                <w:rFonts w:ascii="宋体"/>
                <w:b/>
                <w:bCs/>
                <w:highlight w:val="none"/>
              </w:rPr>
            </w:pPr>
            <w:r>
              <w:rPr>
                <w:rFonts w:hint="eastAsia" w:ascii="宋体" w:hAnsi="宋体" w:cs="宋体"/>
                <w:b/>
                <w:bCs/>
                <w:highlight w:val="none"/>
              </w:rPr>
              <w:t>指标</w:t>
            </w:r>
          </w:p>
        </w:tc>
        <w:tc>
          <w:tcPr>
            <w:tcW w:w="454" w:type="pct"/>
            <w:tcMar>
              <w:top w:w="10" w:type="dxa"/>
              <w:left w:w="10" w:type="dxa"/>
              <w:bottom w:w="0" w:type="dxa"/>
              <w:right w:w="10" w:type="dxa"/>
            </w:tcMar>
            <w:vAlign w:val="center"/>
          </w:tcPr>
          <w:p>
            <w:pPr>
              <w:spacing w:line="240" w:lineRule="exact"/>
              <w:jc w:val="center"/>
              <w:rPr>
                <w:rFonts w:ascii="宋体"/>
                <w:b/>
                <w:bCs/>
                <w:highlight w:val="none"/>
              </w:rPr>
            </w:pPr>
            <w:r>
              <w:rPr>
                <w:rFonts w:hint="eastAsia" w:ascii="宋体" w:hAnsi="宋体" w:cs="宋体"/>
                <w:b/>
                <w:bCs/>
                <w:highlight w:val="none"/>
              </w:rPr>
              <w:t>三级指标</w:t>
            </w:r>
          </w:p>
        </w:tc>
        <w:tc>
          <w:tcPr>
            <w:tcW w:w="294" w:type="pct"/>
          </w:tcPr>
          <w:p>
            <w:pPr>
              <w:spacing w:line="240" w:lineRule="exact"/>
              <w:jc w:val="center"/>
              <w:rPr>
                <w:rFonts w:ascii="宋体"/>
                <w:b/>
                <w:bCs/>
                <w:highlight w:val="none"/>
              </w:rPr>
            </w:pPr>
            <w:r>
              <w:rPr>
                <w:rFonts w:hint="eastAsia" w:ascii="宋体" w:hAnsi="宋体" w:cs="宋体"/>
                <w:b/>
                <w:bCs/>
                <w:highlight w:val="none"/>
              </w:rPr>
              <w:t>自评分</w:t>
            </w:r>
          </w:p>
        </w:tc>
        <w:tc>
          <w:tcPr>
            <w:tcW w:w="1428" w:type="pct"/>
            <w:tcMar>
              <w:top w:w="10" w:type="dxa"/>
              <w:left w:w="10" w:type="dxa"/>
              <w:bottom w:w="0" w:type="dxa"/>
              <w:right w:w="10" w:type="dxa"/>
            </w:tcMar>
            <w:vAlign w:val="center"/>
          </w:tcPr>
          <w:p>
            <w:pPr>
              <w:spacing w:line="240" w:lineRule="exact"/>
              <w:jc w:val="center"/>
              <w:rPr>
                <w:rFonts w:ascii="宋体"/>
                <w:b/>
                <w:bCs/>
                <w:highlight w:val="none"/>
              </w:rPr>
            </w:pPr>
            <w:r>
              <w:rPr>
                <w:rFonts w:hint="eastAsia" w:ascii="宋体" w:hAnsi="宋体" w:cs="宋体"/>
                <w:b/>
                <w:bCs/>
                <w:highlight w:val="none"/>
              </w:rPr>
              <w:t>指标解释</w:t>
            </w:r>
          </w:p>
        </w:tc>
        <w:tc>
          <w:tcPr>
            <w:tcW w:w="2282" w:type="pct"/>
            <w:tcMar>
              <w:top w:w="10" w:type="dxa"/>
              <w:left w:w="10" w:type="dxa"/>
              <w:bottom w:w="0" w:type="dxa"/>
              <w:right w:w="10" w:type="dxa"/>
            </w:tcMar>
            <w:vAlign w:val="center"/>
          </w:tcPr>
          <w:p>
            <w:pPr>
              <w:spacing w:line="240" w:lineRule="exact"/>
              <w:jc w:val="center"/>
              <w:rPr>
                <w:rFonts w:ascii="宋体"/>
                <w:b/>
                <w:bCs/>
                <w:highlight w:val="none"/>
              </w:rPr>
            </w:pPr>
            <w:r>
              <w:rPr>
                <w:rFonts w:hint="eastAsia" w:ascii="宋体" w:hAnsi="宋体" w:cs="宋体"/>
                <w:b/>
                <w:bCs/>
                <w:highlight w:val="none"/>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highlight w:val="none"/>
              </w:rPr>
            </w:pPr>
            <w:r>
              <w:rPr>
                <w:rFonts w:hint="eastAsia" w:ascii="宋体" w:hAnsi="宋体" w:cs="宋体"/>
                <w:highlight w:val="none"/>
              </w:rPr>
              <w:t>决</w:t>
            </w:r>
            <w:r>
              <w:rPr>
                <w:rFonts w:ascii="宋体" w:hAnsi="宋体" w:cs="宋体"/>
                <w:highlight w:val="none"/>
              </w:rPr>
              <w:t xml:space="preserve">  </w:t>
            </w:r>
            <w:r>
              <w:rPr>
                <w:rFonts w:hint="eastAsia" w:ascii="宋体" w:hAnsi="宋体" w:cs="宋体"/>
                <w:highlight w:val="none"/>
              </w:rPr>
              <w:t>策（</w:t>
            </w:r>
            <w:r>
              <w:rPr>
                <w:rFonts w:ascii="宋体" w:hAnsi="宋体" w:cs="宋体"/>
                <w:highlight w:val="none"/>
              </w:rPr>
              <w:t>20</w:t>
            </w:r>
            <w:r>
              <w:rPr>
                <w:rFonts w:hint="eastAsia" w:ascii="宋体" w:hAnsi="宋体" w:cs="宋体"/>
                <w:highlight w:val="none"/>
              </w:rPr>
              <w:t>分）</w:t>
            </w:r>
          </w:p>
        </w:tc>
        <w:tc>
          <w:tcPr>
            <w:tcW w:w="247" w:type="pct"/>
            <w:vMerge w:val="restart"/>
            <w:tcMar>
              <w:top w:w="10" w:type="dxa"/>
              <w:left w:w="10" w:type="dxa"/>
              <w:bottom w:w="0" w:type="dxa"/>
              <w:right w:w="10" w:type="dxa"/>
            </w:tcMar>
            <w:vAlign w:val="center"/>
          </w:tcPr>
          <w:p>
            <w:pPr>
              <w:spacing w:line="240" w:lineRule="exact"/>
              <w:jc w:val="center"/>
              <w:rPr>
                <w:rFonts w:ascii="宋体"/>
                <w:highlight w:val="none"/>
              </w:rPr>
            </w:pPr>
            <w:r>
              <w:rPr>
                <w:rFonts w:hint="eastAsia" w:ascii="宋体" w:hAnsi="宋体" w:cs="宋体"/>
                <w:highlight w:val="none"/>
              </w:rPr>
              <w:t>预算支出决策</w:t>
            </w:r>
          </w:p>
          <w:p>
            <w:pPr>
              <w:spacing w:line="240" w:lineRule="exact"/>
              <w:jc w:val="center"/>
              <w:rPr>
                <w:rFonts w:ascii="宋体"/>
                <w:highlight w:val="none"/>
              </w:rPr>
            </w:pPr>
            <w:r>
              <w:rPr>
                <w:rFonts w:hint="eastAsia" w:ascii="宋体" w:hAnsi="宋体" w:cs="宋体"/>
                <w:highlight w:val="none"/>
              </w:rPr>
              <w:t>（项目立项）（</w:t>
            </w:r>
            <w:r>
              <w:rPr>
                <w:rFonts w:ascii="宋体" w:hAnsi="宋体" w:cs="宋体"/>
                <w:highlight w:val="none"/>
              </w:rPr>
              <w:t>8</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预算支出决策（项目立项）依据</w:t>
            </w:r>
          </w:p>
          <w:p>
            <w:pPr>
              <w:spacing w:line="240" w:lineRule="exact"/>
              <w:ind w:left="105" w:leftChars="50" w:right="105" w:rightChars="50"/>
              <w:jc w:val="center"/>
              <w:rPr>
                <w:rFonts w:ascii="宋体"/>
                <w:highlight w:val="none"/>
              </w:rPr>
            </w:pPr>
            <w:r>
              <w:rPr>
                <w:rFonts w:hint="eastAsia" w:ascii="宋体" w:hAnsi="宋体" w:cs="宋体"/>
                <w:highlight w:val="none"/>
              </w:rPr>
              <w:t>充分性（</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评价要点：</w:t>
            </w:r>
          </w:p>
          <w:p>
            <w:pPr>
              <w:spacing w:line="240" w:lineRule="exact"/>
              <w:ind w:left="105" w:leftChars="50" w:right="105" w:rightChars="50"/>
              <w:rPr>
                <w:rFonts w:ascii="宋体" w:hAnsi="宋体" w:cs="宋体"/>
                <w:highlight w:val="none"/>
              </w:rPr>
            </w:pPr>
            <w:r>
              <w:rPr>
                <w:rFonts w:hint="eastAsia" w:ascii="宋体" w:hAnsi="宋体" w:cs="宋体"/>
                <w:highlight w:val="none"/>
              </w:rPr>
              <w:t>①决策（立项）是否符合国家相关法律法规、国民经济发展规划和相关政策；</w:t>
            </w:r>
          </w:p>
          <w:p>
            <w:pPr>
              <w:spacing w:line="240" w:lineRule="exact"/>
              <w:ind w:left="105" w:leftChars="50" w:right="105" w:rightChars="50"/>
              <w:rPr>
                <w:rFonts w:ascii="宋体" w:hAnsi="宋体" w:cs="宋体"/>
                <w:highlight w:val="none"/>
              </w:rPr>
            </w:pPr>
            <w:r>
              <w:rPr>
                <w:rFonts w:hint="eastAsia" w:ascii="宋体" w:hAnsi="宋体" w:cs="宋体"/>
                <w:highlight w:val="none"/>
              </w:rPr>
              <w:t>②决策（立项）是否符合行业发展规划和政策要求；</w:t>
            </w:r>
          </w:p>
          <w:p>
            <w:pPr>
              <w:spacing w:line="240" w:lineRule="exact"/>
              <w:ind w:left="105" w:leftChars="50" w:right="105" w:rightChars="50"/>
              <w:rPr>
                <w:rFonts w:ascii="宋体" w:hAnsi="宋体" w:cs="宋体"/>
                <w:highlight w:val="none"/>
              </w:rPr>
            </w:pPr>
            <w:r>
              <w:rPr>
                <w:rFonts w:hint="eastAsia" w:ascii="宋体" w:hAnsi="宋体" w:cs="宋体"/>
                <w:highlight w:val="none"/>
              </w:rPr>
              <w:t>③决策（立项）是否与部门职责范围相符，属于部门履职所需；</w:t>
            </w:r>
          </w:p>
          <w:p>
            <w:pPr>
              <w:spacing w:line="240" w:lineRule="exact"/>
              <w:ind w:left="105" w:leftChars="50" w:right="105" w:rightChars="50"/>
              <w:rPr>
                <w:rFonts w:ascii="宋体"/>
                <w:highlight w:val="none"/>
              </w:rPr>
            </w:pPr>
            <w:r>
              <w:rPr>
                <w:rFonts w:hint="eastAsia" w:ascii="宋体" w:hAnsi="宋体" w:cs="宋体"/>
                <w:highlight w:val="none"/>
              </w:rPr>
              <w:t>④预算支出是否属于公共财政支持范围，是否符合中央、地方事权支出责任划分原则；</w:t>
            </w:r>
          </w:p>
          <w:p>
            <w:pPr>
              <w:spacing w:line="240" w:lineRule="exact"/>
              <w:ind w:left="105" w:leftChars="50" w:right="105" w:rightChars="50"/>
              <w:rPr>
                <w:rFonts w:ascii="宋体"/>
                <w:highlight w:val="none"/>
              </w:rPr>
            </w:pPr>
            <w:r>
              <w:rPr>
                <w:rFonts w:hint="eastAsia" w:ascii="宋体" w:hAnsi="宋体" w:cs="宋体"/>
                <w:highlight w:val="none"/>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highlight w:val="none"/>
              </w:rPr>
            </w:pPr>
          </w:p>
        </w:tc>
        <w:tc>
          <w:tcPr>
            <w:tcW w:w="247" w:type="pct"/>
            <w:vMerge w:val="continue"/>
            <w:tcMar>
              <w:top w:w="10" w:type="dxa"/>
              <w:left w:w="10" w:type="dxa"/>
              <w:bottom w:w="0" w:type="dxa"/>
              <w:right w:w="10" w:type="dxa"/>
            </w:tcMar>
            <w:vAlign w:val="center"/>
          </w:tcPr>
          <w:p>
            <w:pPr>
              <w:spacing w:line="240" w:lineRule="exact"/>
              <w:jc w:val="center"/>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决策(立项）程序规范性(</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评价要点：</w:t>
            </w:r>
          </w:p>
          <w:p>
            <w:pPr>
              <w:spacing w:line="240" w:lineRule="exact"/>
              <w:ind w:left="105" w:leftChars="50"/>
              <w:rPr>
                <w:rFonts w:ascii="宋体"/>
                <w:highlight w:val="none"/>
              </w:rPr>
            </w:pPr>
            <w:r>
              <w:rPr>
                <w:rFonts w:hint="eastAsia" w:ascii="宋体" w:hAnsi="宋体" w:cs="宋体"/>
                <w:highlight w:val="none"/>
              </w:rPr>
              <w:t>①预算支出是否按照规定的程序申请设立；</w:t>
            </w:r>
          </w:p>
          <w:p>
            <w:pPr>
              <w:spacing w:line="240" w:lineRule="exact"/>
              <w:ind w:left="105" w:leftChars="50"/>
              <w:rPr>
                <w:rFonts w:ascii="宋体"/>
                <w:highlight w:val="none"/>
              </w:rPr>
            </w:pPr>
            <w:r>
              <w:rPr>
                <w:rFonts w:hint="eastAsia" w:ascii="宋体" w:hAnsi="宋体" w:cs="宋体"/>
                <w:highlight w:val="none"/>
              </w:rPr>
              <w:t>②审批文件、材料是否符合相关要求；</w:t>
            </w:r>
          </w:p>
          <w:p>
            <w:pPr>
              <w:spacing w:line="240" w:lineRule="exact"/>
              <w:ind w:left="105" w:leftChars="50"/>
              <w:rPr>
                <w:rFonts w:ascii="宋体"/>
                <w:highlight w:val="none"/>
              </w:rPr>
            </w:pPr>
            <w:r>
              <w:rPr>
                <w:rFonts w:hint="eastAsia" w:ascii="宋体" w:hAnsi="宋体" w:cs="宋体"/>
                <w:highlight w:val="none"/>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highlight w:val="none"/>
              </w:rPr>
            </w:pPr>
          </w:p>
        </w:tc>
        <w:tc>
          <w:tcPr>
            <w:tcW w:w="247" w:type="pct"/>
            <w:vMerge w:val="restart"/>
            <w:vAlign w:val="center"/>
          </w:tcPr>
          <w:p>
            <w:pPr>
              <w:spacing w:line="240" w:lineRule="exact"/>
              <w:jc w:val="center"/>
              <w:rPr>
                <w:rFonts w:ascii="宋体"/>
                <w:highlight w:val="none"/>
              </w:rPr>
            </w:pPr>
            <w:r>
              <w:rPr>
                <w:rFonts w:hint="eastAsia" w:ascii="宋体" w:hAnsi="宋体" w:cs="宋体"/>
                <w:highlight w:val="none"/>
              </w:rPr>
              <w:t>绩效</w:t>
            </w:r>
          </w:p>
          <w:p>
            <w:pPr>
              <w:spacing w:line="240" w:lineRule="exact"/>
              <w:jc w:val="center"/>
              <w:rPr>
                <w:rFonts w:ascii="宋体"/>
                <w:highlight w:val="none"/>
              </w:rPr>
            </w:pPr>
            <w:r>
              <w:rPr>
                <w:rFonts w:hint="eastAsia" w:ascii="宋体" w:hAnsi="宋体" w:cs="宋体"/>
                <w:highlight w:val="none"/>
              </w:rPr>
              <w:t>目标（</w:t>
            </w:r>
            <w:r>
              <w:rPr>
                <w:rFonts w:ascii="宋体" w:hAnsi="宋体" w:cs="宋体"/>
                <w:highlight w:val="none"/>
              </w:rPr>
              <w:t>6</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绩效目标</w:t>
            </w:r>
          </w:p>
          <w:p>
            <w:pPr>
              <w:spacing w:line="240" w:lineRule="exact"/>
              <w:ind w:left="105" w:leftChars="50" w:right="105" w:rightChars="50"/>
              <w:jc w:val="center"/>
              <w:rPr>
                <w:rFonts w:ascii="宋体"/>
                <w:highlight w:val="none"/>
              </w:rPr>
            </w:pPr>
            <w:r>
              <w:rPr>
                <w:rFonts w:hint="eastAsia" w:ascii="宋体" w:hAnsi="宋体" w:cs="宋体"/>
                <w:highlight w:val="none"/>
              </w:rPr>
              <w:t>合理性（</w:t>
            </w:r>
            <w:r>
              <w:rPr>
                <w:rFonts w:ascii="宋体" w:hAnsi="宋体" w:cs="宋体"/>
                <w:highlight w:val="none"/>
              </w:rPr>
              <w:t>3</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评价要点：</w:t>
            </w:r>
          </w:p>
          <w:p>
            <w:pPr>
              <w:spacing w:line="240" w:lineRule="exact"/>
              <w:ind w:left="105" w:leftChars="50" w:right="105" w:rightChars="50"/>
              <w:rPr>
                <w:rFonts w:ascii="宋体"/>
                <w:highlight w:val="none"/>
              </w:rPr>
            </w:pPr>
            <w:r>
              <w:rPr>
                <w:rFonts w:hint="eastAsia" w:ascii="宋体" w:hAnsi="宋体" w:cs="宋体"/>
                <w:highlight w:val="none"/>
              </w:rPr>
              <w:t>（如未设定预算绩效目标，也可考核其他工作任务目标）</w:t>
            </w:r>
          </w:p>
          <w:p>
            <w:pPr>
              <w:spacing w:line="240" w:lineRule="exact"/>
              <w:ind w:left="105" w:leftChars="50" w:right="105" w:rightChars="50"/>
              <w:rPr>
                <w:rFonts w:ascii="宋体"/>
                <w:highlight w:val="none"/>
              </w:rPr>
            </w:pPr>
            <w:r>
              <w:rPr>
                <w:rFonts w:hint="eastAsia" w:ascii="宋体" w:hAnsi="宋体" w:cs="宋体"/>
                <w:highlight w:val="none"/>
              </w:rPr>
              <w:t>①预算支出是否有绩效目标；</w:t>
            </w:r>
          </w:p>
          <w:p>
            <w:pPr>
              <w:spacing w:line="240" w:lineRule="exact"/>
              <w:ind w:left="105" w:leftChars="50" w:right="105" w:rightChars="50"/>
              <w:rPr>
                <w:rFonts w:ascii="宋体"/>
                <w:highlight w:val="none"/>
              </w:rPr>
            </w:pPr>
            <w:r>
              <w:rPr>
                <w:rFonts w:hint="eastAsia" w:ascii="宋体" w:hAnsi="宋体" w:cs="宋体"/>
                <w:highlight w:val="none"/>
              </w:rPr>
              <w:t>②预算支出绩效目标与实际工作内容是否具有相关性；</w:t>
            </w:r>
          </w:p>
          <w:p>
            <w:pPr>
              <w:spacing w:line="240" w:lineRule="exact"/>
              <w:ind w:left="105" w:leftChars="50" w:right="105" w:rightChars="50"/>
              <w:rPr>
                <w:rFonts w:ascii="宋体"/>
                <w:highlight w:val="none"/>
              </w:rPr>
            </w:pPr>
            <w:r>
              <w:rPr>
                <w:rFonts w:hint="eastAsia" w:ascii="宋体" w:hAnsi="宋体" w:cs="宋体"/>
                <w:highlight w:val="none"/>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highlight w:val="none"/>
              </w:rPr>
            </w:pPr>
          </w:p>
        </w:tc>
        <w:tc>
          <w:tcPr>
            <w:tcW w:w="247" w:type="pct"/>
            <w:vMerge w:val="continue"/>
            <w:vAlign w:val="center"/>
          </w:tcPr>
          <w:p>
            <w:pPr>
              <w:spacing w:line="240" w:lineRule="exact"/>
              <w:jc w:val="center"/>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绩效指标</w:t>
            </w:r>
          </w:p>
          <w:p>
            <w:pPr>
              <w:spacing w:line="240" w:lineRule="exact"/>
              <w:ind w:left="105" w:leftChars="50" w:right="105" w:rightChars="50"/>
              <w:jc w:val="center"/>
              <w:rPr>
                <w:rFonts w:ascii="宋体"/>
                <w:highlight w:val="none"/>
              </w:rPr>
            </w:pPr>
            <w:r>
              <w:rPr>
                <w:rFonts w:hint="eastAsia" w:ascii="宋体" w:hAnsi="宋体" w:cs="宋体"/>
                <w:highlight w:val="none"/>
              </w:rPr>
              <w:t>明确性（</w:t>
            </w:r>
            <w:r>
              <w:rPr>
                <w:rFonts w:ascii="宋体" w:hAnsi="宋体" w:cs="宋体"/>
                <w:highlight w:val="none"/>
              </w:rPr>
              <w:t>3</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评价要点：</w:t>
            </w:r>
          </w:p>
          <w:p>
            <w:pPr>
              <w:spacing w:line="240" w:lineRule="exact"/>
              <w:ind w:left="105" w:leftChars="50" w:right="105" w:rightChars="50"/>
              <w:rPr>
                <w:rFonts w:ascii="宋体" w:hAnsi="宋体" w:cs="宋体"/>
                <w:highlight w:val="none"/>
              </w:rPr>
            </w:pPr>
            <w:r>
              <w:rPr>
                <w:rFonts w:hint="eastAsia" w:ascii="宋体" w:hAnsi="宋体" w:cs="宋体"/>
                <w:highlight w:val="none"/>
              </w:rPr>
              <w:t>①是否将预算支出绩效目标细化分解为具体的绩效指标；</w:t>
            </w:r>
          </w:p>
          <w:p>
            <w:pPr>
              <w:spacing w:line="240" w:lineRule="exact"/>
              <w:ind w:left="105" w:leftChars="50" w:right="105" w:rightChars="50"/>
              <w:rPr>
                <w:rFonts w:ascii="宋体" w:hAnsi="宋体" w:cs="宋体"/>
                <w:highlight w:val="none"/>
              </w:rPr>
            </w:pPr>
            <w:r>
              <w:rPr>
                <w:rFonts w:hint="eastAsia" w:ascii="宋体" w:hAnsi="宋体" w:cs="宋体"/>
                <w:highlight w:val="none"/>
              </w:rPr>
              <w:t>②是否通过清晰、可衡量的指标值予以体现；</w:t>
            </w:r>
          </w:p>
          <w:p>
            <w:pPr>
              <w:spacing w:line="240" w:lineRule="exact"/>
              <w:ind w:left="105" w:leftChars="50" w:right="105" w:rightChars="50"/>
              <w:rPr>
                <w:rFonts w:ascii="宋体"/>
                <w:highlight w:val="none"/>
              </w:rPr>
            </w:pPr>
            <w:r>
              <w:rPr>
                <w:rFonts w:hint="eastAsia" w:ascii="宋体" w:hAnsi="宋体" w:cs="宋体"/>
                <w:highlight w:val="none"/>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highlight w:val="none"/>
              </w:rPr>
            </w:pPr>
          </w:p>
        </w:tc>
        <w:tc>
          <w:tcPr>
            <w:tcW w:w="247" w:type="pct"/>
            <w:vMerge w:val="restart"/>
            <w:vAlign w:val="center"/>
          </w:tcPr>
          <w:p>
            <w:pPr>
              <w:spacing w:line="240" w:lineRule="exact"/>
              <w:jc w:val="center"/>
              <w:rPr>
                <w:rFonts w:ascii="宋体"/>
                <w:highlight w:val="none"/>
              </w:rPr>
            </w:pPr>
            <w:r>
              <w:rPr>
                <w:rFonts w:hint="eastAsia" w:ascii="宋体" w:hAnsi="宋体" w:cs="宋体"/>
                <w:highlight w:val="none"/>
              </w:rPr>
              <w:t>资金</w:t>
            </w:r>
          </w:p>
          <w:p>
            <w:pPr>
              <w:spacing w:line="240" w:lineRule="exact"/>
              <w:jc w:val="center"/>
              <w:rPr>
                <w:rFonts w:ascii="宋体"/>
                <w:highlight w:val="none"/>
              </w:rPr>
            </w:pPr>
            <w:r>
              <w:rPr>
                <w:rFonts w:hint="eastAsia" w:ascii="宋体" w:hAnsi="宋体" w:cs="宋体"/>
                <w:highlight w:val="none"/>
              </w:rPr>
              <w:t>投入（</w:t>
            </w:r>
            <w:r>
              <w:rPr>
                <w:rFonts w:ascii="宋体" w:hAnsi="宋体" w:cs="宋体"/>
                <w:highlight w:val="none"/>
              </w:rPr>
              <w:t>6</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预算编制</w:t>
            </w:r>
          </w:p>
          <w:p>
            <w:pPr>
              <w:spacing w:line="240" w:lineRule="exact"/>
              <w:ind w:left="105" w:leftChars="50" w:right="105" w:rightChars="50"/>
              <w:jc w:val="center"/>
              <w:rPr>
                <w:rFonts w:ascii="宋体"/>
                <w:highlight w:val="none"/>
              </w:rPr>
            </w:pPr>
            <w:r>
              <w:rPr>
                <w:rFonts w:hint="eastAsia" w:ascii="宋体" w:hAnsi="宋体" w:cs="宋体"/>
                <w:highlight w:val="none"/>
              </w:rPr>
              <w:t>科学性（</w:t>
            </w:r>
            <w:r>
              <w:rPr>
                <w:rFonts w:ascii="宋体" w:hAnsi="宋体" w:cs="宋体"/>
                <w:highlight w:val="none"/>
              </w:rPr>
              <w:t>3</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highlight w:val="none"/>
              </w:rPr>
            </w:pPr>
            <w:r>
              <w:rPr>
                <w:rFonts w:hint="eastAsia" w:ascii="宋体" w:hAnsi="宋体" w:cs="宋体"/>
                <w:highlight w:val="none"/>
              </w:rPr>
              <w:t>评价要点：</w:t>
            </w:r>
          </w:p>
          <w:p>
            <w:pPr>
              <w:spacing w:line="220" w:lineRule="exact"/>
              <w:ind w:left="105" w:leftChars="50" w:right="105" w:rightChars="50"/>
              <w:rPr>
                <w:rFonts w:ascii="宋体"/>
                <w:highlight w:val="none"/>
              </w:rPr>
            </w:pPr>
            <w:r>
              <w:rPr>
                <w:rFonts w:hint="eastAsia" w:ascii="宋体" w:hAnsi="宋体" w:cs="宋体"/>
                <w:highlight w:val="none"/>
              </w:rPr>
              <w:t>①预算编制是否经过科学论证；</w:t>
            </w:r>
          </w:p>
          <w:p>
            <w:pPr>
              <w:spacing w:line="220" w:lineRule="exact"/>
              <w:ind w:left="105" w:leftChars="50" w:right="105" w:rightChars="50"/>
              <w:rPr>
                <w:rFonts w:ascii="宋体"/>
                <w:highlight w:val="none"/>
              </w:rPr>
            </w:pPr>
            <w:r>
              <w:rPr>
                <w:rFonts w:hint="eastAsia" w:ascii="宋体" w:hAnsi="宋体" w:cs="宋体"/>
                <w:highlight w:val="none"/>
              </w:rPr>
              <w:t>②预算内容与支出内容是否匹配；</w:t>
            </w:r>
          </w:p>
          <w:p>
            <w:pPr>
              <w:spacing w:line="220" w:lineRule="exact"/>
              <w:ind w:left="105" w:leftChars="50" w:right="105" w:rightChars="50"/>
              <w:rPr>
                <w:rFonts w:ascii="宋体"/>
                <w:highlight w:val="none"/>
              </w:rPr>
            </w:pPr>
            <w:r>
              <w:rPr>
                <w:rFonts w:hint="eastAsia" w:ascii="宋体" w:hAnsi="宋体" w:cs="宋体"/>
                <w:highlight w:val="none"/>
              </w:rPr>
              <w:t>③预算额度测算依据是否充分，是否按照标准编制；</w:t>
            </w:r>
          </w:p>
          <w:p>
            <w:pPr>
              <w:spacing w:line="220" w:lineRule="exact"/>
              <w:ind w:left="105" w:leftChars="50" w:right="105" w:rightChars="50"/>
              <w:rPr>
                <w:rFonts w:ascii="宋体"/>
                <w:highlight w:val="none"/>
              </w:rPr>
            </w:pPr>
            <w:r>
              <w:rPr>
                <w:rFonts w:hint="eastAsia" w:ascii="宋体" w:hAnsi="宋体" w:cs="宋体"/>
                <w:highlight w:val="none"/>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highlight w:val="none"/>
              </w:rPr>
            </w:pPr>
          </w:p>
        </w:tc>
        <w:tc>
          <w:tcPr>
            <w:tcW w:w="247" w:type="pct"/>
            <w:vMerge w:val="continue"/>
            <w:vAlign w:val="center"/>
          </w:tcPr>
          <w:p>
            <w:pPr>
              <w:spacing w:line="240" w:lineRule="exact"/>
              <w:jc w:val="center"/>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资金分配</w:t>
            </w:r>
          </w:p>
          <w:p>
            <w:pPr>
              <w:spacing w:line="240" w:lineRule="exact"/>
              <w:ind w:left="105" w:leftChars="50" w:right="105" w:rightChars="50"/>
              <w:jc w:val="center"/>
              <w:rPr>
                <w:rFonts w:ascii="宋体"/>
                <w:highlight w:val="none"/>
              </w:rPr>
            </w:pPr>
            <w:r>
              <w:rPr>
                <w:rFonts w:hint="eastAsia" w:ascii="宋体" w:hAnsi="宋体" w:cs="宋体"/>
                <w:highlight w:val="none"/>
              </w:rPr>
              <w:t>合理性（</w:t>
            </w:r>
            <w:r>
              <w:rPr>
                <w:rFonts w:ascii="宋体" w:hAnsi="宋体" w:cs="宋体"/>
                <w:highlight w:val="none"/>
              </w:rPr>
              <w:t>3</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评价要点：</w:t>
            </w:r>
          </w:p>
          <w:p>
            <w:pPr>
              <w:spacing w:line="240" w:lineRule="exact"/>
              <w:ind w:right="105" w:rightChars="50" w:firstLine="105" w:firstLineChars="50"/>
              <w:rPr>
                <w:rFonts w:ascii="宋体"/>
                <w:highlight w:val="none"/>
              </w:rPr>
            </w:pPr>
            <w:r>
              <w:rPr>
                <w:rFonts w:hint="eastAsia" w:ascii="宋体" w:hAnsi="宋体" w:cs="宋体"/>
                <w:highlight w:val="none"/>
              </w:rPr>
              <w:t>①预算资金分配依据是否充分；</w:t>
            </w:r>
          </w:p>
          <w:p>
            <w:pPr>
              <w:spacing w:line="240" w:lineRule="exact"/>
              <w:ind w:left="105" w:leftChars="50" w:right="105" w:rightChars="50"/>
              <w:rPr>
                <w:rFonts w:ascii="宋体"/>
                <w:highlight w:val="none"/>
              </w:rPr>
            </w:pPr>
            <w:r>
              <w:rPr>
                <w:rFonts w:hint="eastAsia" w:ascii="宋体" w:hAnsi="宋体" w:cs="宋体"/>
                <w:highlight w:val="none"/>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highlight w:val="none"/>
              </w:rPr>
            </w:pPr>
            <w:r>
              <w:rPr>
                <w:rFonts w:hint="eastAsia" w:ascii="宋体" w:hAnsi="宋体" w:cs="宋体"/>
                <w:highlight w:val="none"/>
              </w:rPr>
              <w:t>过</w:t>
            </w:r>
          </w:p>
          <w:p>
            <w:pPr>
              <w:spacing w:line="240" w:lineRule="exact"/>
              <w:jc w:val="center"/>
              <w:rPr>
                <w:rFonts w:ascii="宋体"/>
                <w:highlight w:val="none"/>
              </w:rPr>
            </w:pPr>
          </w:p>
          <w:p>
            <w:pPr>
              <w:spacing w:line="240" w:lineRule="exact"/>
              <w:jc w:val="center"/>
              <w:rPr>
                <w:rFonts w:ascii="宋体"/>
                <w:highlight w:val="none"/>
              </w:rPr>
            </w:pPr>
          </w:p>
          <w:p>
            <w:pPr>
              <w:spacing w:line="240" w:lineRule="exact"/>
              <w:jc w:val="center"/>
              <w:rPr>
                <w:rFonts w:ascii="宋体"/>
                <w:highlight w:val="none"/>
              </w:rPr>
            </w:pPr>
            <w:r>
              <w:rPr>
                <w:rFonts w:hint="eastAsia" w:ascii="宋体" w:hAnsi="宋体" w:cs="宋体"/>
                <w:highlight w:val="none"/>
              </w:rPr>
              <w:t>程（</w:t>
            </w:r>
            <w:r>
              <w:rPr>
                <w:rFonts w:ascii="宋体" w:hAnsi="宋体" w:cs="宋体"/>
                <w:highlight w:val="none"/>
              </w:rPr>
              <w:t>20</w:t>
            </w:r>
            <w:r>
              <w:rPr>
                <w:rFonts w:hint="eastAsia" w:ascii="宋体" w:hAnsi="宋体" w:cs="宋体"/>
                <w:highlight w:val="none"/>
              </w:rPr>
              <w:t>分）</w:t>
            </w:r>
          </w:p>
        </w:tc>
        <w:tc>
          <w:tcPr>
            <w:tcW w:w="247" w:type="pct"/>
            <w:vMerge w:val="restart"/>
            <w:tcMar>
              <w:top w:w="10" w:type="dxa"/>
              <w:left w:w="10" w:type="dxa"/>
              <w:bottom w:w="0" w:type="dxa"/>
              <w:right w:w="10" w:type="dxa"/>
            </w:tcMar>
            <w:vAlign w:val="center"/>
          </w:tcPr>
          <w:p>
            <w:pPr>
              <w:spacing w:line="240" w:lineRule="exact"/>
              <w:jc w:val="center"/>
              <w:rPr>
                <w:rFonts w:ascii="宋体" w:hAnsi="宋体" w:cs="宋体"/>
                <w:highlight w:val="none"/>
              </w:rPr>
            </w:pPr>
            <w:r>
              <w:rPr>
                <w:rFonts w:hint="eastAsia" w:ascii="宋体" w:hAnsi="宋体" w:cs="宋体"/>
                <w:highlight w:val="none"/>
              </w:rPr>
              <w:t>资金</w:t>
            </w:r>
          </w:p>
          <w:p>
            <w:pPr>
              <w:spacing w:line="240" w:lineRule="exact"/>
              <w:jc w:val="center"/>
              <w:rPr>
                <w:rFonts w:ascii="宋体"/>
                <w:highlight w:val="none"/>
              </w:rPr>
            </w:pPr>
            <w:r>
              <w:rPr>
                <w:rFonts w:hint="eastAsia" w:ascii="宋体" w:hAnsi="宋体" w:cs="宋体"/>
                <w:highlight w:val="none"/>
              </w:rPr>
              <w:t>管理（</w:t>
            </w:r>
            <w:r>
              <w:rPr>
                <w:rFonts w:ascii="宋体" w:hAnsi="宋体" w:cs="宋体"/>
                <w:highlight w:val="none"/>
              </w:rPr>
              <w:t>12</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资金</w:t>
            </w:r>
          </w:p>
          <w:p>
            <w:pPr>
              <w:spacing w:line="240" w:lineRule="exact"/>
              <w:ind w:left="105" w:leftChars="50" w:right="105" w:rightChars="50"/>
              <w:jc w:val="center"/>
              <w:rPr>
                <w:rFonts w:ascii="宋体"/>
                <w:highlight w:val="none"/>
              </w:rPr>
            </w:pPr>
            <w:r>
              <w:rPr>
                <w:rFonts w:hint="eastAsia" w:ascii="宋体" w:hAnsi="宋体" w:cs="宋体"/>
                <w:highlight w:val="none"/>
              </w:rPr>
              <w:t>到位率（</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资金到位率</w:t>
            </w:r>
            <w:r>
              <w:rPr>
                <w:rFonts w:ascii="宋体" w:hAnsi="宋体" w:cs="宋体"/>
                <w:highlight w:val="none"/>
              </w:rPr>
              <w:t>=</w:t>
            </w:r>
            <w:r>
              <w:rPr>
                <w:rFonts w:hint="eastAsia" w:ascii="宋体" w:hAnsi="宋体" w:cs="宋体"/>
                <w:highlight w:val="none"/>
              </w:rPr>
              <w:t>（实际到位资金</w:t>
            </w:r>
            <w:r>
              <w:rPr>
                <w:rFonts w:ascii="宋体" w:hAnsi="宋体" w:cs="宋体"/>
                <w:highlight w:val="none"/>
              </w:rPr>
              <w:t>/</w:t>
            </w:r>
            <w:r>
              <w:rPr>
                <w:rFonts w:hint="eastAsia" w:ascii="宋体" w:hAnsi="宋体" w:cs="宋体"/>
                <w:highlight w:val="none"/>
              </w:rPr>
              <w:t>预算资金）×</w:t>
            </w:r>
            <w:r>
              <w:rPr>
                <w:rFonts w:ascii="宋体" w:hAnsi="宋体" w:cs="宋体"/>
                <w:highlight w:val="none"/>
              </w:rPr>
              <w:t>100%</w:t>
            </w:r>
            <w:r>
              <w:rPr>
                <w:rFonts w:hint="eastAsia" w:ascii="宋体" w:hAnsi="宋体" w:cs="宋体"/>
                <w:highlight w:val="none"/>
              </w:rPr>
              <w:t>。</w:t>
            </w:r>
          </w:p>
          <w:p>
            <w:pPr>
              <w:spacing w:line="240" w:lineRule="exact"/>
              <w:ind w:left="105" w:leftChars="50" w:right="105" w:rightChars="50"/>
              <w:rPr>
                <w:rFonts w:ascii="宋体" w:hAnsi="宋体" w:cs="宋体"/>
                <w:highlight w:val="none"/>
              </w:rPr>
            </w:pPr>
            <w:r>
              <w:rPr>
                <w:rFonts w:hint="eastAsia" w:ascii="宋体" w:hAnsi="宋体" w:cs="宋体"/>
                <w:highlight w:val="none"/>
              </w:rPr>
              <w:t>实际到位资金：一定时期（本年度或预算支出期）内落实到具体预算支出的资金。</w:t>
            </w:r>
          </w:p>
          <w:p>
            <w:pPr>
              <w:spacing w:line="240" w:lineRule="exact"/>
              <w:ind w:left="105" w:leftChars="50" w:right="105" w:rightChars="50"/>
              <w:rPr>
                <w:rFonts w:ascii="宋体"/>
                <w:highlight w:val="none"/>
              </w:rPr>
            </w:pPr>
            <w:r>
              <w:rPr>
                <w:rFonts w:hint="eastAsia" w:ascii="宋体" w:hAnsi="宋体" w:cs="宋体"/>
                <w:highlight w:val="none"/>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highlight w:val="none"/>
              </w:rPr>
            </w:pPr>
          </w:p>
        </w:tc>
        <w:tc>
          <w:tcPr>
            <w:tcW w:w="247" w:type="pct"/>
            <w:vMerge w:val="continue"/>
            <w:tcMar>
              <w:top w:w="10" w:type="dxa"/>
              <w:left w:w="10" w:type="dxa"/>
              <w:bottom w:w="0" w:type="dxa"/>
              <w:right w:w="10" w:type="dxa"/>
            </w:tcMar>
            <w:vAlign w:val="center"/>
          </w:tcPr>
          <w:p>
            <w:pPr>
              <w:spacing w:line="240" w:lineRule="exact"/>
              <w:jc w:val="center"/>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预算</w:t>
            </w:r>
          </w:p>
          <w:p>
            <w:pPr>
              <w:spacing w:line="240" w:lineRule="exact"/>
              <w:ind w:left="105" w:leftChars="50" w:right="105" w:rightChars="50"/>
              <w:jc w:val="center"/>
              <w:rPr>
                <w:rFonts w:ascii="宋体"/>
                <w:highlight w:val="none"/>
              </w:rPr>
            </w:pPr>
            <w:r>
              <w:rPr>
                <w:rFonts w:hint="eastAsia" w:ascii="宋体" w:hAnsi="宋体" w:cs="宋体"/>
                <w:highlight w:val="none"/>
              </w:rPr>
              <w:t>执行率（</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预算执行率</w:t>
            </w:r>
            <w:r>
              <w:rPr>
                <w:rFonts w:ascii="宋体" w:hAnsi="宋体" w:cs="宋体"/>
                <w:highlight w:val="none"/>
              </w:rPr>
              <w:t>=</w:t>
            </w:r>
            <w:r>
              <w:rPr>
                <w:rFonts w:hint="eastAsia" w:ascii="宋体" w:hAnsi="宋体" w:cs="宋体"/>
                <w:highlight w:val="none"/>
              </w:rPr>
              <w:t>（实际支出资金</w:t>
            </w:r>
            <w:r>
              <w:rPr>
                <w:rFonts w:ascii="宋体" w:hAnsi="宋体" w:cs="宋体"/>
                <w:highlight w:val="none"/>
              </w:rPr>
              <w:t>/</w:t>
            </w:r>
            <w:r>
              <w:rPr>
                <w:rFonts w:hint="eastAsia" w:ascii="宋体" w:hAnsi="宋体" w:cs="宋体"/>
                <w:highlight w:val="none"/>
              </w:rPr>
              <w:t>实际到位资金）×</w:t>
            </w:r>
            <w:r>
              <w:rPr>
                <w:rFonts w:ascii="宋体" w:hAnsi="宋体" w:cs="宋体"/>
                <w:highlight w:val="none"/>
              </w:rPr>
              <w:t>100%</w:t>
            </w:r>
            <w:r>
              <w:rPr>
                <w:rFonts w:hint="eastAsia" w:ascii="宋体" w:hAnsi="宋体" w:cs="宋体"/>
                <w:highlight w:val="none"/>
              </w:rPr>
              <w:t>。</w:t>
            </w:r>
          </w:p>
          <w:p>
            <w:pPr>
              <w:spacing w:line="240" w:lineRule="exact"/>
              <w:ind w:left="105" w:leftChars="50" w:right="105" w:rightChars="50"/>
              <w:rPr>
                <w:rFonts w:ascii="宋体"/>
                <w:highlight w:val="none"/>
              </w:rPr>
            </w:pPr>
            <w:r>
              <w:rPr>
                <w:rFonts w:hint="eastAsia" w:ascii="宋体" w:hAnsi="宋体" w:cs="宋体"/>
                <w:highlight w:val="none"/>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highlight w:val="none"/>
              </w:rPr>
            </w:pPr>
          </w:p>
        </w:tc>
        <w:tc>
          <w:tcPr>
            <w:tcW w:w="247" w:type="pct"/>
            <w:vMerge w:val="continue"/>
            <w:vAlign w:val="center"/>
          </w:tcPr>
          <w:p>
            <w:pPr>
              <w:spacing w:line="240" w:lineRule="exact"/>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资金使用</w:t>
            </w:r>
          </w:p>
          <w:p>
            <w:pPr>
              <w:spacing w:line="240" w:lineRule="exact"/>
              <w:ind w:left="105" w:leftChars="50" w:right="105" w:rightChars="50"/>
              <w:jc w:val="center"/>
              <w:rPr>
                <w:rFonts w:ascii="宋体"/>
                <w:highlight w:val="none"/>
              </w:rPr>
            </w:pPr>
            <w:r>
              <w:rPr>
                <w:rFonts w:hint="eastAsia" w:ascii="宋体" w:hAnsi="宋体" w:cs="宋体"/>
                <w:highlight w:val="none"/>
              </w:rPr>
              <w:t>合规性（</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评价要点：</w:t>
            </w:r>
          </w:p>
          <w:p>
            <w:pPr>
              <w:spacing w:line="240" w:lineRule="exact"/>
              <w:ind w:left="105" w:leftChars="50" w:right="105" w:rightChars="50"/>
              <w:rPr>
                <w:rFonts w:ascii="宋体"/>
                <w:highlight w:val="none"/>
              </w:rPr>
            </w:pPr>
            <w:r>
              <w:rPr>
                <w:rFonts w:hint="eastAsia" w:ascii="宋体" w:hAnsi="宋体" w:cs="宋体"/>
                <w:highlight w:val="none"/>
              </w:rPr>
              <w:t>①是否符合国家财经法规和财务管理制度以及有关专项资金管理办法的规定；</w:t>
            </w:r>
          </w:p>
          <w:p>
            <w:pPr>
              <w:spacing w:line="240" w:lineRule="exact"/>
              <w:ind w:right="105" w:rightChars="50" w:firstLine="105" w:firstLineChars="50"/>
              <w:rPr>
                <w:rFonts w:ascii="宋体"/>
                <w:highlight w:val="none"/>
              </w:rPr>
            </w:pPr>
            <w:r>
              <w:rPr>
                <w:rFonts w:hint="eastAsia" w:ascii="宋体" w:hAnsi="宋体" w:cs="宋体"/>
                <w:highlight w:val="none"/>
              </w:rPr>
              <w:t>②资金的拨付是否有完整的审批程序和手续；</w:t>
            </w:r>
          </w:p>
          <w:p>
            <w:pPr>
              <w:spacing w:line="240" w:lineRule="exact"/>
              <w:ind w:right="105" w:rightChars="50" w:firstLine="105" w:firstLineChars="50"/>
              <w:rPr>
                <w:rFonts w:ascii="宋体"/>
                <w:highlight w:val="none"/>
              </w:rPr>
            </w:pPr>
            <w:r>
              <w:rPr>
                <w:rFonts w:hint="eastAsia" w:ascii="宋体" w:hAnsi="宋体" w:cs="宋体"/>
                <w:highlight w:val="none"/>
              </w:rPr>
              <w:t>③是否符合预算支出预算批复或合同规定的用途；</w:t>
            </w:r>
          </w:p>
          <w:p>
            <w:pPr>
              <w:spacing w:line="240" w:lineRule="exact"/>
              <w:ind w:left="105" w:leftChars="50" w:right="105" w:rightChars="50"/>
              <w:rPr>
                <w:rFonts w:ascii="宋体"/>
                <w:highlight w:val="none"/>
              </w:rPr>
            </w:pPr>
            <w:r>
              <w:rPr>
                <w:rFonts w:hint="eastAsia" w:ascii="宋体" w:hAnsi="宋体" w:cs="宋体"/>
                <w:highlight w:val="none"/>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highlight w:val="none"/>
              </w:rPr>
            </w:pPr>
          </w:p>
        </w:tc>
        <w:tc>
          <w:tcPr>
            <w:tcW w:w="247" w:type="pct"/>
            <w:vMerge w:val="restart"/>
            <w:tcMar>
              <w:top w:w="10" w:type="dxa"/>
              <w:left w:w="10" w:type="dxa"/>
              <w:bottom w:w="0" w:type="dxa"/>
              <w:right w:w="10" w:type="dxa"/>
            </w:tcMar>
            <w:vAlign w:val="center"/>
          </w:tcPr>
          <w:p>
            <w:pPr>
              <w:spacing w:line="240" w:lineRule="exact"/>
              <w:jc w:val="center"/>
              <w:rPr>
                <w:rFonts w:ascii="宋体"/>
                <w:highlight w:val="none"/>
              </w:rPr>
            </w:pPr>
            <w:r>
              <w:rPr>
                <w:rFonts w:hint="eastAsia" w:ascii="宋体" w:hAnsi="宋体" w:cs="宋体"/>
                <w:highlight w:val="none"/>
              </w:rPr>
              <w:t>组织</w:t>
            </w:r>
          </w:p>
          <w:p>
            <w:pPr>
              <w:spacing w:line="240" w:lineRule="exact"/>
              <w:jc w:val="center"/>
              <w:rPr>
                <w:rFonts w:ascii="宋体"/>
                <w:highlight w:val="none"/>
              </w:rPr>
            </w:pPr>
            <w:r>
              <w:rPr>
                <w:rFonts w:hint="eastAsia" w:ascii="宋体" w:hAnsi="宋体" w:cs="宋体"/>
                <w:highlight w:val="none"/>
              </w:rPr>
              <w:t>实施（</w:t>
            </w:r>
            <w:r>
              <w:rPr>
                <w:rFonts w:ascii="宋体" w:hAnsi="宋体" w:cs="宋体"/>
                <w:highlight w:val="none"/>
              </w:rPr>
              <w:t>8</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管理制度</w:t>
            </w:r>
          </w:p>
          <w:p>
            <w:pPr>
              <w:spacing w:line="240" w:lineRule="exact"/>
              <w:ind w:left="105" w:leftChars="50" w:right="105" w:rightChars="50"/>
              <w:jc w:val="center"/>
              <w:rPr>
                <w:rFonts w:ascii="宋体"/>
                <w:highlight w:val="none"/>
              </w:rPr>
            </w:pPr>
            <w:r>
              <w:rPr>
                <w:rFonts w:hint="eastAsia" w:ascii="宋体" w:hAnsi="宋体" w:cs="宋体"/>
                <w:highlight w:val="none"/>
              </w:rPr>
              <w:t>健全性（</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评价要点：</w:t>
            </w:r>
          </w:p>
          <w:p>
            <w:pPr>
              <w:spacing w:line="240" w:lineRule="exact"/>
              <w:ind w:left="105" w:leftChars="50" w:right="105" w:rightChars="50"/>
              <w:rPr>
                <w:rFonts w:ascii="宋体" w:hAnsi="宋体" w:cs="宋体"/>
                <w:highlight w:val="none"/>
              </w:rPr>
            </w:pPr>
            <w:r>
              <w:rPr>
                <w:rFonts w:hint="eastAsia" w:ascii="宋体" w:hAnsi="宋体" w:cs="宋体"/>
                <w:highlight w:val="none"/>
              </w:rPr>
              <w:t>①是否已制定或具有相应的业务管理制度；</w:t>
            </w:r>
          </w:p>
          <w:p>
            <w:pPr>
              <w:spacing w:line="240" w:lineRule="exact"/>
              <w:ind w:left="105" w:leftChars="50" w:right="105" w:rightChars="50"/>
              <w:rPr>
                <w:rFonts w:ascii="宋体"/>
                <w:highlight w:val="none"/>
              </w:rPr>
            </w:pPr>
            <w:r>
              <w:rPr>
                <w:rFonts w:hint="eastAsia" w:ascii="宋体" w:hAnsi="宋体" w:cs="宋体"/>
                <w:highlight w:val="none"/>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highlight w:val="none"/>
              </w:rPr>
            </w:pPr>
          </w:p>
        </w:tc>
        <w:tc>
          <w:tcPr>
            <w:tcW w:w="247" w:type="pct"/>
            <w:vMerge w:val="continue"/>
            <w:vAlign w:val="center"/>
          </w:tcPr>
          <w:p>
            <w:pPr>
              <w:spacing w:line="240" w:lineRule="exact"/>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制度执行</w:t>
            </w:r>
          </w:p>
          <w:p>
            <w:pPr>
              <w:spacing w:line="240" w:lineRule="exact"/>
              <w:ind w:left="105" w:leftChars="50" w:right="105" w:rightChars="50"/>
              <w:jc w:val="center"/>
              <w:rPr>
                <w:rFonts w:ascii="宋体"/>
                <w:highlight w:val="none"/>
              </w:rPr>
            </w:pPr>
            <w:r>
              <w:rPr>
                <w:rFonts w:hint="eastAsia" w:ascii="宋体" w:hAnsi="宋体" w:cs="宋体"/>
                <w:highlight w:val="none"/>
              </w:rPr>
              <w:t>有效性（</w:t>
            </w:r>
            <w:r>
              <w:rPr>
                <w:rFonts w:ascii="宋体" w:hAnsi="宋体" w:cs="宋体"/>
                <w:highlight w:val="none"/>
              </w:rPr>
              <w:t>4</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评价要点：</w:t>
            </w:r>
          </w:p>
          <w:p>
            <w:pPr>
              <w:spacing w:line="240" w:lineRule="exact"/>
              <w:ind w:left="105" w:leftChars="50" w:right="105" w:rightChars="50"/>
              <w:rPr>
                <w:rFonts w:ascii="宋体" w:hAnsi="宋体" w:cs="宋体"/>
                <w:highlight w:val="none"/>
              </w:rPr>
            </w:pPr>
            <w:r>
              <w:rPr>
                <w:rFonts w:hint="eastAsia" w:ascii="宋体" w:hAnsi="宋体" w:cs="宋体"/>
                <w:highlight w:val="none"/>
              </w:rPr>
              <w:t>①是否遵守相关法律法规和相关管理规定；</w:t>
            </w:r>
          </w:p>
          <w:p>
            <w:pPr>
              <w:spacing w:line="240" w:lineRule="exact"/>
              <w:ind w:left="105" w:leftChars="50" w:right="105" w:rightChars="50"/>
              <w:rPr>
                <w:rFonts w:ascii="宋体" w:hAnsi="宋体" w:cs="宋体"/>
                <w:highlight w:val="none"/>
              </w:rPr>
            </w:pPr>
            <w:r>
              <w:rPr>
                <w:rFonts w:hint="eastAsia" w:ascii="宋体" w:hAnsi="宋体" w:cs="宋体"/>
                <w:highlight w:val="none"/>
              </w:rPr>
              <w:t>②预算支出调整及支出调整手续是否完备；</w:t>
            </w:r>
          </w:p>
          <w:p>
            <w:pPr>
              <w:spacing w:line="240" w:lineRule="exact"/>
              <w:ind w:left="105" w:leftChars="50" w:right="105" w:rightChars="50"/>
              <w:rPr>
                <w:rFonts w:ascii="宋体" w:hAnsi="宋体" w:cs="宋体"/>
                <w:highlight w:val="none"/>
              </w:rPr>
            </w:pPr>
            <w:r>
              <w:rPr>
                <w:rFonts w:hint="eastAsia" w:ascii="宋体" w:hAnsi="宋体" w:cs="宋体"/>
                <w:highlight w:val="none"/>
              </w:rPr>
              <w:t>③预算支出合同书、验收报告、技术鉴定等资料是否齐全并及时归档；</w:t>
            </w:r>
          </w:p>
          <w:p>
            <w:pPr>
              <w:spacing w:line="240" w:lineRule="exact"/>
              <w:ind w:left="105" w:leftChars="50" w:right="105" w:rightChars="50"/>
              <w:rPr>
                <w:rFonts w:ascii="宋体"/>
                <w:highlight w:val="none"/>
              </w:rPr>
            </w:pPr>
            <w:r>
              <w:rPr>
                <w:rFonts w:hint="eastAsia" w:ascii="宋体" w:hAnsi="宋体" w:cs="宋体"/>
                <w:highlight w:val="none"/>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highlight w:val="none"/>
              </w:rPr>
            </w:pPr>
            <w:r>
              <w:rPr>
                <w:rFonts w:hint="eastAsia" w:ascii="宋体" w:hAnsi="宋体" w:cs="宋体"/>
                <w:highlight w:val="none"/>
              </w:rPr>
              <w:t>产</w:t>
            </w:r>
            <w:r>
              <w:rPr>
                <w:rFonts w:ascii="宋体" w:hAnsi="宋体" w:cs="宋体"/>
                <w:highlight w:val="none"/>
              </w:rPr>
              <w:t xml:space="preserve">   </w:t>
            </w:r>
            <w:r>
              <w:rPr>
                <w:rFonts w:hint="eastAsia" w:ascii="宋体" w:hAnsi="宋体" w:cs="宋体"/>
                <w:highlight w:val="none"/>
              </w:rPr>
              <w:t>出（</w:t>
            </w:r>
            <w:r>
              <w:rPr>
                <w:rFonts w:ascii="宋体" w:hAnsi="宋体" w:cs="宋体"/>
                <w:highlight w:val="none"/>
              </w:rPr>
              <w:t>40</w:t>
            </w:r>
            <w:r>
              <w:rPr>
                <w:rFonts w:hint="eastAsia" w:ascii="宋体" w:hAnsi="宋体" w:cs="宋体"/>
                <w:highlight w:val="none"/>
              </w:rPr>
              <w:t>分）</w:t>
            </w:r>
          </w:p>
        </w:tc>
        <w:tc>
          <w:tcPr>
            <w:tcW w:w="247" w:type="pct"/>
            <w:tcMar>
              <w:top w:w="10" w:type="dxa"/>
              <w:left w:w="10" w:type="dxa"/>
              <w:bottom w:w="0" w:type="dxa"/>
              <w:right w:w="10" w:type="dxa"/>
            </w:tcMar>
            <w:vAlign w:val="center"/>
          </w:tcPr>
          <w:p>
            <w:pPr>
              <w:spacing w:line="240" w:lineRule="exact"/>
              <w:jc w:val="center"/>
              <w:rPr>
                <w:rFonts w:ascii="宋体"/>
                <w:highlight w:val="none"/>
              </w:rPr>
            </w:pPr>
            <w:r>
              <w:rPr>
                <w:rFonts w:hint="eastAsia" w:ascii="宋体" w:hAnsi="宋体" w:cs="宋体"/>
                <w:highlight w:val="none"/>
              </w:rPr>
              <w:t>产出</w:t>
            </w:r>
          </w:p>
          <w:p>
            <w:pPr>
              <w:spacing w:line="240" w:lineRule="exact"/>
              <w:jc w:val="center"/>
              <w:rPr>
                <w:rFonts w:ascii="宋体"/>
                <w:highlight w:val="none"/>
              </w:rPr>
            </w:pPr>
            <w:r>
              <w:rPr>
                <w:rFonts w:hint="eastAsia" w:ascii="宋体" w:hAnsi="宋体" w:cs="宋体"/>
                <w:highlight w:val="none"/>
              </w:rPr>
              <w:t>数量（</w:t>
            </w:r>
            <w:r>
              <w:rPr>
                <w:rFonts w:ascii="宋体" w:hAnsi="宋体" w:cs="宋体"/>
                <w:highlight w:val="none"/>
              </w:rPr>
              <w:t>10</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实际</w:t>
            </w:r>
          </w:p>
          <w:p>
            <w:pPr>
              <w:spacing w:line="240" w:lineRule="exact"/>
              <w:ind w:left="105" w:leftChars="50" w:right="105" w:rightChars="50"/>
              <w:jc w:val="center"/>
              <w:rPr>
                <w:rFonts w:ascii="宋体"/>
                <w:highlight w:val="none"/>
              </w:rPr>
            </w:pPr>
            <w:r>
              <w:rPr>
                <w:rFonts w:hint="eastAsia" w:ascii="宋体" w:hAnsi="宋体" w:cs="宋体"/>
                <w:highlight w:val="none"/>
              </w:rPr>
              <w:t>完成率（</w:t>
            </w:r>
            <w:r>
              <w:rPr>
                <w:rFonts w:ascii="宋体" w:hAnsi="宋体" w:cs="宋体"/>
                <w:highlight w:val="none"/>
              </w:rPr>
              <w:t>10</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实际完成率</w:t>
            </w:r>
            <w:r>
              <w:rPr>
                <w:rFonts w:ascii="宋体" w:hAnsi="宋体" w:cs="宋体"/>
                <w:highlight w:val="none"/>
              </w:rPr>
              <w:t>=</w:t>
            </w:r>
            <w:r>
              <w:rPr>
                <w:rFonts w:hint="eastAsia" w:ascii="宋体" w:hAnsi="宋体" w:cs="宋体"/>
                <w:highlight w:val="none"/>
              </w:rPr>
              <w:t>（实际产出数</w:t>
            </w:r>
            <w:r>
              <w:rPr>
                <w:rFonts w:ascii="宋体" w:hAnsi="宋体" w:cs="宋体"/>
                <w:highlight w:val="none"/>
              </w:rPr>
              <w:t>/</w:t>
            </w:r>
            <w:r>
              <w:rPr>
                <w:rFonts w:hint="eastAsia" w:ascii="宋体" w:hAnsi="宋体" w:cs="宋体"/>
                <w:highlight w:val="none"/>
              </w:rPr>
              <w:t>计划产出数）×</w:t>
            </w:r>
            <w:r>
              <w:rPr>
                <w:rFonts w:ascii="宋体" w:hAnsi="宋体" w:cs="宋体"/>
                <w:highlight w:val="none"/>
              </w:rPr>
              <w:t>100%</w:t>
            </w:r>
            <w:r>
              <w:rPr>
                <w:rFonts w:hint="eastAsia" w:ascii="宋体" w:hAnsi="宋体" w:cs="宋体"/>
                <w:highlight w:val="none"/>
              </w:rPr>
              <w:t>。</w:t>
            </w:r>
          </w:p>
          <w:p>
            <w:pPr>
              <w:spacing w:line="240" w:lineRule="exact"/>
              <w:ind w:left="105" w:leftChars="50" w:right="105" w:rightChars="50"/>
              <w:rPr>
                <w:rFonts w:ascii="宋体" w:hAnsi="宋体" w:cs="宋体"/>
                <w:highlight w:val="none"/>
              </w:rPr>
            </w:pPr>
            <w:r>
              <w:rPr>
                <w:rFonts w:hint="eastAsia" w:ascii="宋体" w:hAnsi="宋体" w:cs="宋体"/>
                <w:highlight w:val="none"/>
              </w:rPr>
              <w:t>实际产出数：一定时期（本年度或预算支出期）内预算支出实际产出的产品或提供的服务数量。</w:t>
            </w:r>
          </w:p>
          <w:p>
            <w:pPr>
              <w:spacing w:line="240" w:lineRule="exact"/>
              <w:ind w:left="105" w:leftChars="50" w:right="105" w:rightChars="50"/>
              <w:rPr>
                <w:rFonts w:ascii="宋体"/>
                <w:highlight w:val="none"/>
              </w:rPr>
            </w:pPr>
            <w:r>
              <w:rPr>
                <w:rFonts w:hint="eastAsia" w:ascii="宋体" w:hAnsi="宋体" w:cs="宋体"/>
                <w:highlight w:val="none"/>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highlight w:val="none"/>
              </w:rPr>
            </w:pPr>
          </w:p>
        </w:tc>
        <w:tc>
          <w:tcPr>
            <w:tcW w:w="247" w:type="pct"/>
            <w:tcMar>
              <w:top w:w="10" w:type="dxa"/>
              <w:left w:w="10" w:type="dxa"/>
              <w:bottom w:w="0" w:type="dxa"/>
              <w:right w:w="10" w:type="dxa"/>
            </w:tcMar>
            <w:vAlign w:val="center"/>
          </w:tcPr>
          <w:p>
            <w:pPr>
              <w:spacing w:line="240" w:lineRule="exact"/>
              <w:jc w:val="center"/>
              <w:rPr>
                <w:rFonts w:ascii="宋体"/>
                <w:highlight w:val="none"/>
              </w:rPr>
            </w:pPr>
            <w:r>
              <w:rPr>
                <w:rFonts w:hint="eastAsia" w:ascii="宋体" w:hAnsi="宋体" w:cs="宋体"/>
                <w:highlight w:val="none"/>
              </w:rPr>
              <w:t>产出</w:t>
            </w:r>
          </w:p>
          <w:p>
            <w:pPr>
              <w:spacing w:line="240" w:lineRule="exact"/>
              <w:jc w:val="center"/>
              <w:rPr>
                <w:rFonts w:ascii="宋体"/>
                <w:highlight w:val="none"/>
              </w:rPr>
            </w:pPr>
            <w:r>
              <w:rPr>
                <w:rFonts w:hint="eastAsia" w:ascii="宋体" w:hAnsi="宋体" w:cs="宋体"/>
                <w:highlight w:val="none"/>
              </w:rPr>
              <w:t>质量（</w:t>
            </w:r>
            <w:r>
              <w:rPr>
                <w:rFonts w:ascii="宋体" w:hAnsi="宋体" w:cs="宋体"/>
                <w:highlight w:val="none"/>
              </w:rPr>
              <w:t>10</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质量</w:t>
            </w:r>
          </w:p>
          <w:p>
            <w:pPr>
              <w:spacing w:line="240" w:lineRule="exact"/>
              <w:ind w:left="105" w:leftChars="50" w:right="105" w:rightChars="50"/>
              <w:jc w:val="center"/>
              <w:rPr>
                <w:rFonts w:ascii="宋体"/>
                <w:highlight w:val="none"/>
              </w:rPr>
            </w:pPr>
            <w:r>
              <w:rPr>
                <w:rFonts w:hint="eastAsia" w:ascii="宋体" w:hAnsi="宋体" w:cs="宋体"/>
                <w:highlight w:val="none"/>
              </w:rPr>
              <w:t>达标率（</w:t>
            </w:r>
            <w:r>
              <w:rPr>
                <w:rFonts w:ascii="宋体" w:hAnsi="宋体" w:cs="宋体"/>
                <w:highlight w:val="none"/>
              </w:rPr>
              <w:t>10</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质量达标率</w:t>
            </w:r>
            <w:r>
              <w:rPr>
                <w:rFonts w:ascii="宋体" w:hAnsi="宋体" w:cs="宋体"/>
                <w:highlight w:val="none"/>
              </w:rPr>
              <w:t>=</w:t>
            </w:r>
            <w:r>
              <w:rPr>
                <w:rFonts w:hint="eastAsia" w:ascii="宋体" w:hAnsi="宋体" w:cs="宋体"/>
                <w:highlight w:val="none"/>
              </w:rPr>
              <w:t>（质量达标产出数</w:t>
            </w:r>
            <w:r>
              <w:rPr>
                <w:rFonts w:ascii="宋体" w:hAnsi="宋体" w:cs="宋体"/>
                <w:highlight w:val="none"/>
              </w:rPr>
              <w:t>/</w:t>
            </w:r>
            <w:r>
              <w:rPr>
                <w:rFonts w:hint="eastAsia" w:ascii="宋体" w:hAnsi="宋体" w:cs="宋体"/>
                <w:highlight w:val="none"/>
              </w:rPr>
              <w:t>实际产出数）×</w:t>
            </w:r>
            <w:r>
              <w:rPr>
                <w:rFonts w:ascii="宋体" w:hAnsi="宋体" w:cs="宋体"/>
                <w:highlight w:val="none"/>
              </w:rPr>
              <w:t>100%</w:t>
            </w:r>
            <w:r>
              <w:rPr>
                <w:rFonts w:hint="eastAsia" w:ascii="宋体" w:hAnsi="宋体" w:cs="宋体"/>
                <w:highlight w:val="none"/>
              </w:rPr>
              <w:t>。</w:t>
            </w:r>
          </w:p>
          <w:p>
            <w:pPr>
              <w:spacing w:line="240" w:lineRule="exact"/>
              <w:ind w:left="105" w:leftChars="50" w:right="105" w:rightChars="50"/>
              <w:rPr>
                <w:rFonts w:ascii="宋体"/>
                <w:highlight w:val="none"/>
              </w:rPr>
            </w:pPr>
            <w:r>
              <w:rPr>
                <w:rFonts w:hint="eastAsia" w:ascii="宋体" w:hAnsi="宋体" w:cs="宋体"/>
                <w:highlight w:val="none"/>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highlight w:val="none"/>
              </w:rPr>
            </w:pPr>
            <w:r>
              <w:rPr>
                <w:rFonts w:hint="eastAsia" w:ascii="宋体" w:hAnsi="宋体" w:cs="宋体"/>
                <w:highlight w:val="none"/>
              </w:rPr>
              <w:t>产</w:t>
            </w:r>
            <w:r>
              <w:rPr>
                <w:rFonts w:ascii="宋体" w:hAnsi="宋体" w:cs="宋体"/>
                <w:highlight w:val="none"/>
              </w:rPr>
              <w:t xml:space="preserve">   </w:t>
            </w:r>
            <w:r>
              <w:rPr>
                <w:rFonts w:hint="eastAsia" w:ascii="宋体" w:hAnsi="宋体" w:cs="宋体"/>
                <w:highlight w:val="none"/>
              </w:rPr>
              <w:t>出（</w:t>
            </w:r>
            <w:r>
              <w:rPr>
                <w:rFonts w:ascii="宋体" w:hAnsi="宋体" w:cs="宋体"/>
                <w:highlight w:val="none"/>
              </w:rPr>
              <w:t>40</w:t>
            </w:r>
            <w:r>
              <w:rPr>
                <w:rFonts w:hint="eastAsia" w:ascii="宋体" w:hAnsi="宋体" w:cs="宋体"/>
                <w:highlight w:val="none"/>
              </w:rPr>
              <w:t>分）</w:t>
            </w:r>
          </w:p>
        </w:tc>
        <w:tc>
          <w:tcPr>
            <w:tcW w:w="247" w:type="pct"/>
            <w:vAlign w:val="center"/>
          </w:tcPr>
          <w:p>
            <w:pPr>
              <w:spacing w:line="240" w:lineRule="exact"/>
              <w:jc w:val="center"/>
              <w:rPr>
                <w:rFonts w:ascii="宋体"/>
                <w:highlight w:val="none"/>
              </w:rPr>
            </w:pPr>
            <w:r>
              <w:rPr>
                <w:rFonts w:hint="eastAsia" w:ascii="宋体" w:hAnsi="宋体" w:cs="宋体"/>
                <w:highlight w:val="none"/>
              </w:rPr>
              <w:t>产出</w:t>
            </w:r>
          </w:p>
          <w:p>
            <w:pPr>
              <w:spacing w:line="240" w:lineRule="exact"/>
              <w:jc w:val="center"/>
              <w:rPr>
                <w:rFonts w:ascii="宋体"/>
                <w:highlight w:val="none"/>
              </w:rPr>
            </w:pPr>
            <w:r>
              <w:rPr>
                <w:rFonts w:hint="eastAsia" w:ascii="宋体" w:hAnsi="宋体" w:cs="宋体"/>
                <w:highlight w:val="none"/>
              </w:rPr>
              <w:t>时效（</w:t>
            </w:r>
            <w:r>
              <w:rPr>
                <w:rFonts w:ascii="宋体" w:hAnsi="宋体" w:cs="宋体"/>
                <w:highlight w:val="none"/>
              </w:rPr>
              <w:t>10</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完成</w:t>
            </w:r>
          </w:p>
          <w:p>
            <w:pPr>
              <w:spacing w:line="240" w:lineRule="exact"/>
              <w:ind w:left="105" w:leftChars="50" w:right="105" w:rightChars="50"/>
              <w:jc w:val="center"/>
              <w:rPr>
                <w:rFonts w:ascii="宋体"/>
                <w:highlight w:val="none"/>
              </w:rPr>
            </w:pPr>
            <w:r>
              <w:rPr>
                <w:rFonts w:hint="eastAsia" w:ascii="宋体" w:hAnsi="宋体" w:cs="宋体"/>
                <w:highlight w:val="none"/>
              </w:rPr>
              <w:t>及时性（</w:t>
            </w:r>
            <w:r>
              <w:rPr>
                <w:rFonts w:ascii="宋体" w:hAnsi="宋体" w:cs="宋体"/>
                <w:highlight w:val="none"/>
              </w:rPr>
              <w:t>10</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实际完成时间：预算支出实施单位完成该预算支出实际所耗用的时间。</w:t>
            </w:r>
          </w:p>
          <w:p>
            <w:pPr>
              <w:spacing w:line="240" w:lineRule="exact"/>
              <w:ind w:left="105" w:leftChars="50" w:right="105" w:rightChars="50"/>
              <w:rPr>
                <w:rFonts w:ascii="宋体"/>
                <w:highlight w:val="none"/>
              </w:rPr>
            </w:pPr>
            <w:r>
              <w:rPr>
                <w:rFonts w:hint="eastAsia" w:ascii="宋体" w:hAnsi="宋体" w:cs="宋体"/>
                <w:highlight w:val="none"/>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highlight w:val="none"/>
              </w:rPr>
            </w:pPr>
          </w:p>
        </w:tc>
        <w:tc>
          <w:tcPr>
            <w:tcW w:w="247" w:type="pct"/>
            <w:vAlign w:val="center"/>
          </w:tcPr>
          <w:p>
            <w:pPr>
              <w:spacing w:line="240" w:lineRule="exact"/>
              <w:jc w:val="center"/>
              <w:rPr>
                <w:rFonts w:ascii="宋体"/>
                <w:highlight w:val="none"/>
              </w:rPr>
            </w:pPr>
            <w:r>
              <w:rPr>
                <w:rFonts w:hint="eastAsia" w:ascii="宋体" w:hAnsi="宋体" w:cs="宋体"/>
                <w:highlight w:val="none"/>
              </w:rPr>
              <w:t>产出</w:t>
            </w:r>
          </w:p>
          <w:p>
            <w:pPr>
              <w:spacing w:line="240" w:lineRule="exact"/>
              <w:jc w:val="center"/>
              <w:rPr>
                <w:rFonts w:ascii="宋体"/>
                <w:highlight w:val="none"/>
              </w:rPr>
            </w:pPr>
            <w:r>
              <w:rPr>
                <w:rFonts w:hint="eastAsia" w:ascii="宋体" w:hAnsi="宋体" w:cs="宋体"/>
                <w:highlight w:val="none"/>
              </w:rPr>
              <w:t>成本（</w:t>
            </w:r>
            <w:r>
              <w:rPr>
                <w:rFonts w:ascii="宋体" w:hAnsi="宋体" w:cs="宋体"/>
                <w:highlight w:val="none"/>
              </w:rPr>
              <w:t>10</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成本</w:t>
            </w:r>
          </w:p>
          <w:p>
            <w:pPr>
              <w:spacing w:line="240" w:lineRule="exact"/>
              <w:ind w:left="105" w:leftChars="50" w:right="105" w:rightChars="50"/>
              <w:jc w:val="center"/>
              <w:rPr>
                <w:rFonts w:ascii="宋体"/>
                <w:highlight w:val="none"/>
              </w:rPr>
            </w:pPr>
            <w:r>
              <w:rPr>
                <w:rFonts w:hint="eastAsia" w:ascii="宋体" w:hAnsi="宋体" w:cs="宋体"/>
                <w:highlight w:val="none"/>
              </w:rPr>
              <w:t>节约率（</w:t>
            </w:r>
            <w:r>
              <w:rPr>
                <w:rFonts w:ascii="宋体" w:hAnsi="宋体" w:cs="宋体"/>
                <w:highlight w:val="none"/>
              </w:rPr>
              <w:t>10</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Ansi="宋体" w:cs="宋体"/>
                <w:highlight w:val="none"/>
              </w:rPr>
            </w:pPr>
            <w:r>
              <w:rPr>
                <w:rFonts w:hint="eastAsia" w:ascii="宋体" w:hAnsi="宋体" w:cs="宋体"/>
                <w:highlight w:val="none"/>
              </w:rPr>
              <w:t>成本节约率</w:t>
            </w:r>
            <w:r>
              <w:rPr>
                <w:rFonts w:ascii="宋体" w:hAnsi="宋体" w:cs="宋体"/>
                <w:highlight w:val="none"/>
              </w:rPr>
              <w:t>=[</w:t>
            </w:r>
            <w:r>
              <w:rPr>
                <w:rFonts w:hint="eastAsia" w:ascii="宋体" w:hAnsi="宋体" w:cs="宋体"/>
                <w:highlight w:val="none"/>
              </w:rPr>
              <w:t>（计划成本</w:t>
            </w:r>
            <w:r>
              <w:rPr>
                <w:rFonts w:ascii="宋体" w:cs="宋体"/>
                <w:highlight w:val="none"/>
              </w:rPr>
              <w:t>-</w:t>
            </w:r>
            <w:r>
              <w:rPr>
                <w:rFonts w:hint="eastAsia" w:ascii="宋体" w:hAnsi="宋体" w:cs="宋体"/>
                <w:highlight w:val="none"/>
              </w:rPr>
              <w:t>实际成本）</w:t>
            </w:r>
            <w:r>
              <w:rPr>
                <w:rFonts w:ascii="宋体" w:hAnsi="宋体" w:cs="宋体"/>
                <w:highlight w:val="none"/>
              </w:rPr>
              <w:t>/</w:t>
            </w:r>
            <w:r>
              <w:rPr>
                <w:rFonts w:hint="eastAsia" w:ascii="宋体" w:hAnsi="宋体" w:cs="宋体"/>
                <w:highlight w:val="none"/>
              </w:rPr>
              <w:t>计划成本</w:t>
            </w:r>
            <w:r>
              <w:rPr>
                <w:rFonts w:ascii="宋体" w:hAnsi="宋体" w:cs="宋体"/>
                <w:highlight w:val="none"/>
              </w:rPr>
              <w:t>]</w:t>
            </w:r>
            <w:r>
              <w:rPr>
                <w:rFonts w:hint="eastAsia" w:ascii="宋体" w:hAnsi="宋体" w:cs="宋体"/>
                <w:highlight w:val="none"/>
              </w:rPr>
              <w:t>×</w:t>
            </w:r>
            <w:r>
              <w:rPr>
                <w:rFonts w:ascii="宋体" w:hAnsi="宋体" w:cs="宋体"/>
                <w:highlight w:val="none"/>
              </w:rPr>
              <w:t>100%</w:t>
            </w:r>
            <w:r>
              <w:rPr>
                <w:rFonts w:hint="eastAsia" w:ascii="宋体" w:hAnsi="宋体" w:cs="宋体"/>
                <w:highlight w:val="none"/>
              </w:rPr>
              <w:t>。</w:t>
            </w:r>
          </w:p>
          <w:p>
            <w:pPr>
              <w:spacing w:line="240" w:lineRule="exact"/>
              <w:ind w:left="105" w:leftChars="50" w:right="105" w:rightChars="50"/>
              <w:rPr>
                <w:rFonts w:ascii="宋体" w:hAnsi="宋体" w:cs="宋体"/>
                <w:highlight w:val="none"/>
              </w:rPr>
            </w:pPr>
            <w:r>
              <w:rPr>
                <w:rFonts w:hint="eastAsia" w:ascii="宋体" w:hAnsi="宋体" w:cs="宋体"/>
                <w:highlight w:val="none"/>
              </w:rPr>
              <w:t>实际成本：预算支出实施单位如期、保质、保量完成既定工作目标实际所耗费的支出。</w:t>
            </w:r>
          </w:p>
          <w:p>
            <w:pPr>
              <w:spacing w:line="240" w:lineRule="exact"/>
              <w:ind w:left="105" w:leftChars="50" w:right="105" w:rightChars="50"/>
              <w:rPr>
                <w:rFonts w:ascii="宋体"/>
                <w:highlight w:val="none"/>
              </w:rPr>
            </w:pPr>
            <w:r>
              <w:rPr>
                <w:rFonts w:hint="eastAsia" w:ascii="宋体" w:hAnsi="宋体" w:cs="宋体"/>
                <w:highlight w:val="none"/>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highlight w:val="none"/>
              </w:rPr>
            </w:pPr>
            <w:r>
              <w:rPr>
                <w:rFonts w:hint="eastAsia" w:ascii="宋体" w:hAnsi="宋体" w:cs="宋体"/>
                <w:highlight w:val="none"/>
              </w:rPr>
              <w:t>效</w:t>
            </w:r>
            <w:r>
              <w:rPr>
                <w:rFonts w:ascii="宋体" w:hAnsi="宋体" w:cs="宋体"/>
                <w:highlight w:val="none"/>
              </w:rPr>
              <w:t xml:space="preserve">   </w:t>
            </w:r>
            <w:r>
              <w:rPr>
                <w:rFonts w:hint="eastAsia" w:ascii="宋体" w:hAnsi="宋体" w:cs="宋体"/>
                <w:highlight w:val="none"/>
              </w:rPr>
              <w:t>益（</w:t>
            </w:r>
            <w:r>
              <w:rPr>
                <w:rFonts w:ascii="宋体" w:hAnsi="宋体" w:cs="宋体"/>
                <w:highlight w:val="none"/>
              </w:rPr>
              <w:t>20</w:t>
            </w:r>
            <w:r>
              <w:rPr>
                <w:rFonts w:hint="eastAsia" w:ascii="宋体" w:hAnsi="宋体" w:cs="宋体"/>
                <w:highlight w:val="none"/>
              </w:rPr>
              <w:t>分）</w:t>
            </w:r>
          </w:p>
        </w:tc>
        <w:tc>
          <w:tcPr>
            <w:tcW w:w="247" w:type="pct"/>
            <w:vMerge w:val="restart"/>
            <w:tcMar>
              <w:top w:w="10" w:type="dxa"/>
              <w:left w:w="10" w:type="dxa"/>
              <w:bottom w:w="0" w:type="dxa"/>
              <w:right w:w="10" w:type="dxa"/>
            </w:tcMar>
            <w:vAlign w:val="center"/>
          </w:tcPr>
          <w:p>
            <w:pPr>
              <w:spacing w:line="240" w:lineRule="exact"/>
              <w:jc w:val="center"/>
              <w:rPr>
                <w:rFonts w:ascii="宋体" w:hAnsi="宋体" w:cs="宋体"/>
                <w:highlight w:val="none"/>
              </w:rPr>
            </w:pPr>
            <w:r>
              <w:rPr>
                <w:rFonts w:hint="eastAsia" w:ascii="宋体" w:hAnsi="宋体" w:cs="宋体"/>
                <w:highlight w:val="none"/>
              </w:rPr>
              <w:t>预算支出</w:t>
            </w:r>
          </w:p>
          <w:p>
            <w:pPr>
              <w:spacing w:line="240" w:lineRule="exact"/>
              <w:jc w:val="center"/>
              <w:rPr>
                <w:rFonts w:ascii="宋体"/>
                <w:highlight w:val="none"/>
              </w:rPr>
            </w:pPr>
            <w:r>
              <w:rPr>
                <w:rFonts w:hint="eastAsia" w:ascii="宋体" w:hAnsi="宋体" w:cs="宋体"/>
                <w:highlight w:val="none"/>
              </w:rPr>
              <w:t>效益（</w:t>
            </w:r>
            <w:r>
              <w:rPr>
                <w:rFonts w:ascii="宋体" w:hAnsi="宋体" w:cs="宋体"/>
                <w:highlight w:val="none"/>
              </w:rPr>
              <w:t>20</w:t>
            </w:r>
            <w:r>
              <w:rPr>
                <w:rFonts w:hint="eastAsia" w:ascii="宋体" w:hAnsi="宋体" w:cs="宋体"/>
                <w:highlight w:val="none"/>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实施效益（</w:t>
            </w:r>
            <w:r>
              <w:rPr>
                <w:rFonts w:ascii="宋体" w:hAnsi="宋体" w:cs="宋体"/>
                <w:highlight w:val="none"/>
              </w:rPr>
              <w:t>10</w:t>
            </w:r>
            <w:r>
              <w:rPr>
                <w:rFonts w:hint="eastAsia" w:ascii="宋体" w:hAnsi="宋体" w:cs="宋体"/>
                <w:highlight w:val="none"/>
              </w:rPr>
              <w:t>分）</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highlight w:val="none"/>
              </w:rPr>
            </w:pPr>
          </w:p>
        </w:tc>
        <w:tc>
          <w:tcPr>
            <w:tcW w:w="247" w:type="pct"/>
            <w:vMerge w:val="continue"/>
            <w:vAlign w:val="center"/>
          </w:tcPr>
          <w:p>
            <w:pPr>
              <w:spacing w:line="240" w:lineRule="exact"/>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r>
              <w:rPr>
                <w:rFonts w:hint="eastAsia" w:ascii="宋体" w:hAnsi="宋体" w:cs="宋体"/>
                <w:highlight w:val="none"/>
              </w:rPr>
              <w:t>社会公众</w:t>
            </w:r>
          </w:p>
          <w:p>
            <w:pPr>
              <w:spacing w:line="240" w:lineRule="exact"/>
              <w:ind w:left="105" w:leftChars="50" w:right="105" w:rightChars="50"/>
              <w:jc w:val="center"/>
              <w:rPr>
                <w:rFonts w:ascii="宋体"/>
                <w:highlight w:val="none"/>
              </w:rPr>
            </w:pPr>
            <w:r>
              <w:rPr>
                <w:rFonts w:hint="eastAsia" w:ascii="宋体" w:hAnsi="宋体" w:cs="宋体"/>
                <w:highlight w:val="none"/>
              </w:rPr>
              <w:t>或服务（</w:t>
            </w:r>
            <w:r>
              <w:rPr>
                <w:rFonts w:ascii="宋体" w:hAnsi="宋体" w:cs="宋体"/>
                <w:highlight w:val="none"/>
              </w:rPr>
              <w:t>10</w:t>
            </w:r>
            <w:r>
              <w:rPr>
                <w:rFonts w:hint="eastAsia" w:ascii="宋体" w:hAnsi="宋体" w:cs="宋体"/>
                <w:highlight w:val="none"/>
              </w:rPr>
              <w:t>分）对</w:t>
            </w:r>
          </w:p>
          <w:p>
            <w:pPr>
              <w:spacing w:line="240" w:lineRule="exact"/>
              <w:ind w:left="105" w:leftChars="50" w:right="105" w:rightChars="50"/>
              <w:jc w:val="center"/>
              <w:rPr>
                <w:rFonts w:ascii="宋体"/>
                <w:highlight w:val="none"/>
              </w:rPr>
            </w:pPr>
            <w:r>
              <w:rPr>
                <w:rFonts w:hint="eastAsia" w:ascii="宋体" w:hAnsi="宋体" w:cs="宋体"/>
                <w:highlight w:val="none"/>
              </w:rPr>
              <w:t>象满意度</w:t>
            </w: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r>
              <w:rPr>
                <w:rFonts w:hint="eastAsia" w:ascii="宋体" w:hAnsi="宋体" w:cs="宋体"/>
                <w:highlight w:val="none"/>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highlight w:val="none"/>
              </w:rPr>
            </w:pPr>
            <w:r>
              <w:rPr>
                <w:rFonts w:hint="eastAsia" w:ascii="宋体" w:hAnsi="宋体" w:cs="宋体"/>
                <w:highlight w:val="none"/>
              </w:rPr>
              <w:t>总分</w:t>
            </w:r>
          </w:p>
        </w:tc>
        <w:tc>
          <w:tcPr>
            <w:tcW w:w="247" w:type="pct"/>
            <w:vAlign w:val="center"/>
          </w:tcPr>
          <w:p>
            <w:pPr>
              <w:spacing w:line="240" w:lineRule="exact"/>
              <w:rPr>
                <w:rFonts w:ascii="宋体"/>
                <w:highlight w:val="none"/>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highlight w:val="none"/>
              </w:rPr>
            </w:pPr>
          </w:p>
        </w:tc>
        <w:tc>
          <w:tcPr>
            <w:tcW w:w="294" w:type="pct"/>
            <w:vAlign w:val="center"/>
          </w:tcPr>
          <w:p>
            <w:pPr>
              <w:spacing w:line="240" w:lineRule="exact"/>
              <w:ind w:left="105" w:leftChars="50" w:right="105" w:rightChars="50"/>
              <w:jc w:val="center"/>
              <w:rPr>
                <w:rFonts w:ascii="宋体"/>
                <w:highlight w:val="none"/>
              </w:rPr>
            </w:pPr>
            <w:r>
              <w:rPr>
                <w:rFonts w:hint="eastAsia" w:ascii="宋体"/>
                <w:highlight w:val="none"/>
              </w:rPr>
              <w:t>96</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highlight w:val="none"/>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B835C"/>
    <w:multiLevelType w:val="singleLevel"/>
    <w:tmpl w:val="079B835C"/>
    <w:lvl w:ilvl="0" w:tentative="0">
      <w:start w:val="2"/>
      <w:numFmt w:val="chineseCounting"/>
      <w:suff w:val="nothing"/>
      <w:lvlText w:val="（%1）"/>
      <w:lvlJc w:val="left"/>
      <w:rPr>
        <w:rFonts w:hint="eastAsia"/>
      </w:rPr>
    </w:lvl>
  </w:abstractNum>
  <w:abstractNum w:abstractNumId="1">
    <w:nsid w:val="1F4C5EB9"/>
    <w:multiLevelType w:val="singleLevel"/>
    <w:tmpl w:val="1F4C5EB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073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2023-06-17T12:15:56Z</dcterms:created>
  <dc:creator>admin-3</dc:creator>
  <cp:lastModifiedBy>admin-3</cp:lastModifiedBy>
  <dcterms:modified xsi:type="dcterms:W3CDTF">2023-06-17T12:16:40Z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BF633E925F464B87A42F401AF33EA630_12</vt:lpwstr>
  </property>
</Properties>
</file>