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eastAsia" w:ascii="黑体" w:hAnsi="黑体" w:eastAsia="黑体" w:cs="黑体"/>
          <w:i w:val="0"/>
          <w:iCs w:val="0"/>
          <w:caps w:val="0"/>
          <w:color w:val="333333"/>
          <w:spacing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eastAsia" w:ascii="黑体" w:hAnsi="黑体" w:eastAsia="黑体" w:cs="黑体"/>
          <w:i w:val="0"/>
          <w:iCs w:val="0"/>
          <w:caps w:val="0"/>
          <w:color w:val="333333"/>
          <w:spacing w:val="0"/>
          <w:kern w:val="0"/>
          <w:sz w:val="36"/>
          <w:szCs w:val="36"/>
          <w:lang w:val="en-US" w:eastAsia="zh-CN" w:bidi="ar"/>
        </w:rPr>
      </w:pPr>
      <w:r>
        <w:rPr>
          <w:rFonts w:hint="eastAsia" w:ascii="黑体" w:hAnsi="黑体" w:eastAsia="黑体" w:cs="黑体"/>
          <w:i w:val="0"/>
          <w:iCs w:val="0"/>
          <w:caps w:val="0"/>
          <w:color w:val="333333"/>
          <w:spacing w:val="0"/>
          <w:kern w:val="0"/>
          <w:sz w:val="36"/>
          <w:szCs w:val="36"/>
          <w:lang w:val="en-US" w:eastAsia="zh-CN" w:bidi="ar"/>
        </w:rPr>
        <w:t>中共益阳市赫山区委统一战线工作部2021年度部门</w:t>
      </w: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eastAsia" w:ascii="黑体" w:hAnsi="黑体" w:eastAsia="黑体" w:cs="黑体"/>
          <w:i w:val="0"/>
          <w:iCs w:val="0"/>
          <w:caps w:val="0"/>
          <w:color w:val="333333"/>
          <w:spacing w:val="0"/>
          <w:kern w:val="0"/>
          <w:sz w:val="36"/>
          <w:szCs w:val="36"/>
          <w:lang w:val="en-US" w:eastAsia="zh-CN" w:bidi="ar"/>
        </w:rPr>
      </w:pPr>
      <w:r>
        <w:rPr>
          <w:rFonts w:hint="eastAsia" w:ascii="黑体" w:hAnsi="黑体" w:eastAsia="黑体" w:cs="黑体"/>
          <w:i w:val="0"/>
          <w:iCs w:val="0"/>
          <w:caps w:val="0"/>
          <w:color w:val="333333"/>
          <w:spacing w:val="0"/>
          <w:kern w:val="0"/>
          <w:sz w:val="36"/>
          <w:szCs w:val="36"/>
          <w:lang w:val="en-US" w:eastAsia="zh-CN" w:bidi="ar"/>
        </w:rPr>
        <w:t>整体支出绩效评价报告</w:t>
      </w: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eastAsia" w:ascii="黑体" w:hAnsi="黑体" w:eastAsia="黑体" w:cs="黑体"/>
          <w:i w:val="0"/>
          <w:iCs w:val="0"/>
          <w:caps w:val="0"/>
          <w:color w:val="333333"/>
          <w:spacing w:val="0"/>
          <w:kern w:val="0"/>
          <w:sz w:val="36"/>
          <w:szCs w:val="36"/>
          <w:lang w:val="en-US" w:eastAsia="zh-CN" w:bidi="ar"/>
        </w:rPr>
      </w:pPr>
      <w:bookmarkStart w:id="0" w:name="_GoBack"/>
      <w:bookmarkEnd w:id="0"/>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i w:val="0"/>
          <w:iCs w:val="0"/>
          <w:caps w:val="0"/>
          <w:color w:val="333333"/>
          <w:spacing w:val="0"/>
          <w:sz w:val="30"/>
          <w:szCs w:val="30"/>
          <w:shd w:val="clear" w:fill="FFFFFF"/>
          <w:lang w:eastAsia="zh-CN"/>
        </w:rPr>
      </w:pPr>
      <w:r>
        <w:rPr>
          <w:rFonts w:hint="eastAsia" w:ascii="仿宋" w:hAnsi="仿宋" w:eastAsia="仿宋" w:cs="仿宋"/>
          <w:i w:val="0"/>
          <w:iCs w:val="0"/>
          <w:caps w:val="0"/>
          <w:color w:val="333333"/>
          <w:spacing w:val="0"/>
          <w:sz w:val="30"/>
          <w:szCs w:val="30"/>
          <w:shd w:val="clear" w:fill="FFFFFF"/>
          <w:lang w:eastAsia="zh-CN"/>
        </w:rPr>
        <w:t>为进一步规范财政资金管理，牢固树立预算绩效理念，切实提高财政资金使用效益，我部根据益赫财绩【2022】1号《益阳市赫山区财政局关于做好2021年度预算绩效自评工作的通知》文件精神，参照《部门整体支出绩效评价指标表》，认真对202</w:t>
      </w:r>
      <w:r>
        <w:rPr>
          <w:rFonts w:hint="eastAsia" w:ascii="仿宋" w:hAnsi="仿宋" w:eastAsia="仿宋" w:cs="仿宋"/>
          <w:i w:val="0"/>
          <w:iCs w:val="0"/>
          <w:caps w:val="0"/>
          <w:color w:val="333333"/>
          <w:spacing w:val="0"/>
          <w:sz w:val="30"/>
          <w:szCs w:val="30"/>
          <w:shd w:val="clear" w:fill="FFFFFF"/>
          <w:lang w:val="en-US" w:eastAsia="zh-CN"/>
        </w:rPr>
        <w:t>1</w:t>
      </w:r>
      <w:r>
        <w:rPr>
          <w:rFonts w:hint="eastAsia" w:ascii="仿宋" w:hAnsi="仿宋" w:eastAsia="仿宋" w:cs="仿宋"/>
          <w:i w:val="0"/>
          <w:iCs w:val="0"/>
          <w:caps w:val="0"/>
          <w:color w:val="333333"/>
          <w:spacing w:val="0"/>
          <w:sz w:val="30"/>
          <w:szCs w:val="30"/>
          <w:shd w:val="clear" w:fill="FFFFFF"/>
          <w:lang w:eastAsia="zh-CN"/>
        </w:rPr>
        <w:t>年部门预算整体支出进行自查考评，现将相关情况报告如下：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00" w:firstLineChars="200"/>
        <w:jc w:val="both"/>
        <w:textAlignment w:val="auto"/>
        <w:rPr>
          <w:rFonts w:hint="eastAsia" w:ascii="黑体" w:hAnsi="黑体" w:eastAsia="黑体" w:cs="黑体"/>
          <w:i w:val="0"/>
          <w:iCs w:val="0"/>
          <w:caps w:val="0"/>
          <w:color w:val="333333"/>
          <w:spacing w:val="0"/>
          <w:sz w:val="30"/>
          <w:szCs w:val="30"/>
        </w:rPr>
      </w:pPr>
      <w:r>
        <w:rPr>
          <w:rFonts w:hint="eastAsia" w:ascii="黑体" w:hAnsi="黑体" w:eastAsia="黑体" w:cs="黑体"/>
          <w:i w:val="0"/>
          <w:iCs w:val="0"/>
          <w:caps w:val="0"/>
          <w:color w:val="333333"/>
          <w:spacing w:val="0"/>
          <w:sz w:val="30"/>
          <w:szCs w:val="30"/>
          <w:lang w:eastAsia="zh-CN"/>
        </w:rPr>
        <w:t>一</w:t>
      </w:r>
      <w:r>
        <w:rPr>
          <w:rFonts w:hint="eastAsia" w:ascii="黑体" w:hAnsi="黑体" w:eastAsia="黑体" w:cs="黑体"/>
          <w:i w:val="0"/>
          <w:iCs w:val="0"/>
          <w:caps w:val="0"/>
          <w:color w:val="333333"/>
          <w:spacing w:val="0"/>
          <w:sz w:val="30"/>
          <w:szCs w:val="30"/>
        </w:rPr>
        <w:t>、部门概况</w:t>
      </w:r>
    </w:p>
    <w:p>
      <w:pPr>
        <w:keepNext w:val="0"/>
        <w:keepLines w:val="0"/>
        <w:pageBreakBefore w:val="0"/>
        <w:kinsoku/>
        <w:wordWrap/>
        <w:overflowPunct/>
        <w:topLinePunct w:val="0"/>
        <w:bidi w:val="0"/>
        <w:snapToGrid/>
        <w:spacing w:beforeLines="0" w:afterLines="0" w:line="600" w:lineRule="exact"/>
        <w:ind w:firstLine="602" w:firstLineChars="200"/>
        <w:textAlignment w:val="auto"/>
        <w:rPr>
          <w:rFonts w:hint="eastAsia" w:ascii="仿宋" w:hAnsi="仿宋" w:eastAsia="仿宋" w:cs="仿宋"/>
          <w:b/>
          <w:bCs/>
          <w:color w:val="000000"/>
          <w:kern w:val="0"/>
          <w:sz w:val="30"/>
          <w:szCs w:val="30"/>
          <w:lang w:eastAsia="zh-CN"/>
        </w:rPr>
      </w:pPr>
      <w:r>
        <w:rPr>
          <w:rFonts w:hint="eastAsia" w:ascii="仿宋" w:hAnsi="仿宋" w:eastAsia="仿宋" w:cs="仿宋"/>
          <w:b/>
          <w:bCs/>
          <w:color w:val="000000"/>
          <w:kern w:val="0"/>
          <w:sz w:val="30"/>
          <w:szCs w:val="30"/>
          <w:lang w:eastAsia="zh-CN"/>
        </w:rPr>
        <w:t>（</w:t>
      </w:r>
      <w:r>
        <w:rPr>
          <w:rFonts w:hint="eastAsia" w:ascii="仿宋" w:hAnsi="仿宋" w:eastAsia="仿宋" w:cs="仿宋"/>
          <w:b/>
          <w:bCs/>
          <w:color w:val="000000"/>
          <w:kern w:val="0"/>
          <w:sz w:val="30"/>
          <w:szCs w:val="30"/>
          <w:lang w:val="en-US" w:eastAsia="zh-CN"/>
        </w:rPr>
        <w:t>一</w:t>
      </w:r>
      <w:r>
        <w:rPr>
          <w:rFonts w:hint="eastAsia" w:ascii="仿宋" w:hAnsi="仿宋" w:eastAsia="仿宋" w:cs="仿宋"/>
          <w:b/>
          <w:bCs/>
          <w:color w:val="000000"/>
          <w:kern w:val="0"/>
          <w:sz w:val="30"/>
          <w:szCs w:val="30"/>
          <w:lang w:eastAsia="zh-CN"/>
        </w:rPr>
        <w:t>）</w:t>
      </w:r>
      <w:r>
        <w:rPr>
          <w:rFonts w:hint="eastAsia" w:ascii="仿宋" w:hAnsi="仿宋" w:eastAsia="仿宋" w:cs="仿宋"/>
          <w:b/>
          <w:bCs/>
          <w:color w:val="000000"/>
          <w:kern w:val="0"/>
          <w:sz w:val="30"/>
          <w:szCs w:val="30"/>
          <w:lang w:val="en-US" w:eastAsia="zh-CN"/>
        </w:rPr>
        <w:t>部门</w:t>
      </w:r>
      <w:r>
        <w:rPr>
          <w:rFonts w:hint="eastAsia" w:ascii="仿宋" w:hAnsi="仿宋" w:eastAsia="仿宋" w:cs="仿宋"/>
          <w:b/>
          <w:bCs/>
          <w:color w:val="000000"/>
          <w:kern w:val="0"/>
          <w:sz w:val="30"/>
          <w:szCs w:val="30"/>
          <w:lang w:eastAsia="zh-CN"/>
        </w:rPr>
        <w:t>职责</w:t>
      </w:r>
    </w:p>
    <w:p>
      <w:pPr>
        <w:keepNext w:val="0"/>
        <w:keepLines w:val="0"/>
        <w:pageBreakBefore w:val="0"/>
        <w:kinsoku/>
        <w:wordWrap/>
        <w:overflowPunct/>
        <w:topLinePunct w:val="0"/>
        <w:bidi w:val="0"/>
        <w:snapToGrid/>
        <w:spacing w:beforeLines="0" w:afterLines="0" w:line="600" w:lineRule="exact"/>
        <w:ind w:firstLine="600" w:firstLineChars="200"/>
        <w:textAlignment w:val="auto"/>
        <w:rPr>
          <w:rFonts w:hint="eastAsia" w:ascii="仿宋" w:hAnsi="仿宋" w:eastAsia="仿宋" w:cs="仿宋"/>
          <w:i w:val="0"/>
          <w:iCs w:val="0"/>
          <w:caps w:val="0"/>
          <w:color w:val="333333"/>
          <w:spacing w:val="0"/>
          <w:sz w:val="30"/>
          <w:szCs w:val="30"/>
          <w:shd w:val="clear" w:fill="FFFFFF"/>
          <w:lang w:eastAsia="zh-CN"/>
        </w:rPr>
      </w:pPr>
      <w:r>
        <w:rPr>
          <w:rFonts w:hint="eastAsia" w:ascii="仿宋" w:hAnsi="仿宋" w:eastAsia="仿宋" w:cs="仿宋"/>
          <w:color w:val="000000"/>
          <w:kern w:val="0"/>
          <w:sz w:val="30"/>
          <w:szCs w:val="30"/>
        </w:rPr>
        <w:t>贯彻落实加强党对统一战线工作集中统一领导的要求，发挥在统战工作方面的参谋机构、组织协调机构、具体执行机构、督促检查机构作用，了解情况、掌握政策、协调关系、安排人事、增进共识、加强团结，协调统一战线各方面关系，组织和落实中央、省委、市委、区委关于统一战线工作重大决策部署，巩固壮大最广泛的统一战线。负责联系各民主党派，贯彻落实中国共产党领导的多党合作和政治协商制度</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贯彻落实党的民族宗教工作方针和政策，研究拟定全区民族宗教工作的政策措施并督促落实。协调处理民族宗教工作中的重大问题。牵头开展统一多民族国情和民族团结进步教育。负责联系、培养无党派代表人士，支持、帮助无党派人士加强自身建设、发挥作用。调查研究党外知识分子和新的社会阶层人士情况并提出政策建议。参与制定、推进落实鼓励支持引导非公有制经济发展的政策。调查研究非公有制经济人士情况并提出政策建议。了解和反映非公有制经济人士的意见。团结、服务、引导、教育非公有制经济人士，促进非公有制经济健康发展和非公有制经济人士健康成长。统一领导全区海外统战工作。统一管理全区侨务工作。协助管理乡镇（街道）统战委员，指导区工商联工作。做好统一战线有关单位和团体的管理工作。完成区委交办的其他任务。</w:t>
      </w:r>
    </w:p>
    <w:p>
      <w:pPr>
        <w:keepNext w:val="0"/>
        <w:keepLines w:val="0"/>
        <w:pageBreakBefore w:val="0"/>
        <w:kinsoku/>
        <w:wordWrap/>
        <w:overflowPunct/>
        <w:topLinePunct w:val="0"/>
        <w:autoSpaceDE/>
        <w:autoSpaceDN/>
        <w:bidi w:val="0"/>
        <w:adjustRightInd/>
        <w:spacing w:line="600" w:lineRule="exact"/>
        <w:ind w:firstLine="602" w:firstLineChars="200"/>
        <w:textAlignment w:val="auto"/>
        <w:rPr>
          <w:rFonts w:hint="default" w:ascii="仿宋" w:hAnsi="仿宋" w:eastAsia="仿宋" w:cs="仿宋"/>
          <w:b/>
          <w:bCs/>
          <w:i w:val="0"/>
          <w:iCs w:val="0"/>
          <w:caps w:val="0"/>
          <w:color w:val="333333"/>
          <w:spacing w:val="0"/>
          <w:sz w:val="30"/>
          <w:szCs w:val="30"/>
          <w:shd w:val="clear" w:fill="FFFFFF"/>
          <w:lang w:val="en-US" w:eastAsia="zh-CN"/>
        </w:rPr>
      </w:pPr>
      <w:r>
        <w:rPr>
          <w:rFonts w:hint="eastAsia" w:ascii="仿宋" w:hAnsi="仿宋" w:eastAsia="仿宋" w:cs="仿宋"/>
          <w:b/>
          <w:bCs/>
          <w:i w:val="0"/>
          <w:iCs w:val="0"/>
          <w:caps w:val="0"/>
          <w:color w:val="333333"/>
          <w:spacing w:val="0"/>
          <w:sz w:val="30"/>
          <w:szCs w:val="30"/>
          <w:shd w:val="clear" w:fill="FFFFFF"/>
          <w:lang w:eastAsia="zh-CN"/>
        </w:rPr>
        <w:t>（</w:t>
      </w:r>
      <w:r>
        <w:rPr>
          <w:rFonts w:hint="eastAsia" w:ascii="仿宋" w:hAnsi="仿宋" w:eastAsia="仿宋" w:cs="仿宋"/>
          <w:b/>
          <w:bCs/>
          <w:i w:val="0"/>
          <w:iCs w:val="0"/>
          <w:caps w:val="0"/>
          <w:color w:val="333333"/>
          <w:spacing w:val="0"/>
          <w:sz w:val="30"/>
          <w:szCs w:val="30"/>
          <w:shd w:val="clear" w:fill="FFFFFF"/>
          <w:lang w:val="en-US" w:eastAsia="zh-CN"/>
        </w:rPr>
        <w:t>二</w:t>
      </w:r>
      <w:r>
        <w:rPr>
          <w:rFonts w:hint="eastAsia" w:ascii="仿宋" w:hAnsi="仿宋" w:eastAsia="仿宋" w:cs="仿宋"/>
          <w:b/>
          <w:bCs/>
          <w:i w:val="0"/>
          <w:iCs w:val="0"/>
          <w:caps w:val="0"/>
          <w:color w:val="333333"/>
          <w:spacing w:val="0"/>
          <w:sz w:val="30"/>
          <w:szCs w:val="30"/>
          <w:shd w:val="clear" w:fill="FFFFFF"/>
          <w:lang w:eastAsia="zh-CN"/>
        </w:rPr>
        <w:t>）</w:t>
      </w:r>
      <w:r>
        <w:rPr>
          <w:rFonts w:hint="eastAsia" w:ascii="仿宋" w:hAnsi="仿宋" w:eastAsia="仿宋" w:cs="仿宋"/>
          <w:b/>
          <w:bCs/>
          <w:i w:val="0"/>
          <w:iCs w:val="0"/>
          <w:caps w:val="0"/>
          <w:color w:val="333333"/>
          <w:spacing w:val="0"/>
          <w:sz w:val="30"/>
          <w:szCs w:val="30"/>
          <w:shd w:val="clear" w:fill="FFFFFF"/>
          <w:lang w:val="en-US" w:eastAsia="zh-CN"/>
        </w:rPr>
        <w:t>机构设置及人员编制情况</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eastAsia="zh-CN"/>
        </w:rPr>
        <w:t>中共益阳市赫山区委统一战线工作部是区委工作机关，为正科级，对外加挂益阳市赫山区民族宗教事务局、益阳市赫山区人民政府侨务办公室牌子</w:t>
      </w:r>
      <w:r>
        <w:rPr>
          <w:rFonts w:hint="eastAsia" w:ascii="仿宋" w:hAnsi="仿宋" w:eastAsia="仿宋" w:cs="仿宋"/>
          <w:i w:val="0"/>
          <w:iCs w:val="0"/>
          <w:caps w:val="0"/>
          <w:color w:val="333333"/>
          <w:spacing w:val="0"/>
          <w:sz w:val="30"/>
          <w:szCs w:val="30"/>
          <w:shd w:val="clear" w:fill="FFFFFF"/>
          <w:lang w:val="en-US" w:eastAsia="zh-CN"/>
        </w:rPr>
        <w:t>,</w:t>
      </w:r>
      <w:r>
        <w:rPr>
          <w:rFonts w:hint="eastAsia" w:ascii="仿宋" w:hAnsi="仿宋" w:eastAsia="仿宋" w:cs="仿宋"/>
          <w:i w:val="0"/>
          <w:iCs w:val="0"/>
          <w:caps w:val="0"/>
          <w:color w:val="333333"/>
          <w:spacing w:val="0"/>
          <w:sz w:val="30"/>
          <w:szCs w:val="30"/>
          <w:shd w:val="clear" w:fill="FFFFFF"/>
          <w:lang w:eastAsia="zh-CN"/>
        </w:rPr>
        <w:t>共有5个内设机构：办公室、干部室、经联室、民宗室、侨务办。在2019年机构改革中</w:t>
      </w:r>
      <w:r>
        <w:rPr>
          <w:rFonts w:hint="eastAsia" w:ascii="仿宋" w:hAnsi="仿宋" w:eastAsia="仿宋" w:cs="仿宋"/>
          <w:i w:val="0"/>
          <w:iCs w:val="0"/>
          <w:caps w:val="0"/>
          <w:color w:val="333333"/>
          <w:spacing w:val="0"/>
          <w:sz w:val="30"/>
          <w:szCs w:val="30"/>
          <w:shd w:val="clear" w:fill="FFFFFF"/>
          <w:lang w:val="en-US" w:eastAsia="zh-CN"/>
        </w:rPr>
        <w:t>,</w:t>
      </w:r>
      <w:r>
        <w:rPr>
          <w:rFonts w:hint="eastAsia" w:ascii="仿宋" w:hAnsi="仿宋" w:eastAsia="仿宋" w:cs="仿宋"/>
          <w:i w:val="0"/>
          <w:iCs w:val="0"/>
          <w:caps w:val="0"/>
          <w:color w:val="333333"/>
          <w:spacing w:val="0"/>
          <w:sz w:val="30"/>
          <w:szCs w:val="30"/>
          <w:shd w:val="clear" w:fill="FFFFFF"/>
          <w:lang w:eastAsia="zh-CN"/>
        </w:rPr>
        <w:t>明确区侨联是正科级人民团体，挂靠区委统战部，核定全额拨款事业编5名，设主席1名（正科级领导职数），副主席1名（副科级领导职数）。2021年根据益赫编委〔2021〕11号文件同意我部机关核增行政编制2名。目前，我部核定人员编制共17名，其中行政编11个，事业编5个，工勤编1个。</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i w:val="0"/>
          <w:iCs w:val="0"/>
          <w:caps w:val="0"/>
          <w:color w:val="333333"/>
          <w:spacing w:val="0"/>
          <w:sz w:val="30"/>
          <w:szCs w:val="30"/>
          <w:shd w:val="clear" w:fill="FFFFFF"/>
          <w:lang w:eastAsia="zh-CN"/>
        </w:rPr>
      </w:pPr>
      <w:r>
        <w:rPr>
          <w:rFonts w:hint="eastAsia" w:ascii="仿宋" w:hAnsi="仿宋" w:eastAsia="仿宋" w:cs="仿宋"/>
          <w:i w:val="0"/>
          <w:iCs w:val="0"/>
          <w:caps w:val="0"/>
          <w:color w:val="333333"/>
          <w:spacing w:val="0"/>
          <w:sz w:val="30"/>
          <w:szCs w:val="30"/>
          <w:shd w:val="clear" w:fill="FFFFFF"/>
          <w:lang w:eastAsia="zh-CN"/>
        </w:rPr>
        <w:t>202</w:t>
      </w:r>
      <w:r>
        <w:rPr>
          <w:rFonts w:hint="eastAsia" w:ascii="仿宋" w:hAnsi="仿宋" w:eastAsia="仿宋" w:cs="仿宋"/>
          <w:i w:val="0"/>
          <w:iCs w:val="0"/>
          <w:caps w:val="0"/>
          <w:color w:val="333333"/>
          <w:spacing w:val="0"/>
          <w:sz w:val="30"/>
          <w:szCs w:val="30"/>
          <w:shd w:val="clear" w:fill="FFFFFF"/>
          <w:lang w:val="en-US" w:eastAsia="zh-CN"/>
        </w:rPr>
        <w:t>1</w:t>
      </w:r>
      <w:r>
        <w:rPr>
          <w:rFonts w:hint="eastAsia" w:ascii="仿宋" w:hAnsi="仿宋" w:eastAsia="仿宋" w:cs="仿宋"/>
          <w:i w:val="0"/>
          <w:iCs w:val="0"/>
          <w:caps w:val="0"/>
          <w:color w:val="333333"/>
          <w:spacing w:val="0"/>
          <w:sz w:val="30"/>
          <w:szCs w:val="30"/>
          <w:shd w:val="clear" w:fill="FFFFFF"/>
          <w:lang w:eastAsia="zh-CN"/>
        </w:rPr>
        <w:t>年12月31日实际在职人员1</w:t>
      </w:r>
      <w:r>
        <w:rPr>
          <w:rFonts w:hint="eastAsia" w:ascii="仿宋" w:hAnsi="仿宋" w:eastAsia="仿宋" w:cs="仿宋"/>
          <w:i w:val="0"/>
          <w:iCs w:val="0"/>
          <w:caps w:val="0"/>
          <w:color w:val="333333"/>
          <w:spacing w:val="0"/>
          <w:sz w:val="30"/>
          <w:szCs w:val="30"/>
          <w:shd w:val="clear" w:fill="FFFFFF"/>
          <w:lang w:val="en-US" w:eastAsia="zh-CN"/>
        </w:rPr>
        <w:t>2</w:t>
      </w:r>
      <w:r>
        <w:rPr>
          <w:rFonts w:hint="eastAsia" w:ascii="仿宋" w:hAnsi="仿宋" w:eastAsia="仿宋" w:cs="仿宋"/>
          <w:i w:val="0"/>
          <w:iCs w:val="0"/>
          <w:caps w:val="0"/>
          <w:color w:val="333333"/>
          <w:spacing w:val="0"/>
          <w:sz w:val="30"/>
          <w:szCs w:val="30"/>
          <w:shd w:val="clear" w:fill="FFFFFF"/>
          <w:lang w:eastAsia="zh-CN"/>
        </w:rPr>
        <w:t>人。机关行政编制人员</w:t>
      </w:r>
      <w:r>
        <w:rPr>
          <w:rFonts w:hint="eastAsia" w:ascii="仿宋" w:hAnsi="仿宋" w:eastAsia="仿宋" w:cs="仿宋"/>
          <w:i w:val="0"/>
          <w:iCs w:val="0"/>
          <w:caps w:val="0"/>
          <w:color w:val="333333"/>
          <w:spacing w:val="0"/>
          <w:sz w:val="30"/>
          <w:szCs w:val="30"/>
          <w:shd w:val="clear" w:fill="FFFFFF"/>
          <w:lang w:val="en-US" w:eastAsia="zh-CN"/>
        </w:rPr>
        <w:t>7</w:t>
      </w:r>
      <w:r>
        <w:rPr>
          <w:rFonts w:hint="eastAsia" w:ascii="仿宋" w:hAnsi="仿宋" w:eastAsia="仿宋" w:cs="仿宋"/>
          <w:i w:val="0"/>
          <w:iCs w:val="0"/>
          <w:caps w:val="0"/>
          <w:color w:val="333333"/>
          <w:spacing w:val="0"/>
          <w:sz w:val="30"/>
          <w:szCs w:val="30"/>
          <w:shd w:val="clear" w:fill="FFFFFF"/>
          <w:lang w:eastAsia="zh-CN"/>
        </w:rPr>
        <w:t>名，全额拨款事业编制人员</w:t>
      </w:r>
      <w:r>
        <w:rPr>
          <w:rFonts w:hint="eastAsia" w:ascii="仿宋" w:hAnsi="仿宋" w:eastAsia="仿宋" w:cs="仿宋"/>
          <w:i w:val="0"/>
          <w:iCs w:val="0"/>
          <w:caps w:val="0"/>
          <w:color w:val="333333"/>
          <w:spacing w:val="0"/>
          <w:sz w:val="30"/>
          <w:szCs w:val="30"/>
          <w:shd w:val="clear" w:fill="FFFFFF"/>
          <w:lang w:val="en-US" w:eastAsia="zh-CN"/>
        </w:rPr>
        <w:t>4</w:t>
      </w:r>
      <w:r>
        <w:rPr>
          <w:rFonts w:hint="eastAsia" w:ascii="仿宋" w:hAnsi="仿宋" w:eastAsia="仿宋" w:cs="仿宋"/>
          <w:i w:val="0"/>
          <w:iCs w:val="0"/>
          <w:caps w:val="0"/>
          <w:color w:val="333333"/>
          <w:spacing w:val="0"/>
          <w:sz w:val="30"/>
          <w:szCs w:val="30"/>
          <w:shd w:val="clear" w:fill="FFFFFF"/>
          <w:lang w:eastAsia="zh-CN"/>
        </w:rPr>
        <w:t>名，机关后勤服务全额拔款事业编制人员</w:t>
      </w:r>
      <w:r>
        <w:rPr>
          <w:rFonts w:hint="eastAsia" w:ascii="仿宋" w:hAnsi="仿宋" w:eastAsia="仿宋" w:cs="仿宋"/>
          <w:i w:val="0"/>
          <w:iCs w:val="0"/>
          <w:caps w:val="0"/>
          <w:color w:val="333333"/>
          <w:spacing w:val="0"/>
          <w:sz w:val="30"/>
          <w:szCs w:val="30"/>
          <w:shd w:val="clear" w:fill="FFFFFF"/>
          <w:lang w:val="en-US" w:eastAsia="zh-CN"/>
        </w:rPr>
        <w:t>1</w:t>
      </w:r>
      <w:r>
        <w:rPr>
          <w:rFonts w:hint="eastAsia" w:ascii="仿宋" w:hAnsi="仿宋" w:eastAsia="仿宋" w:cs="仿宋"/>
          <w:i w:val="0"/>
          <w:iCs w:val="0"/>
          <w:caps w:val="0"/>
          <w:color w:val="333333"/>
          <w:spacing w:val="0"/>
          <w:sz w:val="30"/>
          <w:szCs w:val="30"/>
          <w:shd w:val="clear" w:fill="FFFFFF"/>
          <w:lang w:eastAsia="zh-CN"/>
        </w:rPr>
        <w:t>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00" w:firstLineChars="200"/>
        <w:jc w:val="both"/>
        <w:textAlignment w:val="auto"/>
        <w:rPr>
          <w:rFonts w:hint="eastAsia" w:ascii="黑体" w:hAnsi="黑体" w:eastAsia="黑体" w:cs="黑体"/>
          <w:i w:val="0"/>
          <w:iCs w:val="0"/>
          <w:caps w:val="0"/>
          <w:color w:val="333333"/>
          <w:spacing w:val="0"/>
          <w:sz w:val="30"/>
          <w:szCs w:val="30"/>
          <w:lang w:val="en-US" w:eastAsia="zh-CN"/>
        </w:rPr>
      </w:pPr>
      <w:r>
        <w:rPr>
          <w:rFonts w:hint="eastAsia" w:ascii="黑体" w:hAnsi="黑体" w:eastAsia="黑体" w:cs="黑体"/>
          <w:i w:val="0"/>
          <w:iCs w:val="0"/>
          <w:caps w:val="0"/>
          <w:color w:val="333333"/>
          <w:spacing w:val="0"/>
          <w:sz w:val="30"/>
          <w:szCs w:val="30"/>
          <w:lang w:val="en-US" w:eastAsia="zh-CN"/>
        </w:rPr>
        <w:t>二、部门整体支出概况</w:t>
      </w:r>
    </w:p>
    <w:p>
      <w:pPr>
        <w:keepNext w:val="0"/>
        <w:keepLines w:val="0"/>
        <w:pageBreakBefore w:val="0"/>
        <w:kinsoku/>
        <w:wordWrap/>
        <w:overflowPunct/>
        <w:topLinePunct w:val="0"/>
        <w:autoSpaceDE/>
        <w:autoSpaceDN/>
        <w:bidi w:val="0"/>
        <w:adjustRightInd/>
        <w:spacing w:line="600" w:lineRule="exact"/>
        <w:ind w:firstLine="602" w:firstLineChars="200"/>
        <w:textAlignment w:val="auto"/>
        <w:rPr>
          <w:rFonts w:hint="eastAsia" w:ascii="仿宋" w:hAnsi="仿宋" w:eastAsia="仿宋" w:cs="仿宋"/>
          <w:b/>
          <w:bCs/>
          <w:i w:val="0"/>
          <w:iCs w:val="0"/>
          <w:caps w:val="0"/>
          <w:color w:val="333333"/>
          <w:spacing w:val="0"/>
          <w:sz w:val="30"/>
          <w:szCs w:val="30"/>
          <w:shd w:val="clear" w:fill="FFFFFF"/>
          <w:lang w:val="en-US" w:eastAsia="zh-CN"/>
        </w:rPr>
      </w:pPr>
      <w:r>
        <w:rPr>
          <w:rFonts w:hint="eastAsia" w:ascii="仿宋" w:hAnsi="仿宋" w:eastAsia="仿宋" w:cs="仿宋"/>
          <w:b/>
          <w:bCs/>
          <w:i w:val="0"/>
          <w:iCs w:val="0"/>
          <w:caps w:val="0"/>
          <w:color w:val="333333"/>
          <w:spacing w:val="0"/>
          <w:sz w:val="30"/>
          <w:szCs w:val="30"/>
          <w:shd w:val="clear" w:fill="FFFFFF"/>
          <w:lang w:val="en-US" w:eastAsia="zh-CN"/>
        </w:rPr>
        <w:t>（一）基本支出情况</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本部门2021年本年基本支出决算数为243.63万元，比上年减少10.12万元，减少3.99％。主要原因是厉行节约，人员减少，合并会议、培训等，缩减各项开支。</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本部门预算收入中没有非税收入项目，全部来源于预算内拨款。其中：工资福利支出210.35万元，主要用于人员工资及社会保障缴纳等。商品和服务支出31.37万元，主要用于单位正常工作开支。资本性支出1.91万元，主要用于办公设备购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00" w:firstLineChars="200"/>
        <w:jc w:val="both"/>
        <w:textAlignment w:val="auto"/>
        <w:rPr>
          <w:rFonts w:hint="eastAsia" w:ascii="仿宋" w:hAnsi="仿宋" w:eastAsia="仿宋" w:cs="仿宋"/>
          <w:i w:val="0"/>
          <w:iCs w:val="0"/>
          <w:caps w:val="0"/>
          <w:color w:val="333333"/>
          <w:spacing w:val="0"/>
          <w:sz w:val="30"/>
          <w:szCs w:val="30"/>
          <w:lang w:eastAsia="zh-CN"/>
        </w:rPr>
      </w:pPr>
      <w:r>
        <w:rPr>
          <w:rFonts w:hint="eastAsia" w:ascii="仿宋" w:hAnsi="仿宋" w:eastAsia="仿宋" w:cs="仿宋"/>
          <w:i w:val="0"/>
          <w:iCs w:val="0"/>
          <w:caps w:val="0"/>
          <w:color w:val="333333"/>
          <w:spacing w:val="0"/>
          <w:sz w:val="30"/>
          <w:szCs w:val="30"/>
        </w:rPr>
        <w:t>2021年收支决算后财政拨款年末结转和结余</w:t>
      </w:r>
      <w:r>
        <w:rPr>
          <w:rFonts w:hint="eastAsia" w:ascii="仿宋" w:hAnsi="仿宋" w:eastAsia="仿宋" w:cs="仿宋"/>
          <w:i w:val="0"/>
          <w:iCs w:val="0"/>
          <w:caps w:val="0"/>
          <w:color w:val="333333"/>
          <w:spacing w:val="0"/>
          <w:sz w:val="30"/>
          <w:szCs w:val="30"/>
          <w:lang w:eastAsia="zh-CN"/>
        </w:rPr>
        <w:t>为零。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rPr>
        <w:t>2021年“三公”经费财政拨款支出决算数为</w:t>
      </w:r>
      <w:r>
        <w:rPr>
          <w:rFonts w:hint="eastAsia" w:ascii="仿宋" w:hAnsi="仿宋" w:eastAsia="仿宋" w:cs="仿宋"/>
          <w:i w:val="0"/>
          <w:iCs w:val="0"/>
          <w:caps w:val="0"/>
          <w:color w:val="333333"/>
          <w:spacing w:val="0"/>
          <w:sz w:val="30"/>
          <w:szCs w:val="30"/>
          <w:lang w:val="en-US" w:eastAsia="zh-CN"/>
        </w:rPr>
        <w:t>1.2</w:t>
      </w:r>
      <w:r>
        <w:rPr>
          <w:rFonts w:hint="eastAsia" w:ascii="仿宋" w:hAnsi="仿宋" w:eastAsia="仿宋" w:cs="仿宋"/>
          <w:i w:val="0"/>
          <w:iCs w:val="0"/>
          <w:caps w:val="0"/>
          <w:color w:val="333333"/>
          <w:spacing w:val="0"/>
          <w:sz w:val="30"/>
          <w:szCs w:val="30"/>
        </w:rPr>
        <w:t>万元，全部为公务接待支出。无出国考察费等支出。</w:t>
      </w:r>
    </w:p>
    <w:p>
      <w:pPr>
        <w:keepNext w:val="0"/>
        <w:keepLines w:val="0"/>
        <w:pageBreakBefore w:val="0"/>
        <w:numPr>
          <w:ilvl w:val="0"/>
          <w:numId w:val="1"/>
        </w:numPr>
        <w:kinsoku/>
        <w:wordWrap/>
        <w:overflowPunct/>
        <w:topLinePunct w:val="0"/>
        <w:autoSpaceDE/>
        <w:autoSpaceDN/>
        <w:bidi w:val="0"/>
        <w:adjustRightInd/>
        <w:spacing w:line="600" w:lineRule="exact"/>
        <w:ind w:firstLine="602" w:firstLineChars="200"/>
        <w:textAlignment w:val="auto"/>
        <w:rPr>
          <w:rFonts w:hint="eastAsia" w:ascii="仿宋" w:hAnsi="仿宋" w:eastAsia="仿宋" w:cs="仿宋"/>
          <w:b/>
          <w:bCs/>
          <w:i w:val="0"/>
          <w:iCs w:val="0"/>
          <w:caps w:val="0"/>
          <w:color w:val="333333"/>
          <w:spacing w:val="0"/>
          <w:sz w:val="30"/>
          <w:szCs w:val="30"/>
          <w:shd w:val="clear" w:fill="FFFFFF"/>
          <w:lang w:val="en-US" w:eastAsia="zh-CN"/>
        </w:rPr>
      </w:pPr>
      <w:r>
        <w:rPr>
          <w:rFonts w:hint="eastAsia" w:ascii="仿宋" w:hAnsi="仿宋" w:eastAsia="仿宋" w:cs="仿宋"/>
          <w:b/>
          <w:bCs/>
          <w:i w:val="0"/>
          <w:iCs w:val="0"/>
          <w:caps w:val="0"/>
          <w:color w:val="333333"/>
          <w:spacing w:val="0"/>
          <w:sz w:val="30"/>
          <w:szCs w:val="30"/>
          <w:shd w:val="clear" w:fill="FFFFFF"/>
          <w:lang w:val="en-US" w:eastAsia="zh-CN"/>
        </w:rPr>
        <w:t>项目支出情况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00" w:firstLineChars="200"/>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rPr>
        <w:t>赫山区</w:t>
      </w:r>
      <w:r>
        <w:rPr>
          <w:rFonts w:hint="eastAsia" w:ascii="仿宋" w:hAnsi="仿宋" w:eastAsia="仿宋" w:cs="仿宋"/>
          <w:i w:val="0"/>
          <w:iCs w:val="0"/>
          <w:caps w:val="0"/>
          <w:color w:val="333333"/>
          <w:spacing w:val="0"/>
          <w:sz w:val="30"/>
          <w:szCs w:val="30"/>
          <w:lang w:eastAsia="zh-CN"/>
        </w:rPr>
        <w:t>委统战部</w:t>
      </w:r>
      <w:r>
        <w:rPr>
          <w:rFonts w:hint="eastAsia" w:ascii="仿宋" w:hAnsi="仿宋" w:eastAsia="仿宋" w:cs="仿宋"/>
          <w:i w:val="0"/>
          <w:iCs w:val="0"/>
          <w:caps w:val="0"/>
          <w:color w:val="333333"/>
          <w:spacing w:val="0"/>
          <w:sz w:val="30"/>
          <w:szCs w:val="30"/>
        </w:rPr>
        <w:t>2021年度</w:t>
      </w:r>
      <w:r>
        <w:rPr>
          <w:rFonts w:hint="eastAsia" w:ascii="仿宋" w:hAnsi="仿宋" w:eastAsia="仿宋" w:cs="仿宋"/>
          <w:i w:val="0"/>
          <w:iCs w:val="0"/>
          <w:caps w:val="0"/>
          <w:color w:val="333333"/>
          <w:spacing w:val="0"/>
          <w:sz w:val="30"/>
          <w:szCs w:val="30"/>
          <w:lang w:eastAsia="zh-CN"/>
        </w:rPr>
        <w:t>项目</w:t>
      </w:r>
      <w:r>
        <w:rPr>
          <w:rFonts w:hint="eastAsia" w:ascii="仿宋" w:hAnsi="仿宋" w:eastAsia="仿宋" w:cs="仿宋"/>
          <w:i w:val="0"/>
          <w:iCs w:val="0"/>
          <w:caps w:val="0"/>
          <w:color w:val="333333"/>
          <w:spacing w:val="0"/>
          <w:sz w:val="30"/>
          <w:szCs w:val="30"/>
        </w:rPr>
        <w:t>支出为</w:t>
      </w:r>
      <w:r>
        <w:rPr>
          <w:rFonts w:hint="eastAsia" w:ascii="仿宋" w:hAnsi="仿宋" w:eastAsia="仿宋" w:cs="仿宋"/>
          <w:i w:val="0"/>
          <w:iCs w:val="0"/>
          <w:caps w:val="0"/>
          <w:color w:val="333333"/>
          <w:spacing w:val="0"/>
          <w:sz w:val="30"/>
          <w:szCs w:val="30"/>
          <w:lang w:val="en-US" w:eastAsia="zh-CN"/>
        </w:rPr>
        <w:t>40.59万元，比上年减少17.3万元，减少29.88%</w:t>
      </w:r>
      <w:r>
        <w:rPr>
          <w:rFonts w:hint="eastAsia" w:ascii="仿宋" w:hAnsi="仿宋" w:eastAsia="仿宋" w:cs="仿宋"/>
          <w:i w:val="0"/>
          <w:iCs w:val="0"/>
          <w:caps w:val="0"/>
          <w:color w:val="333333"/>
          <w:spacing w:val="0"/>
          <w:sz w:val="30"/>
          <w:szCs w:val="30"/>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00" w:firstLineChars="200"/>
        <w:jc w:val="both"/>
        <w:textAlignment w:val="auto"/>
        <w:rPr>
          <w:rFonts w:hint="eastAsia" w:ascii="黑体" w:hAnsi="黑体" w:eastAsia="黑体" w:cs="黑体"/>
          <w:i w:val="0"/>
          <w:iCs w:val="0"/>
          <w:caps w:val="0"/>
          <w:color w:val="333333"/>
          <w:spacing w:val="0"/>
          <w:sz w:val="30"/>
          <w:szCs w:val="30"/>
        </w:rPr>
      </w:pPr>
      <w:r>
        <w:rPr>
          <w:rFonts w:hint="eastAsia" w:ascii="黑体" w:hAnsi="黑体" w:eastAsia="黑体" w:cs="黑体"/>
          <w:i w:val="0"/>
          <w:iCs w:val="0"/>
          <w:caps w:val="0"/>
          <w:color w:val="333333"/>
          <w:spacing w:val="0"/>
          <w:sz w:val="30"/>
          <w:szCs w:val="30"/>
          <w:lang w:eastAsia="zh-CN"/>
        </w:rPr>
        <w:t>三</w:t>
      </w:r>
      <w:r>
        <w:rPr>
          <w:rFonts w:hint="eastAsia" w:ascii="黑体" w:hAnsi="黑体" w:eastAsia="黑体" w:cs="黑体"/>
          <w:i w:val="0"/>
          <w:iCs w:val="0"/>
          <w:caps w:val="0"/>
          <w:color w:val="333333"/>
          <w:spacing w:val="0"/>
          <w:sz w:val="30"/>
          <w:szCs w:val="30"/>
        </w:rPr>
        <w:t>、政府性基金预算支出情况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00" w:firstLineChars="200"/>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rPr>
        <w:t>赫山区</w:t>
      </w:r>
      <w:r>
        <w:rPr>
          <w:rFonts w:hint="eastAsia" w:ascii="仿宋" w:hAnsi="仿宋" w:eastAsia="仿宋" w:cs="仿宋"/>
          <w:i w:val="0"/>
          <w:iCs w:val="0"/>
          <w:caps w:val="0"/>
          <w:color w:val="333333"/>
          <w:spacing w:val="0"/>
          <w:sz w:val="30"/>
          <w:szCs w:val="30"/>
          <w:lang w:eastAsia="zh-CN"/>
        </w:rPr>
        <w:t>委统战部</w:t>
      </w:r>
      <w:r>
        <w:rPr>
          <w:rFonts w:hint="eastAsia" w:ascii="仿宋" w:hAnsi="仿宋" w:eastAsia="仿宋" w:cs="仿宋"/>
          <w:i w:val="0"/>
          <w:iCs w:val="0"/>
          <w:caps w:val="0"/>
          <w:color w:val="333333"/>
          <w:spacing w:val="0"/>
          <w:sz w:val="30"/>
          <w:szCs w:val="30"/>
        </w:rPr>
        <w:t>2021年度政府性基金预算支出为零。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00" w:firstLineChars="200"/>
        <w:jc w:val="both"/>
        <w:textAlignment w:val="auto"/>
        <w:rPr>
          <w:rFonts w:hint="eastAsia" w:ascii="黑体" w:hAnsi="黑体" w:eastAsia="黑体" w:cs="黑体"/>
          <w:i w:val="0"/>
          <w:iCs w:val="0"/>
          <w:caps w:val="0"/>
          <w:color w:val="333333"/>
          <w:spacing w:val="0"/>
          <w:sz w:val="30"/>
          <w:szCs w:val="30"/>
          <w:lang w:eastAsia="zh-CN"/>
        </w:rPr>
      </w:pPr>
      <w:r>
        <w:rPr>
          <w:rFonts w:hint="eastAsia" w:ascii="黑体" w:hAnsi="黑体" w:eastAsia="黑体" w:cs="黑体"/>
          <w:i w:val="0"/>
          <w:iCs w:val="0"/>
          <w:caps w:val="0"/>
          <w:color w:val="333333"/>
          <w:spacing w:val="0"/>
          <w:sz w:val="30"/>
          <w:szCs w:val="30"/>
          <w:lang w:eastAsia="zh-CN"/>
        </w:rPr>
        <w:t>四、国有资本经营预算支出情况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00" w:firstLineChars="200"/>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rPr>
        <w:t>赫山区</w:t>
      </w:r>
      <w:r>
        <w:rPr>
          <w:rFonts w:hint="eastAsia" w:ascii="仿宋" w:hAnsi="仿宋" w:eastAsia="仿宋" w:cs="仿宋"/>
          <w:i w:val="0"/>
          <w:iCs w:val="0"/>
          <w:caps w:val="0"/>
          <w:color w:val="333333"/>
          <w:spacing w:val="0"/>
          <w:sz w:val="30"/>
          <w:szCs w:val="30"/>
          <w:lang w:eastAsia="zh-CN"/>
        </w:rPr>
        <w:t>委统战部</w:t>
      </w:r>
      <w:r>
        <w:rPr>
          <w:rFonts w:hint="eastAsia" w:ascii="仿宋" w:hAnsi="仿宋" w:eastAsia="仿宋" w:cs="仿宋"/>
          <w:i w:val="0"/>
          <w:iCs w:val="0"/>
          <w:caps w:val="0"/>
          <w:color w:val="333333"/>
          <w:spacing w:val="0"/>
          <w:sz w:val="30"/>
          <w:szCs w:val="30"/>
        </w:rPr>
        <w:t>2021年度国有资本经营预算支出为零。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00" w:firstLineChars="200"/>
        <w:jc w:val="both"/>
        <w:textAlignment w:val="auto"/>
        <w:rPr>
          <w:rFonts w:hint="eastAsia" w:ascii="黑体" w:hAnsi="黑体" w:eastAsia="黑体" w:cs="黑体"/>
          <w:i w:val="0"/>
          <w:iCs w:val="0"/>
          <w:caps w:val="0"/>
          <w:color w:val="333333"/>
          <w:spacing w:val="0"/>
          <w:sz w:val="30"/>
          <w:szCs w:val="30"/>
          <w:lang w:eastAsia="zh-CN"/>
        </w:rPr>
      </w:pPr>
      <w:r>
        <w:rPr>
          <w:rFonts w:hint="eastAsia" w:ascii="黑体" w:hAnsi="黑体" w:eastAsia="黑体" w:cs="黑体"/>
          <w:i w:val="0"/>
          <w:iCs w:val="0"/>
          <w:caps w:val="0"/>
          <w:color w:val="333333"/>
          <w:spacing w:val="0"/>
          <w:sz w:val="30"/>
          <w:szCs w:val="30"/>
          <w:lang w:eastAsia="zh-CN"/>
        </w:rPr>
        <w:t>五、社会保险基金预算支出情况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00" w:firstLineChars="200"/>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rPr>
        <w:t>赫山区</w:t>
      </w:r>
      <w:r>
        <w:rPr>
          <w:rFonts w:hint="eastAsia" w:ascii="仿宋" w:hAnsi="仿宋" w:eastAsia="仿宋" w:cs="仿宋"/>
          <w:i w:val="0"/>
          <w:iCs w:val="0"/>
          <w:caps w:val="0"/>
          <w:color w:val="333333"/>
          <w:spacing w:val="0"/>
          <w:sz w:val="30"/>
          <w:szCs w:val="30"/>
          <w:lang w:eastAsia="zh-CN"/>
        </w:rPr>
        <w:t>委统战部</w:t>
      </w:r>
      <w:r>
        <w:rPr>
          <w:rFonts w:hint="eastAsia" w:ascii="仿宋" w:hAnsi="仿宋" w:eastAsia="仿宋" w:cs="仿宋"/>
          <w:i w:val="0"/>
          <w:iCs w:val="0"/>
          <w:caps w:val="0"/>
          <w:color w:val="333333"/>
          <w:spacing w:val="0"/>
          <w:sz w:val="30"/>
          <w:szCs w:val="30"/>
        </w:rPr>
        <w:t>2021年度社会保险基金预算支出为零。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00" w:firstLineChars="200"/>
        <w:jc w:val="both"/>
        <w:textAlignment w:val="auto"/>
        <w:rPr>
          <w:rFonts w:hint="eastAsia" w:ascii="黑体" w:hAnsi="黑体" w:eastAsia="黑体" w:cs="黑体"/>
          <w:i w:val="0"/>
          <w:iCs w:val="0"/>
          <w:caps w:val="0"/>
          <w:color w:val="333333"/>
          <w:spacing w:val="0"/>
          <w:sz w:val="30"/>
          <w:szCs w:val="30"/>
          <w:lang w:eastAsia="zh-CN"/>
        </w:rPr>
      </w:pPr>
      <w:r>
        <w:rPr>
          <w:rFonts w:hint="eastAsia" w:ascii="黑体" w:hAnsi="黑体" w:eastAsia="黑体" w:cs="黑体"/>
          <w:i w:val="0"/>
          <w:iCs w:val="0"/>
          <w:caps w:val="0"/>
          <w:color w:val="333333"/>
          <w:spacing w:val="0"/>
          <w:sz w:val="30"/>
          <w:szCs w:val="30"/>
          <w:lang w:eastAsia="zh-CN"/>
        </w:rPr>
        <w:t>六、部门整体支出绩效情况</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严格贯彻上级有关文件精神，</w:t>
      </w:r>
      <w:r>
        <w:rPr>
          <w:rFonts w:hint="eastAsia" w:ascii="仿宋" w:hAnsi="仿宋" w:eastAsia="仿宋" w:cs="仿宋"/>
          <w:sz w:val="30"/>
          <w:szCs w:val="30"/>
          <w:lang w:eastAsia="zh-CN"/>
        </w:rPr>
        <w:t>认真落实</w:t>
      </w:r>
      <w:r>
        <w:rPr>
          <w:rFonts w:hint="eastAsia" w:ascii="仿宋" w:hAnsi="仿宋" w:eastAsia="仿宋" w:cs="仿宋"/>
          <w:sz w:val="30"/>
          <w:szCs w:val="30"/>
        </w:rPr>
        <w:t>内部控制管理制度、机关财务管理制度、公务接待制度，加强财务管理</w:t>
      </w:r>
      <w:r>
        <w:rPr>
          <w:rFonts w:hint="eastAsia" w:ascii="仿宋" w:hAnsi="仿宋" w:eastAsia="仿宋" w:cs="仿宋"/>
          <w:sz w:val="30"/>
          <w:szCs w:val="30"/>
          <w:lang w:eastAsia="zh-CN"/>
        </w:rPr>
        <w:t>、</w:t>
      </w:r>
      <w:r>
        <w:rPr>
          <w:rFonts w:hint="eastAsia" w:ascii="仿宋" w:hAnsi="仿宋" w:eastAsia="仿宋" w:cs="仿宋"/>
          <w:sz w:val="30"/>
          <w:szCs w:val="30"/>
        </w:rPr>
        <w:t>财务监督。</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（二）</w:t>
      </w:r>
      <w:r>
        <w:rPr>
          <w:rFonts w:hint="eastAsia" w:ascii="仿宋" w:hAnsi="仿宋" w:eastAsia="仿宋" w:cs="仿宋"/>
          <w:sz w:val="30"/>
          <w:szCs w:val="30"/>
        </w:rPr>
        <w:t>按照厉行节约、物尽其用的原则，</w:t>
      </w:r>
      <w:r>
        <w:rPr>
          <w:rFonts w:hint="eastAsia" w:ascii="仿宋" w:hAnsi="仿宋" w:eastAsia="仿宋" w:cs="仿宋"/>
          <w:sz w:val="30"/>
          <w:szCs w:val="30"/>
          <w:lang w:eastAsia="zh-CN"/>
        </w:rPr>
        <w:t>加强</w:t>
      </w:r>
      <w:r>
        <w:rPr>
          <w:rFonts w:hint="eastAsia" w:ascii="仿宋" w:hAnsi="仿宋" w:eastAsia="仿宋" w:cs="仿宋"/>
          <w:sz w:val="30"/>
          <w:szCs w:val="30"/>
        </w:rPr>
        <w:t>资产管理</w:t>
      </w:r>
      <w:r>
        <w:rPr>
          <w:rFonts w:hint="eastAsia" w:ascii="仿宋" w:hAnsi="仿宋" w:eastAsia="仿宋" w:cs="仿宋"/>
          <w:sz w:val="30"/>
          <w:szCs w:val="30"/>
          <w:lang w:eastAsia="zh-CN"/>
        </w:rPr>
        <w:t>，</w:t>
      </w:r>
      <w:r>
        <w:rPr>
          <w:rFonts w:hint="eastAsia" w:ascii="仿宋" w:hAnsi="仿宋" w:eastAsia="仿宋" w:cs="仿宋"/>
          <w:sz w:val="30"/>
          <w:szCs w:val="30"/>
        </w:rPr>
        <w:t>采取统一建账，统一录入资产管理系统,落实专人负责,严格报批、销审等手续，做好资产报表统计工作,完善固定资产档案。</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（三）</w:t>
      </w:r>
      <w:r>
        <w:rPr>
          <w:rFonts w:hint="eastAsia" w:ascii="仿宋" w:hAnsi="仿宋" w:eastAsia="仿宋" w:cs="仿宋"/>
          <w:sz w:val="30"/>
          <w:szCs w:val="30"/>
        </w:rPr>
        <w:t>工资及津补贴发放规范，费用开支标准合规、手续完善，审批程序符合要求。按时将部门预算、决算、绩效评价情况</w:t>
      </w:r>
      <w:r>
        <w:rPr>
          <w:rFonts w:hint="eastAsia" w:ascii="仿宋" w:hAnsi="仿宋" w:eastAsia="仿宋" w:cs="仿宋"/>
          <w:sz w:val="30"/>
          <w:szCs w:val="30"/>
          <w:lang w:eastAsia="zh-CN"/>
        </w:rPr>
        <w:t>等</w:t>
      </w:r>
      <w:r>
        <w:rPr>
          <w:rFonts w:hint="eastAsia" w:ascii="仿宋" w:hAnsi="仿宋" w:eastAsia="仿宋" w:cs="仿宋"/>
          <w:sz w:val="30"/>
          <w:szCs w:val="30"/>
        </w:rPr>
        <w:t>相关信息在赫山区门户网站上公开。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00" w:firstLineChars="200"/>
        <w:jc w:val="both"/>
        <w:textAlignment w:val="auto"/>
        <w:rPr>
          <w:rFonts w:hint="eastAsia" w:ascii="黑体" w:hAnsi="黑体" w:eastAsia="黑体" w:cs="黑体"/>
          <w:i w:val="0"/>
          <w:iCs w:val="0"/>
          <w:caps w:val="0"/>
          <w:color w:val="333333"/>
          <w:spacing w:val="0"/>
          <w:sz w:val="30"/>
          <w:szCs w:val="30"/>
          <w:lang w:eastAsia="zh-CN"/>
        </w:rPr>
      </w:pPr>
      <w:r>
        <w:rPr>
          <w:rFonts w:hint="eastAsia" w:ascii="黑体" w:hAnsi="黑体" w:eastAsia="黑体" w:cs="黑体"/>
          <w:i w:val="0"/>
          <w:iCs w:val="0"/>
          <w:caps w:val="0"/>
          <w:color w:val="333333"/>
          <w:spacing w:val="0"/>
          <w:sz w:val="30"/>
          <w:szCs w:val="30"/>
          <w:lang w:eastAsia="zh-CN"/>
        </w:rPr>
        <w:t>七、存在的问题及原因分析</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加强资产管理，提高预算精细化。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00" w:firstLineChars="200"/>
        <w:jc w:val="both"/>
        <w:textAlignment w:val="auto"/>
        <w:rPr>
          <w:rFonts w:hint="eastAsia" w:ascii="黑体" w:hAnsi="黑体" w:eastAsia="黑体" w:cs="黑体"/>
          <w:i w:val="0"/>
          <w:iCs w:val="0"/>
          <w:caps w:val="0"/>
          <w:color w:val="333333"/>
          <w:spacing w:val="0"/>
          <w:sz w:val="30"/>
          <w:szCs w:val="30"/>
          <w:lang w:val="en-US" w:eastAsia="zh-CN"/>
        </w:rPr>
      </w:pPr>
      <w:r>
        <w:rPr>
          <w:rFonts w:hint="eastAsia" w:ascii="黑体" w:hAnsi="黑体" w:eastAsia="黑体" w:cs="黑体"/>
          <w:i w:val="0"/>
          <w:iCs w:val="0"/>
          <w:caps w:val="0"/>
          <w:color w:val="333333"/>
          <w:spacing w:val="0"/>
          <w:sz w:val="30"/>
          <w:szCs w:val="30"/>
          <w:lang w:val="en-US" w:eastAsia="zh-CN"/>
        </w:rPr>
        <w:t>八、下一步改进措施</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按照相关会计科目的要求，对不同的支出类别进行不同分类，实行细化支出的管理方式。</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提升资产管理、预算管理工作重视度，树立预算观念，强化内部监督机制，形成对资产管理、预算管理的有效控制。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00" w:firstLineChars="200"/>
        <w:jc w:val="both"/>
        <w:textAlignment w:val="auto"/>
        <w:rPr>
          <w:rFonts w:hint="eastAsia" w:ascii="黑体" w:hAnsi="黑体" w:eastAsia="黑体" w:cs="黑体"/>
          <w:i w:val="0"/>
          <w:iCs w:val="0"/>
          <w:caps w:val="0"/>
          <w:color w:val="333333"/>
          <w:spacing w:val="0"/>
          <w:sz w:val="30"/>
          <w:szCs w:val="30"/>
          <w:lang w:val="en-US" w:eastAsia="zh-CN"/>
        </w:rPr>
      </w:pPr>
      <w:r>
        <w:rPr>
          <w:rFonts w:hint="eastAsia" w:ascii="黑体" w:hAnsi="黑体" w:eastAsia="黑体" w:cs="黑体"/>
          <w:i w:val="0"/>
          <w:iCs w:val="0"/>
          <w:caps w:val="0"/>
          <w:color w:val="333333"/>
          <w:spacing w:val="0"/>
          <w:sz w:val="30"/>
          <w:szCs w:val="30"/>
          <w:lang w:val="en-US" w:eastAsia="zh-CN"/>
        </w:rPr>
        <w:t>九、其他需要说明的问题</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无其他需要说明的情况。</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default" w:ascii="仿宋" w:hAnsi="仿宋" w:eastAsia="仿宋" w:cs="仿宋"/>
          <w:sz w:val="30"/>
          <w:szCs w:val="30"/>
        </w:rPr>
      </w:pPr>
      <w:r>
        <w:rPr>
          <w:rFonts w:hint="eastAsia" w:ascii="仿宋" w:hAnsi="仿宋" w:eastAsia="仿宋" w:cs="仿宋"/>
          <w:sz w:val="30"/>
          <w:szCs w:val="30"/>
          <w:lang w:val="en-US" w:eastAsia="zh-CN"/>
        </w:rPr>
        <w:t>附件：</w:t>
      </w: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年度部门整体支出绩效自评指标计分表</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lang w:val="en-US" w:eastAsia="zh-CN"/>
        </w:rPr>
      </w:pPr>
    </w:p>
    <w:p>
      <w:pPr>
        <w:spacing w:beforeLines="0" w:afterLines="0" w:line="560" w:lineRule="exact"/>
        <w:ind w:firstLine="720" w:firstLineChars="200"/>
        <w:rPr>
          <w:rStyle w:val="5"/>
          <w:rFonts w:hint="default" w:ascii="仿宋_GB2312" w:eastAsia="仿宋_GB2312"/>
          <w:i w:val="0"/>
          <w:sz w:val="32"/>
          <w:szCs w:val="32"/>
        </w:rPr>
      </w:pPr>
      <w:r>
        <w:rPr>
          <w:rFonts w:hint="eastAsia" w:ascii="方正小标宋简体" w:eastAsia="方正小标宋简体" w:cs="方正小标宋_GBK"/>
          <w:sz w:val="36"/>
          <w:szCs w:val="36"/>
        </w:rPr>
        <w:t>202</w:t>
      </w:r>
      <w:r>
        <w:rPr>
          <w:rFonts w:hint="eastAsia" w:ascii="方正小标宋简体" w:eastAsia="方正小标宋简体" w:cs="方正小标宋_GBK"/>
          <w:sz w:val="36"/>
          <w:szCs w:val="36"/>
          <w:lang w:val="en-US" w:eastAsia="zh-CN"/>
        </w:rPr>
        <w:t>1</w:t>
      </w:r>
      <w:r>
        <w:rPr>
          <w:rFonts w:hint="eastAsia" w:ascii="方正小标宋简体" w:eastAsia="方正小标宋简体" w:cs="方正小标宋_GBK"/>
          <w:sz w:val="36"/>
          <w:szCs w:val="36"/>
        </w:rPr>
        <w:t>年度部门整体支出绩效自评指标计分表</w:t>
      </w:r>
    </w:p>
    <w:tbl>
      <w:tblPr>
        <w:tblStyle w:val="3"/>
        <w:tblW w:w="50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7"/>
        <w:gridCol w:w="575"/>
        <w:gridCol w:w="885"/>
        <w:gridCol w:w="725"/>
        <w:gridCol w:w="2694"/>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blHeader/>
          <w:jc w:val="center"/>
        </w:trPr>
        <w:tc>
          <w:tcPr>
            <w:tcW w:w="319"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23"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b/>
                <w:bCs/>
              </w:rPr>
            </w:pPr>
            <w:r>
              <w:rPr>
                <w:rFonts w:hint="eastAsia" w:ascii="宋体" w:hAnsi="宋体" w:cs="宋体"/>
                <w:b/>
                <w:bCs/>
              </w:rPr>
              <w:t>三级</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b/>
                <w:bCs/>
              </w:rPr>
            </w:pPr>
            <w:r>
              <w:rPr>
                <w:rFonts w:hint="eastAsia" w:ascii="宋体" w:hAnsi="宋体" w:cs="宋体"/>
                <w:b/>
                <w:bCs/>
              </w:rPr>
              <w:t>指标</w:t>
            </w:r>
          </w:p>
        </w:tc>
        <w:tc>
          <w:tcPr>
            <w:tcW w:w="407"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ascii="宋体" w:cs="宋体"/>
                <w:b/>
                <w:bCs/>
              </w:rPr>
            </w:pPr>
            <w:r>
              <w:rPr>
                <w:rFonts w:hint="eastAsia" w:ascii="宋体" w:hAnsi="宋体" w:cs="宋体"/>
                <w:b/>
                <w:bCs/>
              </w:rPr>
              <w:t>自评分</w:t>
            </w:r>
          </w:p>
        </w:tc>
        <w:tc>
          <w:tcPr>
            <w:tcW w:w="1513"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firstLine="0" w:firstLineChars="0"/>
              <w:jc w:val="center"/>
              <w:textAlignment w:val="auto"/>
              <w:rPr>
                <w:rFonts w:ascii="宋体" w:cs="宋体"/>
                <w:b/>
                <w:bCs/>
              </w:rPr>
            </w:pPr>
            <w:r>
              <w:rPr>
                <w:rFonts w:hint="eastAsia" w:ascii="宋体" w:hAnsi="宋体" w:cs="宋体"/>
                <w:b/>
                <w:bCs/>
              </w:rPr>
              <w:t>指标解释</w:t>
            </w:r>
          </w:p>
        </w:tc>
        <w:tc>
          <w:tcPr>
            <w:tcW w:w="1939"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7" w:hRule="atLeast"/>
          <w:jc w:val="center"/>
        </w:trPr>
        <w:tc>
          <w:tcPr>
            <w:tcW w:w="319"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23"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hint="eastAsia" w:ascii="宋体" w:hAnsi="宋体" w:cs="宋体"/>
              </w:rPr>
            </w:pPr>
            <w:r>
              <w:rPr>
                <w:rFonts w:hint="eastAsia" w:ascii="宋体" w:hAnsi="宋体" w:cs="宋体"/>
              </w:rPr>
              <w:t>绩效</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目标</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hAnsi="宋体" w:cs="宋体"/>
                <w:lang w:val="en-US" w:eastAsia="zh-CN"/>
              </w:rPr>
              <w:t>2</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2" w:hRule="atLeast"/>
          <w:jc w:val="center"/>
        </w:trPr>
        <w:tc>
          <w:tcPr>
            <w:tcW w:w="319" w:type="pct"/>
            <w:vMerge w:val="continue"/>
            <w:vAlign w:val="center"/>
          </w:tcPr>
          <w:p>
            <w:pPr>
              <w:spacing w:line="240" w:lineRule="exact"/>
              <w:rPr>
                <w:rFonts w:ascii="宋体" w:cs="宋体"/>
              </w:rPr>
            </w:pPr>
          </w:p>
        </w:tc>
        <w:tc>
          <w:tcPr>
            <w:tcW w:w="323" w:type="pct"/>
            <w:vMerge w:val="continue"/>
            <w:vAlign w:val="center"/>
          </w:tcPr>
          <w:p>
            <w:pPr>
              <w:spacing w:line="240" w:lineRule="exact"/>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hint="eastAsia" w:ascii="宋体" w:hAnsi="宋体" w:cs="宋体"/>
              </w:rPr>
            </w:pPr>
            <w:r>
              <w:rPr>
                <w:rFonts w:hint="eastAsia" w:ascii="宋体" w:hAnsi="宋体" w:cs="宋体"/>
              </w:rPr>
              <w:t>绩效</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指标</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3</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p>
          <w:p>
            <w:pPr>
              <w:spacing w:line="240" w:lineRule="exact"/>
              <w:ind w:left="105" w:leftChars="50" w:right="105" w:rightChars="50"/>
              <w:rPr>
                <w:rFonts w:ascii="宋体" w:cs="宋体"/>
              </w:rPr>
            </w:pP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w:t>
            </w:r>
            <w:r>
              <w:rPr>
                <w:rFonts w:hint="eastAsia" w:ascii="宋体" w:hAnsi="宋体" w:cs="宋体"/>
                <w:spacing w:val="-11"/>
                <w:sz w:val="21"/>
              </w:rPr>
              <w:t>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6" w:hRule="atLeast"/>
          <w:jc w:val="center"/>
        </w:trPr>
        <w:tc>
          <w:tcPr>
            <w:tcW w:w="319" w:type="pct"/>
            <w:vMerge w:val="continue"/>
            <w:vAlign w:val="center"/>
          </w:tcPr>
          <w:p>
            <w:pPr>
              <w:spacing w:line="240" w:lineRule="exact"/>
              <w:rPr>
                <w:rFonts w:ascii="宋体" w:cs="宋体"/>
              </w:rPr>
            </w:pPr>
          </w:p>
        </w:tc>
        <w:tc>
          <w:tcPr>
            <w:tcW w:w="323"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hint="eastAsia" w:ascii="宋体" w:hAnsi="宋体" w:cs="宋体"/>
              </w:rPr>
            </w:pPr>
            <w:r>
              <w:rPr>
                <w:rFonts w:hint="eastAsia" w:ascii="宋体" w:hAnsi="宋体" w:cs="宋体"/>
              </w:rPr>
              <w:t>在职</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人员</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5</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部门本年度实际在职人员数与编制数的比率，用以反映和考核部门对人员成本的控制程度。</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5" w:hRule="atLeast"/>
          <w:jc w:val="center"/>
        </w:trPr>
        <w:tc>
          <w:tcPr>
            <w:tcW w:w="319" w:type="pct"/>
            <w:vMerge w:val="continue"/>
            <w:vAlign w:val="center"/>
          </w:tcPr>
          <w:p>
            <w:pPr>
              <w:spacing w:line="240" w:lineRule="exact"/>
              <w:rPr>
                <w:rFonts w:ascii="宋体" w:cs="宋体"/>
              </w:rPr>
            </w:pPr>
          </w:p>
        </w:tc>
        <w:tc>
          <w:tcPr>
            <w:tcW w:w="323" w:type="pct"/>
            <w:vMerge w:val="continue"/>
            <w:vAlign w:val="center"/>
          </w:tcPr>
          <w:p>
            <w:pPr>
              <w:spacing w:line="240" w:lineRule="exact"/>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“三公经费”</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5</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19" w:type="pct"/>
            <w:vMerge w:val="continue"/>
            <w:vAlign w:val="center"/>
          </w:tcPr>
          <w:p>
            <w:pPr>
              <w:spacing w:line="240" w:lineRule="exact"/>
              <w:rPr>
                <w:rFonts w:ascii="宋体" w:cs="宋体"/>
              </w:rPr>
            </w:pPr>
          </w:p>
        </w:tc>
        <w:tc>
          <w:tcPr>
            <w:tcW w:w="323" w:type="pct"/>
            <w:vMerge w:val="continue"/>
            <w:vAlign w:val="center"/>
          </w:tcPr>
          <w:p>
            <w:pPr>
              <w:spacing w:line="240" w:lineRule="exact"/>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hint="eastAsia" w:ascii="宋体" w:hAnsi="宋体" w:cs="宋体"/>
              </w:rPr>
            </w:pPr>
            <w:r>
              <w:rPr>
                <w:rFonts w:hint="eastAsia" w:ascii="宋体" w:hAnsi="宋体" w:cs="宋体"/>
              </w:rPr>
              <w:t>重点</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支出</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5</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19"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23"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预算</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4</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部门本年度预算完成数与预算数的比率，用以反映和考核部门预算完成程度。</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19" w:type="pct"/>
            <w:vMerge w:val="continue"/>
            <w:vAlign w:val="center"/>
          </w:tcPr>
          <w:p>
            <w:pPr>
              <w:spacing w:line="240" w:lineRule="exact"/>
              <w:jc w:val="center"/>
              <w:rPr>
                <w:rFonts w:ascii="宋体" w:cs="宋体"/>
              </w:rPr>
            </w:pPr>
          </w:p>
        </w:tc>
        <w:tc>
          <w:tcPr>
            <w:tcW w:w="323" w:type="pct"/>
            <w:vMerge w:val="continue"/>
            <w:vAlign w:val="center"/>
          </w:tcPr>
          <w:p>
            <w:pPr>
              <w:spacing w:line="240" w:lineRule="exact"/>
              <w:jc w:val="center"/>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预算</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1</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部门本年度预算调整数与预算数的比率，用以反映和考核部门预算的调整程度。</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19" w:type="pct"/>
            <w:vMerge w:val="continue"/>
            <w:vAlign w:val="center"/>
          </w:tcPr>
          <w:p>
            <w:pPr>
              <w:spacing w:line="240" w:lineRule="exact"/>
              <w:jc w:val="center"/>
              <w:rPr>
                <w:rFonts w:ascii="宋体" w:cs="宋体"/>
              </w:rPr>
            </w:pPr>
          </w:p>
        </w:tc>
        <w:tc>
          <w:tcPr>
            <w:tcW w:w="323" w:type="pct"/>
            <w:vMerge w:val="continue"/>
            <w:vAlign w:val="center"/>
          </w:tcPr>
          <w:p>
            <w:pPr>
              <w:spacing w:line="240" w:lineRule="exact"/>
              <w:jc w:val="center"/>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支付</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2</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部门实际支付进度与既定支付进度的比率，用以反映和考核部门预算执行的及时性和均衡性程度。</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9" w:hRule="atLeast"/>
          <w:jc w:val="center"/>
        </w:trPr>
        <w:tc>
          <w:tcPr>
            <w:tcW w:w="319"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23" w:type="pct"/>
            <w:vMerge w:val="continue"/>
            <w:tcMar>
              <w:top w:w="10" w:type="dxa"/>
              <w:left w:w="10" w:type="dxa"/>
              <w:bottom w:w="0" w:type="dxa"/>
              <w:right w:w="10" w:type="dxa"/>
            </w:tcMar>
            <w:vAlign w:val="center"/>
          </w:tcPr>
          <w:p>
            <w:pPr>
              <w:spacing w:line="240" w:lineRule="exact"/>
              <w:jc w:val="center"/>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结转</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2</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5" w:hRule="atLeast"/>
          <w:jc w:val="center"/>
        </w:trPr>
        <w:tc>
          <w:tcPr>
            <w:tcW w:w="319" w:type="pct"/>
            <w:vMerge w:val="continue"/>
            <w:vAlign w:val="center"/>
          </w:tcPr>
          <w:p>
            <w:pPr>
              <w:spacing w:line="240" w:lineRule="exact"/>
              <w:jc w:val="center"/>
              <w:rPr>
                <w:rFonts w:ascii="宋体" w:cs="宋体"/>
              </w:rPr>
            </w:pPr>
          </w:p>
        </w:tc>
        <w:tc>
          <w:tcPr>
            <w:tcW w:w="323" w:type="pct"/>
            <w:vMerge w:val="continue"/>
            <w:vAlign w:val="center"/>
          </w:tcPr>
          <w:p>
            <w:pPr>
              <w:spacing w:line="240" w:lineRule="exact"/>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hint="eastAsia" w:ascii="宋体" w:hAnsi="宋体" w:cs="宋体"/>
              </w:rPr>
            </w:pPr>
            <w:r>
              <w:rPr>
                <w:rFonts w:hint="eastAsia" w:ascii="宋体" w:hAnsi="宋体" w:cs="宋体"/>
              </w:rPr>
              <w:t>结转</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结余</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2</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5" w:hRule="atLeast"/>
          <w:jc w:val="center"/>
        </w:trPr>
        <w:tc>
          <w:tcPr>
            <w:tcW w:w="319" w:type="pct"/>
            <w:vMerge w:val="continue"/>
            <w:vAlign w:val="center"/>
          </w:tcPr>
          <w:p>
            <w:pPr>
              <w:spacing w:line="240" w:lineRule="exact"/>
              <w:jc w:val="center"/>
              <w:rPr>
                <w:rFonts w:ascii="宋体" w:cs="宋体"/>
              </w:rPr>
            </w:pPr>
          </w:p>
        </w:tc>
        <w:tc>
          <w:tcPr>
            <w:tcW w:w="323" w:type="pct"/>
            <w:vMerge w:val="continue"/>
            <w:vAlign w:val="center"/>
          </w:tcPr>
          <w:p>
            <w:pPr>
              <w:spacing w:line="240" w:lineRule="exact"/>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公用经费</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2</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0" w:hRule="atLeast"/>
          <w:jc w:val="center"/>
        </w:trPr>
        <w:tc>
          <w:tcPr>
            <w:tcW w:w="319" w:type="pct"/>
            <w:vMerge w:val="continue"/>
            <w:vAlign w:val="center"/>
          </w:tcPr>
          <w:p>
            <w:pPr>
              <w:spacing w:line="240" w:lineRule="exact"/>
              <w:jc w:val="center"/>
              <w:rPr>
                <w:rFonts w:ascii="宋体" w:cs="宋体"/>
              </w:rPr>
            </w:pPr>
          </w:p>
        </w:tc>
        <w:tc>
          <w:tcPr>
            <w:tcW w:w="323" w:type="pct"/>
            <w:vMerge w:val="continue"/>
            <w:vAlign w:val="center"/>
          </w:tcPr>
          <w:p>
            <w:pPr>
              <w:spacing w:line="240" w:lineRule="exact"/>
              <w:jc w:val="center"/>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2</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19" w:type="pct"/>
            <w:vMerge w:val="continue"/>
            <w:vAlign w:val="center"/>
          </w:tcPr>
          <w:p>
            <w:pPr>
              <w:spacing w:line="240" w:lineRule="exact"/>
              <w:jc w:val="center"/>
              <w:rPr>
                <w:rFonts w:ascii="宋体" w:cs="宋体"/>
              </w:rPr>
            </w:pPr>
          </w:p>
        </w:tc>
        <w:tc>
          <w:tcPr>
            <w:tcW w:w="323" w:type="pct"/>
            <w:vMerge w:val="continue"/>
            <w:vAlign w:val="center"/>
          </w:tcPr>
          <w:p>
            <w:pPr>
              <w:spacing w:line="240" w:lineRule="exact"/>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hint="eastAsia" w:ascii="宋体" w:hAnsi="宋体" w:cs="宋体"/>
              </w:rPr>
            </w:pPr>
            <w:r>
              <w:rPr>
                <w:rFonts w:hint="eastAsia" w:ascii="宋体" w:hAnsi="宋体" w:cs="宋体"/>
              </w:rPr>
              <w:t>政府</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采购</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4</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4" w:hRule="atLeast"/>
          <w:jc w:val="center"/>
        </w:trPr>
        <w:tc>
          <w:tcPr>
            <w:tcW w:w="319"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23"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hint="eastAsia" w:ascii="宋体" w:hAnsi="宋体" w:cs="宋体"/>
              </w:rPr>
            </w:pPr>
            <w:r>
              <w:rPr>
                <w:rFonts w:hint="eastAsia" w:ascii="宋体" w:hAnsi="宋体" w:cs="宋体"/>
              </w:rPr>
              <w:t>管理</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制度</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1</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20" w:hRule="atLeast"/>
          <w:jc w:val="center"/>
        </w:trPr>
        <w:tc>
          <w:tcPr>
            <w:tcW w:w="319" w:type="pct"/>
            <w:vMerge w:val="continue"/>
            <w:vAlign w:val="center"/>
          </w:tcPr>
          <w:p>
            <w:pPr>
              <w:spacing w:line="240" w:lineRule="exact"/>
              <w:jc w:val="center"/>
              <w:rPr>
                <w:rFonts w:ascii="宋体" w:cs="宋体"/>
              </w:rPr>
            </w:pPr>
          </w:p>
        </w:tc>
        <w:tc>
          <w:tcPr>
            <w:tcW w:w="323" w:type="pct"/>
            <w:vMerge w:val="continue"/>
            <w:vAlign w:val="center"/>
          </w:tcPr>
          <w:p>
            <w:pPr>
              <w:spacing w:line="240" w:lineRule="exact"/>
              <w:jc w:val="center"/>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hint="eastAsia" w:ascii="宋体" w:hAnsi="宋体" w:cs="宋体"/>
              </w:rPr>
            </w:pPr>
            <w:r>
              <w:rPr>
                <w:rFonts w:hint="eastAsia" w:ascii="宋体" w:hAnsi="宋体" w:cs="宋体"/>
              </w:rPr>
              <w:t>资金</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使用</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1</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2" w:hRule="atLeast"/>
          <w:jc w:val="center"/>
        </w:trPr>
        <w:tc>
          <w:tcPr>
            <w:tcW w:w="319" w:type="pct"/>
            <w:vMerge w:val="continue"/>
            <w:vAlign w:val="center"/>
          </w:tcPr>
          <w:p>
            <w:pPr>
              <w:spacing w:line="240" w:lineRule="exact"/>
              <w:jc w:val="center"/>
              <w:rPr>
                <w:rFonts w:ascii="宋体" w:cs="宋体"/>
              </w:rPr>
            </w:pPr>
          </w:p>
        </w:tc>
        <w:tc>
          <w:tcPr>
            <w:tcW w:w="323" w:type="pct"/>
            <w:vMerge w:val="continue"/>
            <w:vAlign w:val="center"/>
          </w:tcPr>
          <w:p>
            <w:pPr>
              <w:spacing w:line="240" w:lineRule="exact"/>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hint="eastAsia" w:ascii="宋体" w:hAnsi="宋体" w:cs="宋体"/>
              </w:rPr>
            </w:pPr>
            <w:r>
              <w:rPr>
                <w:rFonts w:hint="eastAsia" w:ascii="宋体" w:hAnsi="宋体" w:cs="宋体"/>
              </w:rPr>
              <w:t>预决</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算信</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1</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7" w:hRule="atLeast"/>
          <w:jc w:val="center"/>
        </w:trPr>
        <w:tc>
          <w:tcPr>
            <w:tcW w:w="319" w:type="pct"/>
            <w:vMerge w:val="continue"/>
            <w:vAlign w:val="center"/>
          </w:tcPr>
          <w:p>
            <w:pPr>
              <w:spacing w:line="240" w:lineRule="exact"/>
              <w:jc w:val="center"/>
              <w:rPr>
                <w:rFonts w:ascii="宋体" w:cs="宋体"/>
              </w:rPr>
            </w:pPr>
          </w:p>
        </w:tc>
        <w:tc>
          <w:tcPr>
            <w:tcW w:w="323" w:type="pct"/>
            <w:vMerge w:val="continue"/>
            <w:vAlign w:val="center"/>
          </w:tcPr>
          <w:p>
            <w:pPr>
              <w:spacing w:line="240" w:lineRule="exact"/>
              <w:jc w:val="center"/>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hint="eastAsia" w:ascii="宋体" w:hAnsi="宋体" w:cs="宋体"/>
              </w:rPr>
            </w:pPr>
            <w:r>
              <w:rPr>
                <w:rFonts w:hint="eastAsia" w:ascii="宋体" w:hAnsi="宋体" w:cs="宋体"/>
              </w:rPr>
              <w:t>基础</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信息</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1</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部门基础信息是否完善，用以反映和考核基础信息对预算管理工作的支撑情况。</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0" w:hRule="atLeast"/>
          <w:jc w:val="center"/>
        </w:trPr>
        <w:tc>
          <w:tcPr>
            <w:tcW w:w="319"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23"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hint="eastAsia" w:ascii="宋体" w:hAnsi="宋体" w:cs="宋体"/>
              </w:rPr>
            </w:pPr>
            <w:r>
              <w:rPr>
                <w:rFonts w:hint="eastAsia" w:ascii="宋体" w:hAnsi="宋体" w:cs="宋体"/>
              </w:rPr>
              <w:t>管理</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制度</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2</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5" w:hRule="atLeast"/>
          <w:jc w:val="center"/>
        </w:trPr>
        <w:tc>
          <w:tcPr>
            <w:tcW w:w="319" w:type="pct"/>
            <w:vMerge w:val="continue"/>
            <w:vAlign w:val="center"/>
          </w:tcPr>
          <w:p>
            <w:pPr>
              <w:spacing w:line="240" w:lineRule="exact"/>
              <w:jc w:val="center"/>
              <w:rPr>
                <w:rFonts w:ascii="宋体" w:cs="宋体"/>
              </w:rPr>
            </w:pPr>
          </w:p>
        </w:tc>
        <w:tc>
          <w:tcPr>
            <w:tcW w:w="323" w:type="pct"/>
            <w:vMerge w:val="continue"/>
            <w:vAlign w:val="center"/>
          </w:tcPr>
          <w:p>
            <w:pPr>
              <w:spacing w:line="240" w:lineRule="exact"/>
              <w:jc w:val="center"/>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hint="eastAsia" w:ascii="宋体" w:hAnsi="宋体" w:cs="宋体"/>
              </w:rPr>
            </w:pPr>
            <w:r>
              <w:rPr>
                <w:rFonts w:hint="eastAsia" w:ascii="宋体" w:hAnsi="宋体" w:cs="宋体"/>
              </w:rPr>
              <w:t>资产</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管理</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407" w:type="pct"/>
            <w:vAlign w:val="center"/>
          </w:tcPr>
          <w:p>
            <w:pPr>
              <w:keepNext w:val="0"/>
              <w:keepLines w:val="0"/>
              <w:pageBreakBefore w:val="0"/>
              <w:widowControl w:val="0"/>
              <w:tabs>
                <w:tab w:val="left" w:pos="761"/>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2</w:t>
            </w:r>
          </w:p>
        </w:tc>
        <w:tc>
          <w:tcPr>
            <w:tcW w:w="1513" w:type="pct"/>
            <w:tcMar>
              <w:top w:w="10" w:type="dxa"/>
              <w:left w:w="10" w:type="dxa"/>
              <w:bottom w:w="0" w:type="dxa"/>
              <w:right w:w="10" w:type="dxa"/>
            </w:tcMar>
            <w:vAlign w:val="center"/>
          </w:tcPr>
          <w:p>
            <w:pPr>
              <w:keepNext w:val="0"/>
              <w:keepLines w:val="0"/>
              <w:pageBreakBefore w:val="0"/>
              <w:widowControl w:val="0"/>
              <w:tabs>
                <w:tab w:val="left" w:pos="761"/>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5" w:hRule="atLeast"/>
          <w:jc w:val="center"/>
        </w:trPr>
        <w:tc>
          <w:tcPr>
            <w:tcW w:w="319" w:type="pct"/>
            <w:vMerge w:val="continue"/>
            <w:vAlign w:val="center"/>
          </w:tcPr>
          <w:p>
            <w:pPr>
              <w:spacing w:line="240" w:lineRule="exact"/>
              <w:rPr>
                <w:rFonts w:ascii="宋体" w:cs="宋体"/>
              </w:rPr>
            </w:pPr>
          </w:p>
        </w:tc>
        <w:tc>
          <w:tcPr>
            <w:tcW w:w="323" w:type="pct"/>
            <w:vMerge w:val="continue"/>
            <w:vAlign w:val="center"/>
          </w:tcPr>
          <w:p>
            <w:pPr>
              <w:spacing w:line="240" w:lineRule="exact"/>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hint="eastAsia" w:ascii="宋体" w:hAnsi="宋体" w:cs="宋体"/>
              </w:rPr>
            </w:pPr>
            <w:r>
              <w:rPr>
                <w:rFonts w:hint="eastAsia" w:ascii="宋体" w:hAnsi="宋体" w:cs="宋体"/>
              </w:rPr>
              <w:t>固定</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资产</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1</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19"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23"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实际</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hAnsi="宋体" w:cs="宋体"/>
              </w:rPr>
            </w:pPr>
            <w:r>
              <w:rPr>
                <w:rFonts w:hint="eastAsia" w:ascii="宋体" w:hAnsi="宋体" w:cs="宋体"/>
              </w:rPr>
              <w:t>完成率</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8</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部门履行职责而实际完成</w:t>
            </w:r>
            <w:r>
              <w:rPr>
                <w:rFonts w:hint="eastAsia" w:ascii="宋体" w:hAnsi="宋体" w:cs="宋体"/>
                <w:spacing w:val="6"/>
                <w:sz w:val="21"/>
              </w:rPr>
              <w:t>工作数与计划工作数的比率，用以反映和考核部门履职工作任务目标的实现程度。</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19" w:type="pct"/>
            <w:vMerge w:val="continue"/>
            <w:textDirection w:val="tbRlV"/>
            <w:vAlign w:val="center"/>
          </w:tcPr>
          <w:p>
            <w:pPr>
              <w:spacing w:line="240" w:lineRule="exact"/>
              <w:ind w:left="113"/>
              <w:jc w:val="center"/>
              <w:rPr>
                <w:rFonts w:ascii="宋体" w:cs="宋体"/>
              </w:rPr>
            </w:pPr>
          </w:p>
        </w:tc>
        <w:tc>
          <w:tcPr>
            <w:tcW w:w="323" w:type="pct"/>
            <w:vMerge w:val="continue"/>
            <w:vAlign w:val="center"/>
          </w:tcPr>
          <w:p>
            <w:pPr>
              <w:spacing w:line="240" w:lineRule="exact"/>
              <w:jc w:val="center"/>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完成</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hAnsi="宋体" w:cs="宋体"/>
              </w:rPr>
            </w:pPr>
            <w:r>
              <w:rPr>
                <w:rFonts w:hint="eastAsia" w:ascii="宋体" w:hAnsi="宋体" w:cs="宋体"/>
              </w:rPr>
              <w:t>及时率</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4</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19" w:type="pct"/>
            <w:vMerge w:val="continue"/>
            <w:vAlign w:val="center"/>
          </w:tcPr>
          <w:p>
            <w:pPr>
              <w:spacing w:line="240" w:lineRule="exact"/>
              <w:rPr>
                <w:rFonts w:ascii="宋体" w:cs="宋体"/>
              </w:rPr>
            </w:pPr>
          </w:p>
        </w:tc>
        <w:tc>
          <w:tcPr>
            <w:tcW w:w="323" w:type="pct"/>
            <w:vMerge w:val="continue"/>
            <w:vAlign w:val="center"/>
          </w:tcPr>
          <w:p>
            <w:pPr>
              <w:spacing w:line="240" w:lineRule="exact"/>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质量</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hAnsi="宋体" w:cs="宋体"/>
              </w:rPr>
            </w:pPr>
            <w:r>
              <w:rPr>
                <w:rFonts w:hint="eastAsia" w:ascii="宋体" w:hAnsi="宋体" w:cs="宋体"/>
              </w:rPr>
              <w:t>达标率</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8</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19" w:type="pct"/>
            <w:vMerge w:val="continue"/>
            <w:vAlign w:val="center"/>
          </w:tcPr>
          <w:p>
            <w:pPr>
              <w:spacing w:line="240" w:lineRule="exact"/>
              <w:rPr>
                <w:rFonts w:ascii="宋体" w:cs="宋体"/>
              </w:rPr>
            </w:pPr>
          </w:p>
        </w:tc>
        <w:tc>
          <w:tcPr>
            <w:tcW w:w="323" w:type="pct"/>
            <w:vMerge w:val="continue"/>
            <w:vAlign w:val="center"/>
          </w:tcPr>
          <w:p>
            <w:pPr>
              <w:spacing w:line="240" w:lineRule="exact"/>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eastAsia" w:ascii="宋体" w:hAnsi="宋体" w:cs="宋体"/>
              </w:rPr>
            </w:pPr>
            <w:r>
              <w:rPr>
                <w:rFonts w:hint="eastAsia" w:ascii="宋体" w:hAnsi="宋体" w:cs="宋体"/>
              </w:rPr>
              <w:t>重点</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ascii="宋体" w:cs="宋体"/>
              </w:rPr>
            </w:pPr>
            <w:r>
              <w:rPr>
                <w:rFonts w:hint="eastAsia" w:ascii="宋体" w:hAnsi="宋体" w:cs="宋体"/>
              </w:rPr>
              <w:t>工作</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eastAsia" w:ascii="宋体" w:hAnsi="宋体" w:cs="宋体"/>
              </w:rPr>
            </w:pPr>
            <w:r>
              <w:rPr>
                <w:rFonts w:hint="eastAsia" w:ascii="宋体" w:hAnsi="宋体" w:cs="宋体"/>
              </w:rPr>
              <w:t>办结率</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ascii="宋体" w:cs="宋体"/>
              </w:rPr>
            </w:pPr>
            <w:r>
              <w:rPr>
                <w:rFonts w:hint="eastAsia" w:ascii="宋体" w:hAnsi="宋体" w:cs="宋体"/>
              </w:rPr>
              <w:t>（</w:t>
            </w:r>
            <w:r>
              <w:rPr>
                <w:rFonts w:ascii="宋体" w:hAnsi="宋体" w:cs="宋体"/>
              </w:rPr>
              <w:t>10</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宋体" w:eastAsia="宋体" w:cs="宋体"/>
                <w:lang w:val="en-US" w:eastAsia="zh-CN"/>
              </w:rPr>
            </w:pPr>
            <w:r>
              <w:rPr>
                <w:rFonts w:hint="eastAsia" w:ascii="宋体" w:cs="宋体"/>
                <w:lang w:val="en-US" w:eastAsia="zh-CN"/>
              </w:rPr>
              <w:t>10</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部门年度重点工作实际完成数与交办或下达数的比率，用以反映部门对重点工作的办理落实程度。</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19"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23"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eastAsia" w:ascii="宋体" w:hAnsi="宋体" w:cs="宋体"/>
              </w:rPr>
            </w:pPr>
            <w:r>
              <w:rPr>
                <w:rFonts w:hint="eastAsia" w:ascii="宋体" w:hAnsi="宋体" w:cs="宋体"/>
              </w:rPr>
              <w:t>经济</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ascii="宋体" w:cs="宋体"/>
              </w:rPr>
            </w:pPr>
            <w:r>
              <w:rPr>
                <w:rFonts w:hint="eastAsia" w:ascii="宋体" w:hAnsi="宋体" w:cs="宋体"/>
              </w:rPr>
              <w:t>效益（</w:t>
            </w:r>
            <w:r>
              <w:rPr>
                <w:rFonts w:ascii="宋体" w:hAnsi="宋体" w:cs="宋体"/>
              </w:rPr>
              <w:t>5</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5</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部门履行职责对经济发展所带来的直接或间接影响。</w:t>
            </w:r>
          </w:p>
        </w:tc>
        <w:tc>
          <w:tcPr>
            <w:tcW w:w="1939"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19" w:type="pct"/>
            <w:vMerge w:val="continue"/>
            <w:vAlign w:val="center"/>
          </w:tcPr>
          <w:p>
            <w:pPr>
              <w:spacing w:line="240" w:lineRule="exact"/>
              <w:rPr>
                <w:rFonts w:ascii="宋体" w:cs="宋体"/>
              </w:rPr>
            </w:pPr>
          </w:p>
        </w:tc>
        <w:tc>
          <w:tcPr>
            <w:tcW w:w="323" w:type="pct"/>
            <w:vMerge w:val="continue"/>
            <w:vAlign w:val="center"/>
          </w:tcPr>
          <w:p>
            <w:pPr>
              <w:spacing w:line="240" w:lineRule="exact"/>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eastAsia" w:ascii="宋体" w:hAnsi="宋体" w:cs="宋体"/>
              </w:rPr>
            </w:pPr>
            <w:r>
              <w:rPr>
                <w:rFonts w:hint="eastAsia" w:ascii="宋体" w:hAnsi="宋体" w:cs="宋体"/>
              </w:rPr>
              <w:t>社会</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ascii="宋体" w:cs="宋体"/>
              </w:rPr>
            </w:pPr>
            <w:r>
              <w:rPr>
                <w:rFonts w:hint="eastAsia" w:ascii="宋体" w:hAnsi="宋体" w:cs="宋体"/>
              </w:rPr>
              <w:t>效益（</w:t>
            </w:r>
            <w:r>
              <w:rPr>
                <w:rFonts w:ascii="宋体" w:hAnsi="宋体" w:cs="宋体"/>
              </w:rPr>
              <w:t>5</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5</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部门履行职责对社会发展所带来的直接或间接影响。</w:t>
            </w:r>
          </w:p>
        </w:tc>
        <w:tc>
          <w:tcPr>
            <w:tcW w:w="1939"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19" w:type="pct"/>
            <w:vMerge w:val="continue"/>
            <w:vAlign w:val="center"/>
          </w:tcPr>
          <w:p>
            <w:pPr>
              <w:spacing w:line="240" w:lineRule="exact"/>
              <w:rPr>
                <w:rFonts w:ascii="宋体" w:cs="宋体"/>
              </w:rPr>
            </w:pPr>
          </w:p>
        </w:tc>
        <w:tc>
          <w:tcPr>
            <w:tcW w:w="323" w:type="pct"/>
            <w:vMerge w:val="continue"/>
            <w:vAlign w:val="center"/>
          </w:tcPr>
          <w:p>
            <w:pPr>
              <w:spacing w:line="240" w:lineRule="exact"/>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eastAsia" w:ascii="宋体" w:hAnsi="宋体" w:cs="宋体"/>
              </w:rPr>
            </w:pPr>
            <w:r>
              <w:rPr>
                <w:rFonts w:hint="eastAsia" w:ascii="宋体" w:hAnsi="宋体" w:cs="宋体"/>
              </w:rPr>
              <w:t>生态</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ascii="宋体" w:cs="宋体"/>
              </w:rPr>
            </w:pPr>
            <w:r>
              <w:rPr>
                <w:rFonts w:hint="eastAsia" w:ascii="宋体" w:hAnsi="宋体" w:cs="宋体"/>
              </w:rPr>
              <w:t>效益（</w:t>
            </w:r>
            <w:r>
              <w:rPr>
                <w:rFonts w:ascii="宋体" w:hAnsi="宋体" w:cs="宋体"/>
              </w:rPr>
              <w:t>5</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5</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部门履行职责对生态环境所带来的直接或间接影响。</w:t>
            </w:r>
          </w:p>
        </w:tc>
        <w:tc>
          <w:tcPr>
            <w:tcW w:w="1939"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19" w:type="pct"/>
            <w:vMerge w:val="continue"/>
            <w:vAlign w:val="center"/>
          </w:tcPr>
          <w:p>
            <w:pPr>
              <w:spacing w:line="240" w:lineRule="exact"/>
              <w:rPr>
                <w:rFonts w:ascii="宋体" w:cs="宋体"/>
              </w:rPr>
            </w:pPr>
          </w:p>
        </w:tc>
        <w:tc>
          <w:tcPr>
            <w:tcW w:w="323" w:type="pct"/>
            <w:vMerge w:val="continue"/>
            <w:vAlign w:val="center"/>
          </w:tcPr>
          <w:p>
            <w:pPr>
              <w:spacing w:line="240" w:lineRule="exact"/>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eastAsia" w:ascii="宋体" w:hAnsi="宋体" w:cs="宋体"/>
              </w:rPr>
            </w:pPr>
            <w:r>
              <w:rPr>
                <w:rFonts w:hint="eastAsia" w:ascii="宋体" w:hAnsi="宋体" w:cs="宋体"/>
              </w:rPr>
              <w:t>社会公</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eastAsia" w:ascii="宋体" w:hAnsi="宋体" w:cs="宋体"/>
              </w:rPr>
            </w:pPr>
            <w:r>
              <w:rPr>
                <w:rFonts w:hint="eastAsia" w:ascii="宋体" w:hAnsi="宋体" w:cs="宋体"/>
              </w:rPr>
              <w:t>众或服</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eastAsia" w:ascii="宋体" w:hAnsi="宋体" w:cs="宋体"/>
              </w:rPr>
            </w:pPr>
            <w:r>
              <w:rPr>
                <w:rFonts w:hint="eastAsia" w:ascii="宋体" w:hAnsi="宋体" w:cs="宋体"/>
              </w:rPr>
              <w:t>务对象</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eastAsia" w:ascii="宋体" w:hAnsi="宋体" w:cs="宋体"/>
              </w:rPr>
            </w:pPr>
            <w:r>
              <w:rPr>
                <w:rFonts w:hint="eastAsia" w:ascii="宋体" w:hAnsi="宋体" w:cs="宋体"/>
              </w:rPr>
              <w:t>满意度</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ascii="宋体" w:cs="宋体"/>
              </w:rPr>
            </w:pPr>
            <w:r>
              <w:rPr>
                <w:rFonts w:hint="eastAsia" w:ascii="宋体" w:hAnsi="宋体" w:cs="宋体"/>
              </w:rPr>
              <w:t>（</w:t>
            </w:r>
            <w:r>
              <w:rPr>
                <w:rFonts w:ascii="宋体" w:hAnsi="宋体" w:cs="宋体"/>
              </w:rPr>
              <w:t>5</w:t>
            </w:r>
            <w:r>
              <w:rPr>
                <w:rFonts w:hint="eastAsia" w:ascii="宋体" w:hAnsi="宋体" w:cs="宋体"/>
              </w:rPr>
              <w:t>分）</w:t>
            </w: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eastAsia="宋体" w:cs="宋体"/>
                <w:lang w:val="en-US" w:eastAsia="zh-CN"/>
              </w:rPr>
            </w:pPr>
            <w:r>
              <w:rPr>
                <w:rFonts w:hint="eastAsia" w:ascii="宋体" w:cs="宋体"/>
                <w:lang w:val="en-US" w:eastAsia="zh-CN"/>
              </w:rPr>
              <w:t>5</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r>
              <w:rPr>
                <w:rFonts w:hint="eastAsia" w:ascii="宋体" w:hAnsi="宋体" w:cs="宋体"/>
              </w:rPr>
              <w:t>社会公众或部门的服务对象对部门履职效果的满意程度。</w:t>
            </w: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19" w:type="pct"/>
            <w:vAlign w:val="center"/>
          </w:tcPr>
          <w:p>
            <w:pPr>
              <w:spacing w:line="240" w:lineRule="exact"/>
              <w:rPr>
                <w:rFonts w:ascii="宋体" w:cs="宋体"/>
              </w:rPr>
            </w:pPr>
            <w:r>
              <w:rPr>
                <w:rFonts w:hint="eastAsia" w:ascii="宋体" w:hAnsi="宋体" w:cs="宋体"/>
              </w:rPr>
              <w:t>总分</w:t>
            </w:r>
          </w:p>
        </w:tc>
        <w:tc>
          <w:tcPr>
            <w:tcW w:w="323" w:type="pct"/>
            <w:vAlign w:val="center"/>
          </w:tcPr>
          <w:p>
            <w:pPr>
              <w:spacing w:line="240" w:lineRule="exact"/>
              <w:rPr>
                <w:rFonts w:ascii="宋体" w:cs="宋体"/>
              </w:rPr>
            </w:pPr>
          </w:p>
        </w:tc>
        <w:tc>
          <w:tcPr>
            <w:tcW w:w="497" w:type="pct"/>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center"/>
              <w:textAlignment w:val="auto"/>
              <w:rPr>
                <w:rFonts w:ascii="宋体" w:cs="宋体"/>
              </w:rPr>
            </w:pPr>
          </w:p>
        </w:tc>
        <w:tc>
          <w:tcPr>
            <w:tcW w:w="407" w:type="pct"/>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宋体" w:cs="宋体" w:eastAsiaTheme="minorEastAsia"/>
                <w:lang w:val="en-US" w:eastAsia="zh-CN"/>
              </w:rPr>
            </w:pPr>
            <w:r>
              <w:rPr>
                <w:rFonts w:hint="eastAsia" w:ascii="宋体" w:cs="宋体"/>
                <w:lang w:val="en-US" w:eastAsia="zh-CN"/>
              </w:rPr>
              <w:t>98</w:t>
            </w:r>
          </w:p>
        </w:tc>
        <w:tc>
          <w:tcPr>
            <w:tcW w:w="1513" w:type="pct"/>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105" w:leftChars="50" w:right="105" w:rightChars="50" w:firstLine="0" w:firstLineChars="0"/>
              <w:textAlignment w:val="auto"/>
              <w:rPr>
                <w:rFonts w:ascii="宋体" w:cs="宋体"/>
              </w:rPr>
            </w:pPr>
          </w:p>
        </w:tc>
        <w:tc>
          <w:tcPr>
            <w:tcW w:w="1939"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Pr>
        <w:ind w:firstLine="640" w:firstLineChars="200"/>
        <w:jc w:val="left"/>
        <w:rPr>
          <w:rFonts w:cs="黑体" w:asciiTheme="minorEastAsia" w:hAnsiTheme="minorEastAsia"/>
          <w:color w:val="000000"/>
          <w:kern w:val="0"/>
          <w:sz w:val="32"/>
          <w:szCs w:val="32"/>
        </w:rPr>
      </w:pPr>
    </w:p>
    <w:p/>
    <w:sectPr>
      <w:pgSz w:w="11906" w:h="16838"/>
      <w:pgMar w:top="1134" w:right="1531" w:bottom="113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C1DC4"/>
    <w:multiLevelType w:val="singleLevel"/>
    <w:tmpl w:val="19AC1DC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5A980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Subtle Emphasis"/>
    <w:basedOn w:val="4"/>
    <w:unhideWhenUsed/>
    <w:qFormat/>
    <w:uiPriority w:val="19"/>
    <w:rPr>
      <w:rFonts w:hint="default" w:cs="Times New Roman"/>
      <w:i/>
      <w:color w:val="40404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2023-06-17T12:46:33Z</dcterms:created>
  <dc:creator>admin-3</dc:creator>
  <cp:lastModifiedBy>admin-3</cp:lastModifiedBy>
  <dcterms:modified xsi:type="dcterms:W3CDTF">2023-06-17T12:47:14Z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4456E53F18134A6F99214643811D505B_12</vt:lpwstr>
  </property>
</Properties>
</file>