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黑体"/>
          <w:i w:val="0"/>
          <w:iCs w:val="0"/>
          <w:caps w:val="0"/>
          <w:color w:val="333333"/>
          <w:spacing w:val="0"/>
          <w:kern w:val="0"/>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黑体"/>
          <w:i w:val="0"/>
          <w:iCs w:val="0"/>
          <w:caps w:val="0"/>
          <w:color w:val="333333"/>
          <w:spacing w:val="0"/>
          <w:kern w:val="0"/>
          <w:sz w:val="36"/>
          <w:szCs w:val="36"/>
          <w:lang w:val="en-US" w:eastAsia="zh-CN" w:bidi="ar"/>
        </w:rPr>
      </w:pPr>
      <w:r>
        <w:rPr>
          <w:rFonts w:hint="eastAsia" w:ascii="黑体" w:hAnsi="黑体" w:eastAsia="黑体" w:cs="黑体"/>
          <w:i w:val="0"/>
          <w:iCs w:val="0"/>
          <w:caps w:val="0"/>
          <w:color w:val="333333"/>
          <w:spacing w:val="0"/>
          <w:kern w:val="0"/>
          <w:sz w:val="36"/>
          <w:szCs w:val="36"/>
          <w:lang w:val="en-US" w:eastAsia="zh-CN" w:bidi="ar"/>
        </w:rPr>
        <w:t>中共益阳市赫山区委统一战线工作部2021年度部门</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黑体"/>
          <w:i w:val="0"/>
          <w:iCs w:val="0"/>
          <w:caps w:val="0"/>
          <w:color w:val="333333"/>
          <w:spacing w:val="0"/>
          <w:kern w:val="0"/>
          <w:sz w:val="36"/>
          <w:szCs w:val="36"/>
          <w:lang w:val="en-US" w:eastAsia="zh-CN" w:bidi="ar"/>
        </w:rPr>
      </w:pPr>
      <w:r>
        <w:rPr>
          <w:rFonts w:hint="eastAsia" w:ascii="黑体" w:hAnsi="黑体" w:eastAsia="黑体" w:cs="黑体"/>
          <w:i w:val="0"/>
          <w:iCs w:val="0"/>
          <w:caps w:val="0"/>
          <w:color w:val="333333"/>
          <w:spacing w:val="0"/>
          <w:kern w:val="0"/>
          <w:sz w:val="36"/>
          <w:szCs w:val="36"/>
          <w:lang w:val="en-US" w:eastAsia="zh-CN" w:bidi="ar"/>
        </w:rPr>
        <w:t>整体支出绩效评价报告</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黑体"/>
          <w:i w:val="0"/>
          <w:iCs w:val="0"/>
          <w:caps w:val="0"/>
          <w:color w:val="333333"/>
          <w:spacing w:val="0"/>
          <w:kern w:val="0"/>
          <w:sz w:val="36"/>
          <w:szCs w:val="36"/>
          <w:lang w:val="en-US" w:eastAsia="zh-CN" w:bidi="ar"/>
        </w:rPr>
      </w:pPr>
      <w:bookmarkStart w:id="0" w:name="_GoBack"/>
      <w:bookmarkEnd w:id="0"/>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i w:val="0"/>
          <w:iCs w:val="0"/>
          <w:caps w:val="0"/>
          <w:color w:val="333333"/>
          <w:spacing w:val="0"/>
          <w:sz w:val="30"/>
          <w:szCs w:val="30"/>
          <w:shd w:val="clear" w:fill="FFFFFF"/>
          <w:lang w:eastAsia="zh-CN"/>
        </w:rPr>
      </w:pPr>
      <w:r>
        <w:rPr>
          <w:rFonts w:hint="eastAsia" w:ascii="仿宋" w:hAnsi="仿宋" w:eastAsia="仿宋" w:cs="仿宋"/>
          <w:i w:val="0"/>
          <w:iCs w:val="0"/>
          <w:caps w:val="0"/>
          <w:color w:val="333333"/>
          <w:spacing w:val="0"/>
          <w:sz w:val="30"/>
          <w:szCs w:val="30"/>
          <w:shd w:val="clear" w:fill="FFFFFF"/>
          <w:lang w:eastAsia="zh-CN"/>
        </w:rPr>
        <w:t>为进一步规范财政资金管理，牢固树立预算绩效理念，切实提高财政资金使用效益，我部根据益赫财绩【2022】1号《益阳市赫山区财政局关于做好2021年度预算绩效自评工作的通知》文件精神，参照《部门整体支出绩效评价指标表》，认真对202</w:t>
      </w:r>
      <w:r>
        <w:rPr>
          <w:rFonts w:hint="eastAsia" w:ascii="仿宋" w:hAnsi="仿宋" w:eastAsia="仿宋" w:cs="仿宋"/>
          <w:i w:val="0"/>
          <w:iCs w:val="0"/>
          <w:caps w:val="0"/>
          <w:color w:val="333333"/>
          <w:spacing w:val="0"/>
          <w:sz w:val="30"/>
          <w:szCs w:val="30"/>
          <w:shd w:val="clear" w:fill="FFFFFF"/>
          <w:lang w:val="en-US" w:eastAsia="zh-CN"/>
        </w:rPr>
        <w:t>1</w:t>
      </w:r>
      <w:r>
        <w:rPr>
          <w:rFonts w:hint="eastAsia" w:ascii="仿宋" w:hAnsi="仿宋" w:eastAsia="仿宋" w:cs="仿宋"/>
          <w:i w:val="0"/>
          <w:iCs w:val="0"/>
          <w:caps w:val="0"/>
          <w:color w:val="333333"/>
          <w:spacing w:val="0"/>
          <w:sz w:val="30"/>
          <w:szCs w:val="30"/>
          <w:shd w:val="clear" w:fill="FFFFFF"/>
          <w:lang w:eastAsia="zh-CN"/>
        </w:rPr>
        <w:t>年部门预算整体支出进行自查考评，现将相关情况报告如下：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sz w:val="30"/>
          <w:szCs w:val="30"/>
          <w:lang w:eastAsia="zh-CN"/>
        </w:rPr>
        <w:t>一</w:t>
      </w:r>
      <w:r>
        <w:rPr>
          <w:rFonts w:hint="eastAsia" w:ascii="黑体" w:hAnsi="黑体" w:eastAsia="黑体" w:cs="黑体"/>
          <w:i w:val="0"/>
          <w:iCs w:val="0"/>
          <w:caps w:val="0"/>
          <w:color w:val="333333"/>
          <w:spacing w:val="0"/>
          <w:sz w:val="30"/>
          <w:szCs w:val="30"/>
        </w:rPr>
        <w:t>、部门概况</w:t>
      </w:r>
    </w:p>
    <w:p>
      <w:pPr>
        <w:keepNext w:val="0"/>
        <w:keepLines w:val="0"/>
        <w:pageBreakBefore w:val="0"/>
        <w:kinsoku/>
        <w:wordWrap/>
        <w:overflowPunct/>
        <w:topLinePunct w:val="0"/>
        <w:bidi w:val="0"/>
        <w:snapToGrid/>
        <w:spacing w:beforeLines="0" w:afterLines="0" w:line="600" w:lineRule="exact"/>
        <w:ind w:firstLine="602" w:firstLineChars="200"/>
        <w:textAlignment w:val="auto"/>
        <w:rPr>
          <w:rFonts w:hint="eastAsia" w:ascii="仿宋" w:hAnsi="仿宋" w:eastAsia="仿宋" w:cs="仿宋"/>
          <w:b/>
          <w:bCs/>
          <w:color w:val="000000"/>
          <w:kern w:val="0"/>
          <w:sz w:val="30"/>
          <w:szCs w:val="30"/>
          <w:lang w:eastAsia="zh-CN"/>
        </w:rPr>
      </w:pPr>
      <w:r>
        <w:rPr>
          <w:rFonts w:hint="eastAsia" w:ascii="仿宋" w:hAnsi="仿宋" w:eastAsia="仿宋" w:cs="仿宋"/>
          <w:b/>
          <w:bCs/>
          <w:color w:val="000000"/>
          <w:kern w:val="0"/>
          <w:sz w:val="30"/>
          <w:szCs w:val="30"/>
          <w:lang w:eastAsia="zh-CN"/>
        </w:rPr>
        <w:t>（</w:t>
      </w:r>
      <w:r>
        <w:rPr>
          <w:rFonts w:hint="eastAsia" w:ascii="仿宋" w:hAnsi="仿宋" w:eastAsia="仿宋" w:cs="仿宋"/>
          <w:b/>
          <w:bCs/>
          <w:color w:val="000000"/>
          <w:kern w:val="0"/>
          <w:sz w:val="30"/>
          <w:szCs w:val="30"/>
          <w:lang w:val="en-US" w:eastAsia="zh-CN"/>
        </w:rPr>
        <w:t>一</w:t>
      </w:r>
      <w:r>
        <w:rPr>
          <w:rFonts w:hint="eastAsia" w:ascii="仿宋" w:hAnsi="仿宋" w:eastAsia="仿宋" w:cs="仿宋"/>
          <w:b/>
          <w:bCs/>
          <w:color w:val="000000"/>
          <w:kern w:val="0"/>
          <w:sz w:val="30"/>
          <w:szCs w:val="30"/>
          <w:lang w:eastAsia="zh-CN"/>
        </w:rPr>
        <w:t>）</w:t>
      </w:r>
      <w:r>
        <w:rPr>
          <w:rFonts w:hint="eastAsia" w:ascii="仿宋" w:hAnsi="仿宋" w:eastAsia="仿宋" w:cs="仿宋"/>
          <w:b/>
          <w:bCs/>
          <w:color w:val="000000"/>
          <w:kern w:val="0"/>
          <w:sz w:val="30"/>
          <w:szCs w:val="30"/>
          <w:lang w:val="en-US" w:eastAsia="zh-CN"/>
        </w:rPr>
        <w:t>部门</w:t>
      </w:r>
      <w:r>
        <w:rPr>
          <w:rFonts w:hint="eastAsia" w:ascii="仿宋" w:hAnsi="仿宋" w:eastAsia="仿宋" w:cs="仿宋"/>
          <w:b/>
          <w:bCs/>
          <w:color w:val="000000"/>
          <w:kern w:val="0"/>
          <w:sz w:val="30"/>
          <w:szCs w:val="30"/>
          <w:lang w:eastAsia="zh-CN"/>
        </w:rPr>
        <w:t>职责</w:t>
      </w:r>
    </w:p>
    <w:p>
      <w:pPr>
        <w:keepNext w:val="0"/>
        <w:keepLines w:val="0"/>
        <w:pageBreakBefore w:val="0"/>
        <w:kinsoku/>
        <w:wordWrap/>
        <w:overflowPunct/>
        <w:topLinePunct w:val="0"/>
        <w:bidi w:val="0"/>
        <w:snapToGrid/>
        <w:spacing w:beforeLines="0" w:afterLines="0" w:line="600" w:lineRule="exact"/>
        <w:ind w:firstLine="600" w:firstLineChars="200"/>
        <w:textAlignment w:val="auto"/>
        <w:rPr>
          <w:rFonts w:hint="eastAsia" w:ascii="仿宋" w:hAnsi="仿宋" w:eastAsia="仿宋" w:cs="仿宋"/>
          <w:i w:val="0"/>
          <w:iCs w:val="0"/>
          <w:caps w:val="0"/>
          <w:color w:val="333333"/>
          <w:spacing w:val="0"/>
          <w:sz w:val="30"/>
          <w:szCs w:val="30"/>
          <w:shd w:val="clear" w:fill="FFFFFF"/>
          <w:lang w:eastAsia="zh-CN"/>
        </w:rPr>
      </w:pPr>
      <w:r>
        <w:rPr>
          <w:rFonts w:hint="eastAsia" w:ascii="仿宋" w:hAnsi="仿宋" w:eastAsia="仿宋" w:cs="仿宋"/>
          <w:color w:val="000000"/>
          <w:kern w:val="0"/>
          <w:sz w:val="30"/>
          <w:szCs w:val="30"/>
        </w:rPr>
        <w:t>贯彻落实加强党对统一战线工作集中统一领导的要求，发挥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负责联系各民主党派，贯彻落实中国共产党领导的多党合作和政治协商制度</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贯彻落实党的民族宗教工作方针和政策，研究拟定全区民族宗教工作的政策措施并督促落实。协调处理民族宗教工作中的重大问题。牵头开展统一多民族国情和民族团结进步教育。负责联系、培养无党派代表人士，支持、帮助无党派人士加强自身建设、发挥作用。调查研究党外知识分子和新的社会阶层人士情况并提出政策建议。参与制定、推进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统一领导全区海外统战工作。统一管理全区侨务工作。协助管理乡镇（街道）统战委员，指导区工商联工作。做好统一战线有关单位和团体的管理工作。完成区委交办的其他任务。</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hint="default" w:ascii="仿宋" w:hAnsi="仿宋" w:eastAsia="仿宋" w:cs="仿宋"/>
          <w:b/>
          <w:bCs/>
          <w:i w:val="0"/>
          <w:iCs w:val="0"/>
          <w:caps w:val="0"/>
          <w:color w:val="333333"/>
          <w:spacing w:val="0"/>
          <w:sz w:val="30"/>
          <w:szCs w:val="30"/>
          <w:shd w:val="clear" w:fill="FFFFFF"/>
          <w:lang w:val="en-US" w:eastAsia="zh-CN"/>
        </w:rPr>
      </w:pPr>
      <w:r>
        <w:rPr>
          <w:rFonts w:hint="eastAsia" w:ascii="仿宋" w:hAnsi="仿宋" w:eastAsia="仿宋" w:cs="仿宋"/>
          <w:b/>
          <w:bCs/>
          <w:i w:val="0"/>
          <w:iCs w:val="0"/>
          <w:caps w:val="0"/>
          <w:color w:val="333333"/>
          <w:spacing w:val="0"/>
          <w:sz w:val="30"/>
          <w:szCs w:val="30"/>
          <w:shd w:val="clear" w:fill="FFFFFF"/>
          <w:lang w:eastAsia="zh-CN"/>
        </w:rPr>
        <w:t>（</w:t>
      </w:r>
      <w:r>
        <w:rPr>
          <w:rFonts w:hint="eastAsia" w:ascii="仿宋" w:hAnsi="仿宋" w:eastAsia="仿宋" w:cs="仿宋"/>
          <w:b/>
          <w:bCs/>
          <w:i w:val="0"/>
          <w:iCs w:val="0"/>
          <w:caps w:val="0"/>
          <w:color w:val="333333"/>
          <w:spacing w:val="0"/>
          <w:sz w:val="30"/>
          <w:szCs w:val="30"/>
          <w:shd w:val="clear" w:fill="FFFFFF"/>
          <w:lang w:val="en-US" w:eastAsia="zh-CN"/>
        </w:rPr>
        <w:t>二</w:t>
      </w:r>
      <w:r>
        <w:rPr>
          <w:rFonts w:hint="eastAsia" w:ascii="仿宋" w:hAnsi="仿宋" w:eastAsia="仿宋" w:cs="仿宋"/>
          <w:b/>
          <w:bCs/>
          <w:i w:val="0"/>
          <w:iCs w:val="0"/>
          <w:caps w:val="0"/>
          <w:color w:val="333333"/>
          <w:spacing w:val="0"/>
          <w:sz w:val="30"/>
          <w:szCs w:val="30"/>
          <w:shd w:val="clear" w:fill="FFFFFF"/>
          <w:lang w:eastAsia="zh-CN"/>
        </w:rPr>
        <w:t>）</w:t>
      </w:r>
      <w:r>
        <w:rPr>
          <w:rFonts w:hint="eastAsia" w:ascii="仿宋" w:hAnsi="仿宋" w:eastAsia="仿宋" w:cs="仿宋"/>
          <w:b/>
          <w:bCs/>
          <w:i w:val="0"/>
          <w:iCs w:val="0"/>
          <w:caps w:val="0"/>
          <w:color w:val="333333"/>
          <w:spacing w:val="0"/>
          <w:sz w:val="30"/>
          <w:szCs w:val="30"/>
          <w:shd w:val="clear" w:fill="FFFFFF"/>
          <w:lang w:val="en-US" w:eastAsia="zh-CN"/>
        </w:rPr>
        <w:t>机构设置及人员编制情况</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eastAsia="zh-CN"/>
        </w:rPr>
        <w:t>中共益阳市赫山区委统一战线工作部是区委工作机关，为正科级，对外加挂益阳市赫山区民族宗教事务局、益阳市赫山区人民政府侨务办公室牌子</w:t>
      </w:r>
      <w:r>
        <w:rPr>
          <w:rFonts w:hint="eastAsia" w:ascii="仿宋" w:hAnsi="仿宋" w:eastAsia="仿宋" w:cs="仿宋"/>
          <w:i w:val="0"/>
          <w:iCs w:val="0"/>
          <w:caps w:val="0"/>
          <w:color w:val="333333"/>
          <w:spacing w:val="0"/>
          <w:sz w:val="30"/>
          <w:szCs w:val="30"/>
          <w:shd w:val="clear" w:fill="FFFFFF"/>
          <w:lang w:val="en-US" w:eastAsia="zh-CN"/>
        </w:rPr>
        <w:t>,</w:t>
      </w:r>
      <w:r>
        <w:rPr>
          <w:rFonts w:hint="eastAsia" w:ascii="仿宋" w:hAnsi="仿宋" w:eastAsia="仿宋" w:cs="仿宋"/>
          <w:i w:val="0"/>
          <w:iCs w:val="0"/>
          <w:caps w:val="0"/>
          <w:color w:val="333333"/>
          <w:spacing w:val="0"/>
          <w:sz w:val="30"/>
          <w:szCs w:val="30"/>
          <w:shd w:val="clear" w:fill="FFFFFF"/>
          <w:lang w:eastAsia="zh-CN"/>
        </w:rPr>
        <w:t>共有5个内设机构：办公室、干部室、经联室、民宗室、侨务办。在2019年机构改革中</w:t>
      </w:r>
      <w:r>
        <w:rPr>
          <w:rFonts w:hint="eastAsia" w:ascii="仿宋" w:hAnsi="仿宋" w:eastAsia="仿宋" w:cs="仿宋"/>
          <w:i w:val="0"/>
          <w:iCs w:val="0"/>
          <w:caps w:val="0"/>
          <w:color w:val="333333"/>
          <w:spacing w:val="0"/>
          <w:sz w:val="30"/>
          <w:szCs w:val="30"/>
          <w:shd w:val="clear" w:fill="FFFFFF"/>
          <w:lang w:val="en-US" w:eastAsia="zh-CN"/>
        </w:rPr>
        <w:t>,</w:t>
      </w:r>
      <w:r>
        <w:rPr>
          <w:rFonts w:hint="eastAsia" w:ascii="仿宋" w:hAnsi="仿宋" w:eastAsia="仿宋" w:cs="仿宋"/>
          <w:i w:val="0"/>
          <w:iCs w:val="0"/>
          <w:caps w:val="0"/>
          <w:color w:val="333333"/>
          <w:spacing w:val="0"/>
          <w:sz w:val="30"/>
          <w:szCs w:val="30"/>
          <w:shd w:val="clear" w:fill="FFFFFF"/>
          <w:lang w:eastAsia="zh-CN"/>
        </w:rPr>
        <w:t>明确区侨联是正科级人民团体，挂靠区委统战部，核定全额拨款事业编5名，设主席1名（正科级领导职数），副主席1名（副科级领导职数）。2021年根据益赫编委〔2021〕11号文件同意我部机关核增行政编制2名。目前，我部核定人员编制共17名，其中行政编11个，事业编5个，工勤编1个。</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i w:val="0"/>
          <w:iCs w:val="0"/>
          <w:caps w:val="0"/>
          <w:color w:val="333333"/>
          <w:spacing w:val="0"/>
          <w:sz w:val="30"/>
          <w:szCs w:val="30"/>
          <w:shd w:val="clear" w:fill="FFFFFF"/>
          <w:lang w:eastAsia="zh-CN"/>
        </w:rPr>
      </w:pPr>
      <w:r>
        <w:rPr>
          <w:rFonts w:hint="eastAsia" w:ascii="仿宋" w:hAnsi="仿宋" w:eastAsia="仿宋" w:cs="仿宋"/>
          <w:i w:val="0"/>
          <w:iCs w:val="0"/>
          <w:caps w:val="0"/>
          <w:color w:val="333333"/>
          <w:spacing w:val="0"/>
          <w:sz w:val="30"/>
          <w:szCs w:val="30"/>
          <w:shd w:val="clear" w:fill="FFFFFF"/>
          <w:lang w:eastAsia="zh-CN"/>
        </w:rPr>
        <w:t>202</w:t>
      </w:r>
      <w:r>
        <w:rPr>
          <w:rFonts w:hint="eastAsia" w:ascii="仿宋" w:hAnsi="仿宋" w:eastAsia="仿宋" w:cs="仿宋"/>
          <w:i w:val="0"/>
          <w:iCs w:val="0"/>
          <w:caps w:val="0"/>
          <w:color w:val="333333"/>
          <w:spacing w:val="0"/>
          <w:sz w:val="30"/>
          <w:szCs w:val="30"/>
          <w:shd w:val="clear" w:fill="FFFFFF"/>
          <w:lang w:val="en-US" w:eastAsia="zh-CN"/>
        </w:rPr>
        <w:t>1</w:t>
      </w:r>
      <w:r>
        <w:rPr>
          <w:rFonts w:hint="eastAsia" w:ascii="仿宋" w:hAnsi="仿宋" w:eastAsia="仿宋" w:cs="仿宋"/>
          <w:i w:val="0"/>
          <w:iCs w:val="0"/>
          <w:caps w:val="0"/>
          <w:color w:val="333333"/>
          <w:spacing w:val="0"/>
          <w:sz w:val="30"/>
          <w:szCs w:val="30"/>
          <w:shd w:val="clear" w:fill="FFFFFF"/>
          <w:lang w:eastAsia="zh-CN"/>
        </w:rPr>
        <w:t>年12月31日实际在职人员1</w:t>
      </w:r>
      <w:r>
        <w:rPr>
          <w:rFonts w:hint="eastAsia" w:ascii="仿宋" w:hAnsi="仿宋" w:eastAsia="仿宋" w:cs="仿宋"/>
          <w:i w:val="0"/>
          <w:iCs w:val="0"/>
          <w:caps w:val="0"/>
          <w:color w:val="333333"/>
          <w:spacing w:val="0"/>
          <w:sz w:val="30"/>
          <w:szCs w:val="30"/>
          <w:shd w:val="clear" w:fill="FFFFFF"/>
          <w:lang w:val="en-US" w:eastAsia="zh-CN"/>
        </w:rPr>
        <w:t>2</w:t>
      </w:r>
      <w:r>
        <w:rPr>
          <w:rFonts w:hint="eastAsia" w:ascii="仿宋" w:hAnsi="仿宋" w:eastAsia="仿宋" w:cs="仿宋"/>
          <w:i w:val="0"/>
          <w:iCs w:val="0"/>
          <w:caps w:val="0"/>
          <w:color w:val="333333"/>
          <w:spacing w:val="0"/>
          <w:sz w:val="30"/>
          <w:szCs w:val="30"/>
          <w:shd w:val="clear" w:fill="FFFFFF"/>
          <w:lang w:eastAsia="zh-CN"/>
        </w:rPr>
        <w:t>人。机关行政编制人员</w:t>
      </w:r>
      <w:r>
        <w:rPr>
          <w:rFonts w:hint="eastAsia" w:ascii="仿宋" w:hAnsi="仿宋" w:eastAsia="仿宋" w:cs="仿宋"/>
          <w:i w:val="0"/>
          <w:iCs w:val="0"/>
          <w:caps w:val="0"/>
          <w:color w:val="333333"/>
          <w:spacing w:val="0"/>
          <w:sz w:val="30"/>
          <w:szCs w:val="30"/>
          <w:shd w:val="clear" w:fill="FFFFFF"/>
          <w:lang w:val="en-US" w:eastAsia="zh-CN"/>
        </w:rPr>
        <w:t>7</w:t>
      </w:r>
      <w:r>
        <w:rPr>
          <w:rFonts w:hint="eastAsia" w:ascii="仿宋" w:hAnsi="仿宋" w:eastAsia="仿宋" w:cs="仿宋"/>
          <w:i w:val="0"/>
          <w:iCs w:val="0"/>
          <w:caps w:val="0"/>
          <w:color w:val="333333"/>
          <w:spacing w:val="0"/>
          <w:sz w:val="30"/>
          <w:szCs w:val="30"/>
          <w:shd w:val="clear" w:fill="FFFFFF"/>
          <w:lang w:eastAsia="zh-CN"/>
        </w:rPr>
        <w:t>名，全额拨款事业编制人员</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lang w:eastAsia="zh-CN"/>
        </w:rPr>
        <w:t>名，机关后勤服务全额拔款事业编制人员</w:t>
      </w:r>
      <w:r>
        <w:rPr>
          <w:rFonts w:hint="eastAsia" w:ascii="仿宋" w:hAnsi="仿宋" w:eastAsia="仿宋" w:cs="仿宋"/>
          <w:i w:val="0"/>
          <w:iCs w:val="0"/>
          <w:caps w:val="0"/>
          <w:color w:val="333333"/>
          <w:spacing w:val="0"/>
          <w:sz w:val="30"/>
          <w:szCs w:val="30"/>
          <w:shd w:val="clear" w:fill="FFFFFF"/>
          <w:lang w:val="en-US" w:eastAsia="zh-CN"/>
        </w:rPr>
        <w:t>1</w:t>
      </w:r>
      <w:r>
        <w:rPr>
          <w:rFonts w:hint="eastAsia" w:ascii="仿宋" w:hAnsi="仿宋" w:eastAsia="仿宋" w:cs="仿宋"/>
          <w:i w:val="0"/>
          <w:iCs w:val="0"/>
          <w:caps w:val="0"/>
          <w:color w:val="333333"/>
          <w:spacing w:val="0"/>
          <w:sz w:val="30"/>
          <w:szCs w:val="30"/>
          <w:shd w:val="clear" w:fill="FFFFFF"/>
          <w:lang w:eastAsia="zh-CN"/>
        </w:rPr>
        <w:t>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val="en-US" w:eastAsia="zh-CN"/>
        </w:rPr>
      </w:pPr>
      <w:r>
        <w:rPr>
          <w:rFonts w:hint="eastAsia" w:ascii="黑体" w:hAnsi="黑体" w:eastAsia="黑体" w:cs="黑体"/>
          <w:i w:val="0"/>
          <w:iCs w:val="0"/>
          <w:caps w:val="0"/>
          <w:color w:val="333333"/>
          <w:spacing w:val="0"/>
          <w:sz w:val="30"/>
          <w:szCs w:val="30"/>
          <w:lang w:val="en-US" w:eastAsia="zh-CN"/>
        </w:rPr>
        <w:t>二、部门整体支出概况</w:t>
      </w:r>
    </w:p>
    <w:p>
      <w:pPr>
        <w:keepNext w:val="0"/>
        <w:keepLines w:val="0"/>
        <w:pageBreakBefore w:val="0"/>
        <w:kinsoku/>
        <w:wordWrap/>
        <w:overflowPunct/>
        <w:topLinePunct w:val="0"/>
        <w:autoSpaceDE/>
        <w:autoSpaceDN/>
        <w:bidi w:val="0"/>
        <w:adjustRightInd/>
        <w:spacing w:line="600" w:lineRule="exact"/>
        <w:ind w:firstLine="602" w:firstLineChars="200"/>
        <w:textAlignment w:val="auto"/>
        <w:rPr>
          <w:rFonts w:hint="eastAsia" w:ascii="仿宋" w:hAnsi="仿宋" w:eastAsia="仿宋" w:cs="仿宋"/>
          <w:b/>
          <w:bCs/>
          <w:i w:val="0"/>
          <w:iCs w:val="0"/>
          <w:caps w:val="0"/>
          <w:color w:val="333333"/>
          <w:spacing w:val="0"/>
          <w:sz w:val="30"/>
          <w:szCs w:val="30"/>
          <w:shd w:val="clear" w:fill="FFFFFF"/>
          <w:lang w:val="en-US" w:eastAsia="zh-CN"/>
        </w:rPr>
      </w:pPr>
      <w:r>
        <w:rPr>
          <w:rFonts w:hint="eastAsia" w:ascii="仿宋" w:hAnsi="仿宋" w:eastAsia="仿宋" w:cs="仿宋"/>
          <w:b/>
          <w:bCs/>
          <w:i w:val="0"/>
          <w:iCs w:val="0"/>
          <w:caps w:val="0"/>
          <w:color w:val="333333"/>
          <w:spacing w:val="0"/>
          <w:sz w:val="30"/>
          <w:szCs w:val="30"/>
          <w:shd w:val="clear" w:fill="FFFFFF"/>
          <w:lang w:val="en-US" w:eastAsia="zh-CN"/>
        </w:rPr>
        <w:t>（一）基本支出情况</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本部门2021年本年基本支出决算数为243.63万元，比上年减少10.12万元，减少3.99％。主要原因是厉行节约，人员减少，合并会议、培训等，缩减各项开支。</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本部门预算收入中没有非税收入项目，全部来源于预算内拨款。其中：工资福利支出210.35万元，主要用于人员工资及社会保障缴纳等。商品和服务支出31.37万元，主要用于单位正常工作开支。资本性支出1.91万元，主要用于办公设备购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lang w:eastAsia="zh-CN"/>
        </w:rPr>
      </w:pPr>
      <w:r>
        <w:rPr>
          <w:rFonts w:hint="eastAsia" w:ascii="仿宋" w:hAnsi="仿宋" w:eastAsia="仿宋" w:cs="仿宋"/>
          <w:i w:val="0"/>
          <w:iCs w:val="0"/>
          <w:caps w:val="0"/>
          <w:color w:val="333333"/>
          <w:spacing w:val="0"/>
          <w:sz w:val="30"/>
          <w:szCs w:val="30"/>
        </w:rPr>
        <w:t>2021年收支决算后财政拨款年末结转和结余</w:t>
      </w:r>
      <w:r>
        <w:rPr>
          <w:rFonts w:hint="eastAsia" w:ascii="仿宋" w:hAnsi="仿宋" w:eastAsia="仿宋" w:cs="仿宋"/>
          <w:i w:val="0"/>
          <w:iCs w:val="0"/>
          <w:caps w:val="0"/>
          <w:color w:val="333333"/>
          <w:spacing w:val="0"/>
          <w:sz w:val="30"/>
          <w:szCs w:val="30"/>
          <w:lang w:eastAsia="zh-CN"/>
        </w:rPr>
        <w:t>为零。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rPr>
        <w:t>2021年“三公”经费财政拨款支出决算数为</w:t>
      </w:r>
      <w:r>
        <w:rPr>
          <w:rFonts w:hint="eastAsia" w:ascii="仿宋" w:hAnsi="仿宋" w:eastAsia="仿宋" w:cs="仿宋"/>
          <w:i w:val="0"/>
          <w:iCs w:val="0"/>
          <w:caps w:val="0"/>
          <w:color w:val="333333"/>
          <w:spacing w:val="0"/>
          <w:sz w:val="30"/>
          <w:szCs w:val="30"/>
          <w:lang w:val="en-US" w:eastAsia="zh-CN"/>
        </w:rPr>
        <w:t>1.2</w:t>
      </w:r>
      <w:r>
        <w:rPr>
          <w:rFonts w:hint="eastAsia" w:ascii="仿宋" w:hAnsi="仿宋" w:eastAsia="仿宋" w:cs="仿宋"/>
          <w:i w:val="0"/>
          <w:iCs w:val="0"/>
          <w:caps w:val="0"/>
          <w:color w:val="333333"/>
          <w:spacing w:val="0"/>
          <w:sz w:val="30"/>
          <w:szCs w:val="30"/>
        </w:rPr>
        <w:t>万元，全部为公务接待支出。无出国考察费等支出。</w:t>
      </w:r>
    </w:p>
    <w:p>
      <w:pPr>
        <w:keepNext w:val="0"/>
        <w:keepLines w:val="0"/>
        <w:pageBreakBefore w:val="0"/>
        <w:numPr>
          <w:ilvl w:val="0"/>
          <w:numId w:val="1"/>
        </w:numPr>
        <w:kinsoku/>
        <w:wordWrap/>
        <w:overflowPunct/>
        <w:topLinePunct w:val="0"/>
        <w:autoSpaceDE/>
        <w:autoSpaceDN/>
        <w:bidi w:val="0"/>
        <w:adjustRightInd/>
        <w:spacing w:line="600" w:lineRule="exact"/>
        <w:ind w:firstLine="602" w:firstLineChars="200"/>
        <w:textAlignment w:val="auto"/>
        <w:rPr>
          <w:rFonts w:hint="eastAsia" w:ascii="仿宋" w:hAnsi="仿宋" w:eastAsia="仿宋" w:cs="仿宋"/>
          <w:b/>
          <w:bCs/>
          <w:i w:val="0"/>
          <w:iCs w:val="0"/>
          <w:caps w:val="0"/>
          <w:color w:val="333333"/>
          <w:spacing w:val="0"/>
          <w:sz w:val="30"/>
          <w:szCs w:val="30"/>
          <w:shd w:val="clear" w:fill="FFFFFF"/>
          <w:lang w:val="en-US" w:eastAsia="zh-CN"/>
        </w:rPr>
      </w:pPr>
      <w:r>
        <w:rPr>
          <w:rFonts w:hint="eastAsia" w:ascii="仿宋" w:hAnsi="仿宋" w:eastAsia="仿宋" w:cs="仿宋"/>
          <w:b/>
          <w:bCs/>
          <w:i w:val="0"/>
          <w:iCs w:val="0"/>
          <w:caps w:val="0"/>
          <w:color w:val="333333"/>
          <w:spacing w:val="0"/>
          <w:sz w:val="30"/>
          <w:szCs w:val="30"/>
          <w:shd w:val="clear" w:fill="FFFFFF"/>
          <w:lang w:val="en-US" w:eastAsia="zh-CN"/>
        </w:rPr>
        <w:t>项目支出情况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rPr>
        <w:t>赫山区</w:t>
      </w:r>
      <w:r>
        <w:rPr>
          <w:rFonts w:hint="eastAsia" w:ascii="仿宋" w:hAnsi="仿宋" w:eastAsia="仿宋" w:cs="仿宋"/>
          <w:i w:val="0"/>
          <w:iCs w:val="0"/>
          <w:caps w:val="0"/>
          <w:color w:val="333333"/>
          <w:spacing w:val="0"/>
          <w:sz w:val="30"/>
          <w:szCs w:val="30"/>
          <w:lang w:eastAsia="zh-CN"/>
        </w:rPr>
        <w:t>委统战部</w:t>
      </w:r>
      <w:r>
        <w:rPr>
          <w:rFonts w:hint="eastAsia" w:ascii="仿宋" w:hAnsi="仿宋" w:eastAsia="仿宋" w:cs="仿宋"/>
          <w:i w:val="0"/>
          <w:iCs w:val="0"/>
          <w:caps w:val="0"/>
          <w:color w:val="333333"/>
          <w:spacing w:val="0"/>
          <w:sz w:val="30"/>
          <w:szCs w:val="30"/>
        </w:rPr>
        <w:t>2021年度</w:t>
      </w:r>
      <w:r>
        <w:rPr>
          <w:rFonts w:hint="eastAsia" w:ascii="仿宋" w:hAnsi="仿宋" w:eastAsia="仿宋" w:cs="仿宋"/>
          <w:i w:val="0"/>
          <w:iCs w:val="0"/>
          <w:caps w:val="0"/>
          <w:color w:val="333333"/>
          <w:spacing w:val="0"/>
          <w:sz w:val="30"/>
          <w:szCs w:val="30"/>
          <w:lang w:eastAsia="zh-CN"/>
        </w:rPr>
        <w:t>项目</w:t>
      </w:r>
      <w:r>
        <w:rPr>
          <w:rFonts w:hint="eastAsia" w:ascii="仿宋" w:hAnsi="仿宋" w:eastAsia="仿宋" w:cs="仿宋"/>
          <w:i w:val="0"/>
          <w:iCs w:val="0"/>
          <w:caps w:val="0"/>
          <w:color w:val="333333"/>
          <w:spacing w:val="0"/>
          <w:sz w:val="30"/>
          <w:szCs w:val="30"/>
        </w:rPr>
        <w:t>支出为</w:t>
      </w:r>
      <w:r>
        <w:rPr>
          <w:rFonts w:hint="eastAsia" w:ascii="仿宋" w:hAnsi="仿宋" w:eastAsia="仿宋" w:cs="仿宋"/>
          <w:i w:val="0"/>
          <w:iCs w:val="0"/>
          <w:caps w:val="0"/>
          <w:color w:val="333333"/>
          <w:spacing w:val="0"/>
          <w:sz w:val="30"/>
          <w:szCs w:val="30"/>
          <w:lang w:val="en-US" w:eastAsia="zh-CN"/>
        </w:rPr>
        <w:t>40.59万元，比上年减少17.3万元，减少29.88%</w:t>
      </w:r>
      <w:r>
        <w:rPr>
          <w:rFonts w:hint="eastAsia" w:ascii="仿宋" w:hAnsi="仿宋" w:eastAsia="仿宋" w:cs="仿宋"/>
          <w:i w:val="0"/>
          <w:iCs w:val="0"/>
          <w:caps w:val="0"/>
          <w:color w:val="333333"/>
          <w:spacing w:val="0"/>
          <w:sz w:val="30"/>
          <w:szCs w:val="3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sz w:val="30"/>
          <w:szCs w:val="30"/>
          <w:lang w:eastAsia="zh-CN"/>
        </w:rPr>
        <w:t>三</w:t>
      </w:r>
      <w:r>
        <w:rPr>
          <w:rFonts w:hint="eastAsia" w:ascii="黑体" w:hAnsi="黑体" w:eastAsia="黑体" w:cs="黑体"/>
          <w:i w:val="0"/>
          <w:iCs w:val="0"/>
          <w:caps w:val="0"/>
          <w:color w:val="333333"/>
          <w:spacing w:val="0"/>
          <w:sz w:val="30"/>
          <w:szCs w:val="30"/>
        </w:rPr>
        <w:t>、政府性基金预算支出情况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rPr>
        <w:t>赫山区</w:t>
      </w:r>
      <w:r>
        <w:rPr>
          <w:rFonts w:hint="eastAsia" w:ascii="仿宋" w:hAnsi="仿宋" w:eastAsia="仿宋" w:cs="仿宋"/>
          <w:i w:val="0"/>
          <w:iCs w:val="0"/>
          <w:caps w:val="0"/>
          <w:color w:val="333333"/>
          <w:spacing w:val="0"/>
          <w:sz w:val="30"/>
          <w:szCs w:val="30"/>
          <w:lang w:eastAsia="zh-CN"/>
        </w:rPr>
        <w:t>委统战部</w:t>
      </w:r>
      <w:r>
        <w:rPr>
          <w:rFonts w:hint="eastAsia" w:ascii="仿宋" w:hAnsi="仿宋" w:eastAsia="仿宋" w:cs="仿宋"/>
          <w:i w:val="0"/>
          <w:iCs w:val="0"/>
          <w:caps w:val="0"/>
          <w:color w:val="333333"/>
          <w:spacing w:val="0"/>
          <w:sz w:val="30"/>
          <w:szCs w:val="30"/>
        </w:rPr>
        <w:t>2021年度政府性基金预算支出为零。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eastAsia="zh-CN"/>
        </w:rPr>
      </w:pPr>
      <w:r>
        <w:rPr>
          <w:rFonts w:hint="eastAsia" w:ascii="黑体" w:hAnsi="黑体" w:eastAsia="黑体" w:cs="黑体"/>
          <w:i w:val="0"/>
          <w:iCs w:val="0"/>
          <w:caps w:val="0"/>
          <w:color w:val="333333"/>
          <w:spacing w:val="0"/>
          <w:sz w:val="30"/>
          <w:szCs w:val="30"/>
          <w:lang w:eastAsia="zh-CN"/>
        </w:rPr>
        <w:t>四、国有资本经营预算支出情况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rPr>
        <w:t>赫山区</w:t>
      </w:r>
      <w:r>
        <w:rPr>
          <w:rFonts w:hint="eastAsia" w:ascii="仿宋" w:hAnsi="仿宋" w:eastAsia="仿宋" w:cs="仿宋"/>
          <w:i w:val="0"/>
          <w:iCs w:val="0"/>
          <w:caps w:val="0"/>
          <w:color w:val="333333"/>
          <w:spacing w:val="0"/>
          <w:sz w:val="30"/>
          <w:szCs w:val="30"/>
          <w:lang w:eastAsia="zh-CN"/>
        </w:rPr>
        <w:t>委统战部</w:t>
      </w:r>
      <w:r>
        <w:rPr>
          <w:rFonts w:hint="eastAsia" w:ascii="仿宋" w:hAnsi="仿宋" w:eastAsia="仿宋" w:cs="仿宋"/>
          <w:i w:val="0"/>
          <w:iCs w:val="0"/>
          <w:caps w:val="0"/>
          <w:color w:val="333333"/>
          <w:spacing w:val="0"/>
          <w:sz w:val="30"/>
          <w:szCs w:val="30"/>
        </w:rPr>
        <w:t>2021年度国有资本经营预算支出为零。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eastAsia="zh-CN"/>
        </w:rPr>
      </w:pPr>
      <w:r>
        <w:rPr>
          <w:rFonts w:hint="eastAsia" w:ascii="黑体" w:hAnsi="黑体" w:eastAsia="黑体" w:cs="黑体"/>
          <w:i w:val="0"/>
          <w:iCs w:val="0"/>
          <w:caps w:val="0"/>
          <w:color w:val="333333"/>
          <w:spacing w:val="0"/>
          <w:sz w:val="30"/>
          <w:szCs w:val="30"/>
          <w:lang w:eastAsia="zh-CN"/>
        </w:rPr>
        <w:t>五、社会保险基金预算支出情况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rPr>
        <w:t>赫山区</w:t>
      </w:r>
      <w:r>
        <w:rPr>
          <w:rFonts w:hint="eastAsia" w:ascii="仿宋" w:hAnsi="仿宋" w:eastAsia="仿宋" w:cs="仿宋"/>
          <w:i w:val="0"/>
          <w:iCs w:val="0"/>
          <w:caps w:val="0"/>
          <w:color w:val="333333"/>
          <w:spacing w:val="0"/>
          <w:sz w:val="30"/>
          <w:szCs w:val="30"/>
          <w:lang w:eastAsia="zh-CN"/>
        </w:rPr>
        <w:t>委统战部</w:t>
      </w:r>
      <w:r>
        <w:rPr>
          <w:rFonts w:hint="eastAsia" w:ascii="仿宋" w:hAnsi="仿宋" w:eastAsia="仿宋" w:cs="仿宋"/>
          <w:i w:val="0"/>
          <w:iCs w:val="0"/>
          <w:caps w:val="0"/>
          <w:color w:val="333333"/>
          <w:spacing w:val="0"/>
          <w:sz w:val="30"/>
          <w:szCs w:val="30"/>
        </w:rPr>
        <w:t>2021年度社会保险基金预算支出为零。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eastAsia="zh-CN"/>
        </w:rPr>
      </w:pPr>
      <w:r>
        <w:rPr>
          <w:rFonts w:hint="eastAsia" w:ascii="黑体" w:hAnsi="黑体" w:eastAsia="黑体" w:cs="黑体"/>
          <w:i w:val="0"/>
          <w:iCs w:val="0"/>
          <w:caps w:val="0"/>
          <w:color w:val="333333"/>
          <w:spacing w:val="0"/>
          <w:sz w:val="30"/>
          <w:szCs w:val="30"/>
          <w:lang w:eastAsia="zh-CN"/>
        </w:rPr>
        <w:t>六、部门整体支出绩效情况</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严格贯彻上级有关文件精神，</w:t>
      </w:r>
      <w:r>
        <w:rPr>
          <w:rFonts w:hint="eastAsia" w:ascii="仿宋" w:hAnsi="仿宋" w:eastAsia="仿宋" w:cs="仿宋"/>
          <w:sz w:val="30"/>
          <w:szCs w:val="30"/>
          <w:lang w:eastAsia="zh-CN"/>
        </w:rPr>
        <w:t>认真落实</w:t>
      </w:r>
      <w:r>
        <w:rPr>
          <w:rFonts w:hint="eastAsia" w:ascii="仿宋" w:hAnsi="仿宋" w:eastAsia="仿宋" w:cs="仿宋"/>
          <w:sz w:val="30"/>
          <w:szCs w:val="30"/>
        </w:rPr>
        <w:t>内部控制管理制度、机关财务管理制度、公务接待制度，加强财务管理</w:t>
      </w:r>
      <w:r>
        <w:rPr>
          <w:rFonts w:hint="eastAsia" w:ascii="仿宋" w:hAnsi="仿宋" w:eastAsia="仿宋" w:cs="仿宋"/>
          <w:sz w:val="30"/>
          <w:szCs w:val="30"/>
          <w:lang w:eastAsia="zh-CN"/>
        </w:rPr>
        <w:t>、</w:t>
      </w:r>
      <w:r>
        <w:rPr>
          <w:rFonts w:hint="eastAsia" w:ascii="仿宋" w:hAnsi="仿宋" w:eastAsia="仿宋" w:cs="仿宋"/>
          <w:sz w:val="30"/>
          <w:szCs w:val="30"/>
        </w:rPr>
        <w:t>财务监督。</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按照厉行节约、物尽其用的原则，</w:t>
      </w:r>
      <w:r>
        <w:rPr>
          <w:rFonts w:hint="eastAsia" w:ascii="仿宋" w:hAnsi="仿宋" w:eastAsia="仿宋" w:cs="仿宋"/>
          <w:sz w:val="30"/>
          <w:szCs w:val="30"/>
          <w:lang w:eastAsia="zh-CN"/>
        </w:rPr>
        <w:t>加强</w:t>
      </w:r>
      <w:r>
        <w:rPr>
          <w:rFonts w:hint="eastAsia" w:ascii="仿宋" w:hAnsi="仿宋" w:eastAsia="仿宋" w:cs="仿宋"/>
          <w:sz w:val="30"/>
          <w:szCs w:val="30"/>
        </w:rPr>
        <w:t>资产管理</w:t>
      </w:r>
      <w:r>
        <w:rPr>
          <w:rFonts w:hint="eastAsia" w:ascii="仿宋" w:hAnsi="仿宋" w:eastAsia="仿宋" w:cs="仿宋"/>
          <w:sz w:val="30"/>
          <w:szCs w:val="30"/>
          <w:lang w:eastAsia="zh-CN"/>
        </w:rPr>
        <w:t>，</w:t>
      </w:r>
      <w:r>
        <w:rPr>
          <w:rFonts w:hint="eastAsia" w:ascii="仿宋" w:hAnsi="仿宋" w:eastAsia="仿宋" w:cs="仿宋"/>
          <w:sz w:val="30"/>
          <w:szCs w:val="30"/>
        </w:rPr>
        <w:t>采取统一建账，统一录入资产管理系统,落实专人负责,严格报批、销审等手续，做好资产报表统计工作,完善固定资产档案。</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工资及津补贴发放规范，费用开支标准合规、手续完善，审批程序符合要求。按时将部门预算、决算、绩效评价情况</w:t>
      </w:r>
      <w:r>
        <w:rPr>
          <w:rFonts w:hint="eastAsia" w:ascii="仿宋" w:hAnsi="仿宋" w:eastAsia="仿宋" w:cs="仿宋"/>
          <w:sz w:val="30"/>
          <w:szCs w:val="30"/>
          <w:lang w:eastAsia="zh-CN"/>
        </w:rPr>
        <w:t>等</w:t>
      </w:r>
      <w:r>
        <w:rPr>
          <w:rFonts w:hint="eastAsia" w:ascii="仿宋" w:hAnsi="仿宋" w:eastAsia="仿宋" w:cs="仿宋"/>
          <w:sz w:val="30"/>
          <w:szCs w:val="30"/>
        </w:rPr>
        <w:t>相关信息在赫山区门户网站上公开。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eastAsia="zh-CN"/>
        </w:rPr>
      </w:pPr>
      <w:r>
        <w:rPr>
          <w:rFonts w:hint="eastAsia" w:ascii="黑体" w:hAnsi="黑体" w:eastAsia="黑体" w:cs="黑体"/>
          <w:i w:val="0"/>
          <w:iCs w:val="0"/>
          <w:caps w:val="0"/>
          <w:color w:val="333333"/>
          <w:spacing w:val="0"/>
          <w:sz w:val="30"/>
          <w:szCs w:val="30"/>
          <w:lang w:eastAsia="zh-CN"/>
        </w:rPr>
        <w:t>七、存在的问题及原因分析</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加强资产管理，提高预算精细化。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val="en-US" w:eastAsia="zh-CN"/>
        </w:rPr>
      </w:pPr>
      <w:r>
        <w:rPr>
          <w:rFonts w:hint="eastAsia" w:ascii="黑体" w:hAnsi="黑体" w:eastAsia="黑体" w:cs="黑体"/>
          <w:i w:val="0"/>
          <w:iCs w:val="0"/>
          <w:caps w:val="0"/>
          <w:color w:val="333333"/>
          <w:spacing w:val="0"/>
          <w:sz w:val="30"/>
          <w:szCs w:val="30"/>
          <w:lang w:val="en-US" w:eastAsia="zh-CN"/>
        </w:rPr>
        <w:t>八、下一步改进措施</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按照相关会计科目的要求，对不同的支出类别进行不同分类，实行细化支出的管理方式。</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提升资产管理、预算管理工作重视度，树立预算观念，强化内部监督机制，形成对资产管理、预算管理的有效控制。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lang w:val="en-US" w:eastAsia="zh-CN"/>
        </w:rPr>
      </w:pPr>
      <w:r>
        <w:rPr>
          <w:rFonts w:hint="eastAsia" w:ascii="黑体" w:hAnsi="黑体" w:eastAsia="黑体" w:cs="黑体"/>
          <w:i w:val="0"/>
          <w:iCs w:val="0"/>
          <w:caps w:val="0"/>
          <w:color w:val="333333"/>
          <w:spacing w:val="0"/>
          <w:sz w:val="30"/>
          <w:szCs w:val="30"/>
          <w:lang w:val="en-US" w:eastAsia="zh-CN"/>
        </w:rPr>
        <w:t>九、其他需要说明的问题</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无其他需要说明的情况。</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年度部门整体支出绩效自评指标计分表</w:t>
      </w: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p>
    <w:p>
      <w:pPr>
        <w:spacing w:beforeLines="0" w:afterLines="0" w:line="560" w:lineRule="exact"/>
        <w:ind w:firstLine="720" w:firstLineChars="200"/>
        <w:rPr>
          <w:rStyle w:val="5"/>
          <w:rFonts w:hint="default" w:ascii="仿宋_GB2312" w:eastAsia="仿宋_GB2312"/>
          <w:i w:val="0"/>
          <w:sz w:val="32"/>
          <w:szCs w:val="32"/>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1</w:t>
      </w:r>
      <w:r>
        <w:rPr>
          <w:rFonts w:hint="eastAsia" w:ascii="方正小标宋简体" w:eastAsia="方正小标宋简体" w:cs="方正小标宋_GBK"/>
          <w:sz w:val="36"/>
          <w:szCs w:val="36"/>
        </w:rPr>
        <w:t>年度部门整体支出绩效自评指标计分表</w:t>
      </w:r>
    </w:p>
    <w:tbl>
      <w:tblPr>
        <w:tblStyle w:val="3"/>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7"/>
        <w:gridCol w:w="575"/>
        <w:gridCol w:w="885"/>
        <w:gridCol w:w="725"/>
        <w:gridCol w:w="2694"/>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319"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23"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b/>
                <w:bCs/>
              </w:rPr>
            </w:pPr>
            <w:r>
              <w:rPr>
                <w:rFonts w:hint="eastAsia" w:ascii="宋体" w:hAnsi="宋体" w:cs="宋体"/>
                <w:b/>
                <w:bCs/>
              </w:rPr>
              <w:t>三级</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b/>
                <w:bCs/>
              </w:rPr>
            </w:pPr>
            <w:r>
              <w:rPr>
                <w:rFonts w:hint="eastAsia" w:ascii="宋体" w:hAnsi="宋体" w:cs="宋体"/>
                <w:b/>
                <w:bCs/>
              </w:rPr>
              <w:t>指标</w:t>
            </w:r>
          </w:p>
        </w:tc>
        <w:tc>
          <w:tcPr>
            <w:tcW w:w="40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ascii="宋体" w:cs="宋体"/>
                <w:b/>
                <w:bCs/>
              </w:rPr>
            </w:pPr>
            <w:r>
              <w:rPr>
                <w:rFonts w:hint="eastAsia" w:ascii="宋体" w:hAnsi="宋体" w:cs="宋体"/>
                <w:b/>
                <w:bCs/>
              </w:rPr>
              <w:t>自评分</w:t>
            </w:r>
          </w:p>
        </w:tc>
        <w:tc>
          <w:tcPr>
            <w:tcW w:w="1513"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firstLine="0" w:firstLineChars="0"/>
              <w:jc w:val="center"/>
              <w:textAlignment w:val="auto"/>
              <w:rPr>
                <w:rFonts w:ascii="宋体" w:cs="宋体"/>
                <w:b/>
                <w:bCs/>
              </w:rPr>
            </w:pPr>
            <w:r>
              <w:rPr>
                <w:rFonts w:hint="eastAsia" w:ascii="宋体" w:hAnsi="宋体" w:cs="宋体"/>
                <w:b/>
                <w:bCs/>
              </w:rPr>
              <w:t>指标解释</w:t>
            </w:r>
          </w:p>
        </w:tc>
        <w:tc>
          <w:tcPr>
            <w:tcW w:w="1939"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31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绩效</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目标</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hAns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2"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绩效</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指标</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3</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p>
          <w:p>
            <w:pPr>
              <w:spacing w:line="240" w:lineRule="exact"/>
              <w:ind w:left="105" w:leftChars="50" w:right="105" w:rightChars="50"/>
              <w:rPr>
                <w:rFonts w:ascii="宋体" w:cs="宋体"/>
              </w:rPr>
            </w:pP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w:t>
            </w:r>
            <w:r>
              <w:rPr>
                <w:rFonts w:hint="eastAsia" w:ascii="宋体" w:hAnsi="宋体" w:cs="宋体"/>
                <w:spacing w:val="-11"/>
                <w:sz w:val="21"/>
              </w:rPr>
              <w:t>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6" w:hRule="atLeast"/>
          <w:jc w:val="center"/>
        </w:trPr>
        <w:tc>
          <w:tcPr>
            <w:tcW w:w="319" w:type="pct"/>
            <w:vMerge w:val="continue"/>
            <w:vAlign w:val="center"/>
          </w:tcPr>
          <w:p>
            <w:pPr>
              <w:spacing w:line="240" w:lineRule="exact"/>
              <w:rPr>
                <w:rFonts w:ascii="宋体" w:cs="宋体"/>
              </w:rPr>
            </w:pP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在职</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人员</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部门本年度实际在职人员数与编制数的比率，用以反映和考核部门对人员成本的控制程度。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5"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“三公经费”</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重点</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支出</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1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预算</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4</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部门本年度预算完成数与预算数的比率，用以反映和考核部门预算完成程度。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预算</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1</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部门本年度预算调整数与预算数的比率，用以反映和考核部门预算的调整程度。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支付</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部门实际支付进度与既定支付进度的比率，用以反映和考核部门预算执行的及时性和均衡性程度。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319"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23" w:type="pct"/>
            <w:vMerge w:val="continue"/>
            <w:tcMar>
              <w:top w:w="10" w:type="dxa"/>
              <w:left w:w="10" w:type="dxa"/>
              <w:bottom w:w="0" w:type="dxa"/>
              <w:right w:w="10" w:type="dxa"/>
            </w:tcMar>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结转</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结转</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结余</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5"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公用经费</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政府</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采购</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4</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4" w:hRule="atLeast"/>
          <w:jc w:val="center"/>
        </w:trPr>
        <w:tc>
          <w:tcPr>
            <w:tcW w:w="319"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管理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制度</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1</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0"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资金</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使用</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1</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预决</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算信</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1</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7"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基础</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信息</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1</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部门基础信息是否完善，用以反映和考核基础信息对预算管理工作的支撑情况。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319"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管理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制度</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5" w:hRule="atLeast"/>
          <w:jc w:val="center"/>
        </w:trPr>
        <w:tc>
          <w:tcPr>
            <w:tcW w:w="319" w:type="pct"/>
            <w:vMerge w:val="continue"/>
            <w:vAlign w:val="center"/>
          </w:tcPr>
          <w:p>
            <w:pPr>
              <w:spacing w:line="240" w:lineRule="exact"/>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资产</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管理</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407" w:type="pct"/>
            <w:vAlign w:val="center"/>
          </w:tcPr>
          <w:p>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2</w:t>
            </w:r>
          </w:p>
        </w:tc>
        <w:tc>
          <w:tcPr>
            <w:tcW w:w="1513" w:type="pct"/>
            <w:tcMar>
              <w:top w:w="10" w:type="dxa"/>
              <w:left w:w="10" w:type="dxa"/>
              <w:bottom w:w="0" w:type="dxa"/>
              <w:right w:w="10" w:type="dxa"/>
            </w:tcMar>
            <w:vAlign w:val="center"/>
          </w:tcPr>
          <w:p>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hint="eastAsia" w:ascii="宋体" w:hAnsi="宋体" w:cs="宋体"/>
              </w:rPr>
            </w:pPr>
            <w:r>
              <w:rPr>
                <w:rFonts w:hint="eastAsia" w:ascii="宋体" w:hAnsi="宋体" w:cs="宋体"/>
              </w:rPr>
              <w:t>固定</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资产</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1</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1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实际</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hAnsi="宋体" w:cs="宋体"/>
              </w:rPr>
            </w:pPr>
            <w:r>
              <w:rPr>
                <w:rFonts w:hint="eastAsia" w:ascii="宋体" w:hAnsi="宋体" w:cs="宋体"/>
              </w:rPr>
              <w:t>完成率</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8</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部门履行职责而实际完成</w:t>
            </w:r>
            <w:r>
              <w:rPr>
                <w:rFonts w:hint="eastAsia" w:ascii="宋体" w:hAnsi="宋体" w:cs="宋体"/>
                <w:spacing w:val="6"/>
                <w:sz w:val="21"/>
              </w:rPr>
              <w:t>工作数与计划工作数的比率，用以反映和考核部门履职工作任务目标的实现程度。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19" w:type="pct"/>
            <w:vMerge w:val="continue"/>
            <w:textDirection w:val="tbRlV"/>
            <w:vAlign w:val="center"/>
          </w:tcPr>
          <w:p>
            <w:pPr>
              <w:spacing w:line="240" w:lineRule="exact"/>
              <w:ind w:left="113"/>
              <w:jc w:val="center"/>
              <w:rPr>
                <w:rFonts w:ascii="宋体" w:cs="宋体"/>
              </w:rPr>
            </w:pPr>
          </w:p>
        </w:tc>
        <w:tc>
          <w:tcPr>
            <w:tcW w:w="323" w:type="pct"/>
            <w:vMerge w:val="continue"/>
            <w:vAlign w:val="center"/>
          </w:tcPr>
          <w:p>
            <w:pPr>
              <w:spacing w:line="240" w:lineRule="exact"/>
              <w:jc w:val="center"/>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完成</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hAnsi="宋体" w:cs="宋体"/>
              </w:rPr>
            </w:pPr>
            <w:r>
              <w:rPr>
                <w:rFonts w:hint="eastAsia" w:ascii="宋体" w:hAnsi="宋体" w:cs="宋体"/>
              </w:rPr>
              <w:t>及时率</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4</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质量</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hAnsi="宋体" w:cs="宋体"/>
              </w:rPr>
            </w:pPr>
            <w:r>
              <w:rPr>
                <w:rFonts w:hint="eastAsia" w:ascii="宋体" w:hAnsi="宋体" w:cs="宋体"/>
              </w:rPr>
              <w:t>达标率</w:t>
            </w:r>
          </w:p>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8</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重点</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ascii="宋体" w:cs="宋体"/>
              </w:rPr>
            </w:pPr>
            <w:r>
              <w:rPr>
                <w:rFonts w:hint="eastAsia" w:ascii="宋体" w:hAnsi="宋体" w:cs="宋体"/>
              </w:rPr>
              <w:t>工作</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办结率</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ascii="宋体" w:cs="宋体"/>
              </w:rPr>
            </w:pPr>
            <w:r>
              <w:rPr>
                <w:rFonts w:hint="eastAsia" w:ascii="宋体" w:hAnsi="宋体" w:cs="宋体"/>
              </w:rPr>
              <w:t>（</w:t>
            </w:r>
            <w:r>
              <w:rPr>
                <w:rFonts w:ascii="宋体" w:hAnsi="宋体" w:cs="宋体"/>
              </w:rPr>
              <w:t>10</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eastAsia="宋体" w:cs="宋体"/>
                <w:lang w:val="en-US" w:eastAsia="zh-CN"/>
              </w:rPr>
            </w:pPr>
            <w:r>
              <w:rPr>
                <w:rFonts w:hint="eastAsia" w:ascii="宋体" w:cs="宋体"/>
                <w:lang w:val="en-US" w:eastAsia="zh-CN"/>
              </w:rPr>
              <w:t>10</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部门年度重点工作实际完成数与交办或下达数的比率，用以反映部门对重点工作的办理落实程度。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19"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23"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经济</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ascii="宋体" w:cs="宋体"/>
              </w:rPr>
            </w:pPr>
            <w:r>
              <w:rPr>
                <w:rFonts w:hint="eastAsia" w:ascii="宋体" w:hAnsi="宋体" w:cs="宋体"/>
              </w:rPr>
              <w:t>效益（</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部门履行职责对经济发展所带来的直接或间接影响。</w:t>
            </w:r>
          </w:p>
        </w:tc>
        <w:tc>
          <w:tcPr>
            <w:tcW w:w="1939"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社会</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ascii="宋体" w:cs="宋体"/>
              </w:rPr>
            </w:pPr>
            <w:r>
              <w:rPr>
                <w:rFonts w:hint="eastAsia" w:ascii="宋体" w:hAnsi="宋体" w:cs="宋体"/>
              </w:rPr>
              <w:t>效益（</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部门履行职责对社会发展所带来的直接或间接影响。</w:t>
            </w:r>
          </w:p>
        </w:tc>
        <w:tc>
          <w:tcPr>
            <w:tcW w:w="1939"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生态</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ascii="宋体" w:cs="宋体"/>
              </w:rPr>
            </w:pPr>
            <w:r>
              <w:rPr>
                <w:rFonts w:hint="eastAsia" w:ascii="宋体" w:hAnsi="宋体" w:cs="宋体"/>
              </w:rPr>
              <w:t>效益（</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部门履行职责对生态环境所带来的直接或间接影响。</w:t>
            </w:r>
          </w:p>
        </w:tc>
        <w:tc>
          <w:tcPr>
            <w:tcW w:w="1939"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19" w:type="pct"/>
            <w:vMerge w:val="continue"/>
            <w:vAlign w:val="center"/>
          </w:tcPr>
          <w:p>
            <w:pPr>
              <w:spacing w:line="240" w:lineRule="exact"/>
              <w:rPr>
                <w:rFonts w:ascii="宋体" w:cs="宋体"/>
              </w:rPr>
            </w:pPr>
          </w:p>
        </w:tc>
        <w:tc>
          <w:tcPr>
            <w:tcW w:w="323" w:type="pct"/>
            <w:vMerge w:val="continue"/>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社会公</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众或服</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务对象</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hint="eastAsia" w:ascii="宋体" w:hAnsi="宋体" w:cs="宋体"/>
              </w:rPr>
            </w:pPr>
            <w:r>
              <w:rPr>
                <w:rFonts w:hint="eastAsia" w:ascii="宋体" w:hAnsi="宋体" w:cs="宋体"/>
              </w:rPr>
              <w:t>满意度</w:t>
            </w:r>
          </w:p>
          <w:p>
            <w:pPr>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center"/>
              <w:textAlignment w:val="auto"/>
              <w:rPr>
                <w:rFonts w:ascii="宋体" w:cs="宋体"/>
              </w:rPr>
            </w:pPr>
            <w:r>
              <w:rPr>
                <w:rFonts w:hint="eastAsia" w:ascii="宋体" w:hAnsi="宋体" w:cs="宋体"/>
              </w:rPr>
              <w:t>（</w:t>
            </w:r>
            <w:r>
              <w:rPr>
                <w:rFonts w:ascii="宋体" w:hAnsi="宋体" w:cs="宋体"/>
              </w:rPr>
              <w:t>5</w:t>
            </w:r>
            <w:r>
              <w:rPr>
                <w:rFonts w:hint="eastAsia" w:ascii="宋体" w:hAnsi="宋体" w:cs="宋体"/>
              </w:rPr>
              <w:t>分）</w:t>
            </w: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eastAsia="宋体" w:cs="宋体"/>
                <w:lang w:val="en-US" w:eastAsia="zh-CN"/>
              </w:rPr>
            </w:pPr>
            <w:r>
              <w:rPr>
                <w:rFonts w:hint="eastAsia" w:ascii="宋体" w:cs="宋体"/>
                <w:lang w:val="en-US" w:eastAsia="zh-CN"/>
              </w:rPr>
              <w:t>5</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r>
              <w:rPr>
                <w:rFonts w:hint="eastAsia" w:ascii="宋体" w:hAnsi="宋体" w:cs="宋体"/>
              </w:rPr>
              <w:t>社会公众或部门的服务对象对部门履职效果的满意程度。</w:t>
            </w: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19" w:type="pct"/>
            <w:vAlign w:val="center"/>
          </w:tcPr>
          <w:p>
            <w:pPr>
              <w:spacing w:line="240" w:lineRule="exact"/>
              <w:rPr>
                <w:rFonts w:ascii="宋体" w:cs="宋体"/>
              </w:rPr>
            </w:pPr>
            <w:r>
              <w:rPr>
                <w:rFonts w:hint="eastAsia" w:ascii="宋体" w:hAnsi="宋体" w:cs="宋体"/>
              </w:rPr>
              <w:t>总分</w:t>
            </w:r>
          </w:p>
        </w:tc>
        <w:tc>
          <w:tcPr>
            <w:tcW w:w="323" w:type="pct"/>
            <w:vAlign w:val="center"/>
          </w:tcPr>
          <w:p>
            <w:pPr>
              <w:spacing w:line="240" w:lineRule="exact"/>
              <w:rPr>
                <w:rFonts w:ascii="宋体" w:cs="宋体"/>
              </w:rPr>
            </w:pPr>
          </w:p>
        </w:tc>
        <w:tc>
          <w:tcPr>
            <w:tcW w:w="497" w:type="pct"/>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right="63" w:rightChars="30"/>
              <w:jc w:val="center"/>
              <w:textAlignment w:val="auto"/>
              <w:rPr>
                <w:rFonts w:ascii="宋体" w:cs="宋体"/>
              </w:rPr>
            </w:pPr>
          </w:p>
        </w:tc>
        <w:tc>
          <w:tcPr>
            <w:tcW w:w="407" w:type="pct"/>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cs="宋体" w:eastAsiaTheme="minorEastAsia"/>
                <w:lang w:val="en-US" w:eastAsia="zh-CN"/>
              </w:rPr>
            </w:pPr>
            <w:r>
              <w:rPr>
                <w:rFonts w:hint="eastAsia" w:ascii="宋体" w:cs="宋体"/>
                <w:lang w:val="en-US" w:eastAsia="zh-CN"/>
              </w:rPr>
              <w:t>98</w:t>
            </w:r>
          </w:p>
        </w:tc>
        <w:tc>
          <w:tcPr>
            <w:tcW w:w="1513" w:type="pct"/>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105" w:leftChars="50" w:right="105" w:rightChars="50" w:firstLine="0" w:firstLineChars="0"/>
              <w:textAlignment w:val="auto"/>
              <w:rPr>
                <w:rFonts w:ascii="宋体" w:cs="宋体"/>
              </w:rPr>
            </w:pPr>
          </w:p>
        </w:tc>
        <w:tc>
          <w:tcPr>
            <w:tcW w:w="1939"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C1DC4"/>
    <w:multiLevelType w:val="singleLevel"/>
    <w:tmpl w:val="19AC1D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A980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Subtle Emphasis"/>
    <w:basedOn w:val="4"/>
    <w:unhideWhenUsed/>
    <w:qFormat/>
    <w:uiPriority w:val="19"/>
    <w:rPr>
      <w:rFonts w:hint="default" w:cs="Times New Roman"/>
      <w:i/>
      <w:color w:val="40404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2023-06-17T12:46:33Z</dcterms:created>
  <dc:creator>admin-3</dc:creator>
  <cp:lastModifiedBy>admin-3</cp:lastModifiedBy>
  <dcterms:modified xsi:type="dcterms:W3CDTF">2023-06-17T12:47:14Z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4456E53F18134A6F99214643811D505B_12</vt:lpwstr>
  </property>
</Properties>
</file>