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黑体" w:hAnsi="黑体" w:eastAsia="黑体" w:cs="Times New Roman"/>
          <w:sz w:val="36"/>
          <w:szCs w:val="36"/>
        </w:rPr>
      </w:pPr>
      <w:r>
        <w:rPr>
          <w:rFonts w:hint="eastAsia" w:ascii="黑体" w:hAnsi="黑体" w:eastAsia="黑体" w:cs="黑体"/>
          <w:sz w:val="36"/>
          <w:szCs w:val="36"/>
        </w:rPr>
        <w:t>益阳市赫山区财政局</w:t>
      </w:r>
      <w:r>
        <w:rPr>
          <w:rFonts w:ascii="黑体" w:hAnsi="黑体" w:eastAsia="黑体" w:cs="黑体"/>
          <w:sz w:val="36"/>
          <w:szCs w:val="36"/>
        </w:rPr>
        <w:t>2021</w:t>
      </w:r>
      <w:r>
        <w:rPr>
          <w:rFonts w:hint="eastAsia" w:ascii="黑体" w:hAnsi="黑体" w:eastAsia="黑体" w:cs="黑体"/>
          <w:sz w:val="36"/>
          <w:szCs w:val="36"/>
        </w:rPr>
        <w:t>年度整体支出</w:t>
      </w:r>
    </w:p>
    <w:p>
      <w:pPr>
        <w:spacing w:line="560" w:lineRule="exact"/>
        <w:jc w:val="center"/>
        <w:rPr>
          <w:rFonts w:ascii="黑体" w:hAnsi="黑体" w:eastAsia="黑体" w:cs="Times New Roman"/>
          <w:sz w:val="36"/>
          <w:szCs w:val="36"/>
        </w:rPr>
      </w:pPr>
      <w:r>
        <w:rPr>
          <w:rFonts w:hint="eastAsia" w:ascii="黑体" w:hAnsi="黑体" w:eastAsia="黑体" w:cs="黑体"/>
          <w:sz w:val="36"/>
          <w:szCs w:val="36"/>
        </w:rPr>
        <w:t>绩效评价报告</w:t>
      </w:r>
    </w:p>
    <w:p>
      <w:pPr>
        <w:spacing w:line="560" w:lineRule="exact"/>
        <w:rPr>
          <w:rFonts w:ascii="仿宋_GB2312" w:eastAsia="仿宋_GB2312" w:cs="Times New Roman"/>
          <w:sz w:val="32"/>
          <w:szCs w:val="32"/>
        </w:rPr>
      </w:pPr>
    </w:p>
    <w:p>
      <w:pPr>
        <w:pStyle w:val="4"/>
        <w:shd w:val="clear" w:color="auto" w:fill="FFFFFF"/>
        <w:spacing w:before="0" w:beforeAutospacing="0" w:after="0" w:afterAutospacing="0" w:line="600" w:lineRule="exact"/>
        <w:ind w:firstLine="600" w:firstLineChars="200"/>
        <w:rPr>
          <w:rFonts w:ascii="仿宋" w:hAnsi="仿宋" w:eastAsia="仿宋" w:cs="Times New Roman"/>
          <w:sz w:val="30"/>
          <w:szCs w:val="30"/>
        </w:rPr>
      </w:pPr>
      <w:r>
        <w:rPr>
          <w:rFonts w:hint="eastAsia" w:ascii="仿宋" w:hAnsi="仿宋" w:eastAsia="仿宋" w:cs="仿宋"/>
          <w:sz w:val="30"/>
          <w:szCs w:val="30"/>
        </w:rPr>
        <w:t>根据益赫财绩【</w:t>
      </w:r>
      <w:r>
        <w:rPr>
          <w:rFonts w:ascii="仿宋" w:hAnsi="仿宋" w:eastAsia="仿宋" w:cs="仿宋"/>
          <w:sz w:val="30"/>
          <w:szCs w:val="30"/>
        </w:rPr>
        <w:t>2022</w:t>
      </w:r>
      <w:r>
        <w:rPr>
          <w:rFonts w:hint="eastAsia" w:ascii="仿宋" w:hAnsi="仿宋" w:eastAsia="仿宋" w:cs="仿宋"/>
          <w:sz w:val="30"/>
          <w:szCs w:val="30"/>
        </w:rPr>
        <w:t>】</w:t>
      </w:r>
      <w:r>
        <w:rPr>
          <w:rFonts w:ascii="仿宋" w:hAnsi="仿宋" w:eastAsia="仿宋" w:cs="仿宋"/>
          <w:sz w:val="30"/>
          <w:szCs w:val="30"/>
        </w:rPr>
        <w:t>1</w:t>
      </w:r>
      <w:r>
        <w:rPr>
          <w:rFonts w:hint="eastAsia" w:ascii="仿宋" w:hAnsi="仿宋" w:eastAsia="仿宋" w:cs="仿宋"/>
          <w:sz w:val="30"/>
          <w:szCs w:val="30"/>
        </w:rPr>
        <w:t>号《益阳市赫山区财政局关于做好</w:t>
      </w:r>
      <w:r>
        <w:rPr>
          <w:rFonts w:ascii="仿宋" w:hAnsi="仿宋" w:eastAsia="仿宋" w:cs="仿宋"/>
          <w:sz w:val="30"/>
          <w:szCs w:val="30"/>
        </w:rPr>
        <w:t>2021</w:t>
      </w:r>
      <w:r>
        <w:rPr>
          <w:rFonts w:hint="eastAsia" w:ascii="仿宋" w:hAnsi="仿宋" w:eastAsia="仿宋" w:cs="仿宋"/>
          <w:sz w:val="30"/>
          <w:szCs w:val="30"/>
        </w:rPr>
        <w:t>年度预算绩效自评工作的通知》文件精神，对照《部门整体支出绩效评价指标表》，我局结合工作实际，认真负责、客观公正地开展</w:t>
      </w:r>
      <w:r>
        <w:rPr>
          <w:rFonts w:ascii="仿宋" w:hAnsi="仿宋" w:eastAsia="仿宋" w:cs="仿宋"/>
          <w:sz w:val="30"/>
          <w:szCs w:val="30"/>
        </w:rPr>
        <w:t>2021</w:t>
      </w:r>
      <w:r>
        <w:rPr>
          <w:rFonts w:hint="eastAsia" w:ascii="仿宋" w:hAnsi="仿宋" w:eastAsia="仿宋" w:cs="仿宋"/>
          <w:sz w:val="30"/>
          <w:szCs w:val="30"/>
        </w:rPr>
        <w:t>年度部门整体支出绩效自评工作，现将相关情况报告如下：</w:t>
      </w:r>
    </w:p>
    <w:p>
      <w:pPr>
        <w:spacing w:line="560" w:lineRule="exact"/>
        <w:ind w:firstLine="640" w:firstLineChars="200"/>
        <w:rPr>
          <w:rFonts w:ascii="黑体" w:hAnsi="黑体" w:eastAsia="黑体" w:cs="Times New Roman"/>
          <w:sz w:val="32"/>
          <w:szCs w:val="32"/>
        </w:rPr>
      </w:pPr>
      <w:r>
        <w:rPr>
          <w:rFonts w:hint="eastAsia" w:ascii="黑体" w:hAnsi="黑体" w:eastAsia="黑体" w:cs="黑体"/>
          <w:sz w:val="32"/>
          <w:szCs w:val="32"/>
        </w:rPr>
        <w:t>一、部门主要职责</w:t>
      </w:r>
    </w:p>
    <w:p>
      <w:pPr>
        <w:pStyle w:val="4"/>
        <w:shd w:val="clear" w:color="auto" w:fill="FFFFFF"/>
        <w:spacing w:before="0" w:beforeAutospacing="0" w:after="0" w:afterAutospacing="0" w:line="600" w:lineRule="exact"/>
        <w:ind w:firstLine="600" w:firstLineChars="200"/>
        <w:rPr>
          <w:rFonts w:ascii="仿宋" w:hAnsi="仿宋" w:eastAsia="仿宋" w:cs="Times New Roman"/>
          <w:sz w:val="30"/>
          <w:szCs w:val="30"/>
        </w:rPr>
      </w:pPr>
      <w:r>
        <w:rPr>
          <w:rFonts w:hint="eastAsia" w:ascii="仿宋" w:hAnsi="仿宋" w:eastAsia="仿宋" w:cs="仿宋"/>
          <w:sz w:val="30"/>
          <w:szCs w:val="30"/>
        </w:rPr>
        <w:t>益阳市赫山区财政局是区政府工作部门，为正科级。益阳市赫山区财政局贯彻落实党中央关于财政工作的方针政策和决策部署以及省委、市委、区委的部署要求，在履行职责过程中坚持和加强党对财政工作的集中统一领导。主要职责是：</w:t>
      </w:r>
    </w:p>
    <w:p>
      <w:pPr>
        <w:pStyle w:val="4"/>
        <w:shd w:val="clear" w:color="auto" w:fill="FFFFFF"/>
        <w:spacing w:before="0" w:beforeAutospacing="0" w:after="0" w:afterAutospacing="0" w:line="600" w:lineRule="exact"/>
        <w:ind w:firstLine="600" w:firstLineChars="200"/>
        <w:rPr>
          <w:rFonts w:ascii="仿宋" w:hAnsi="仿宋" w:eastAsia="仿宋" w:cs="Times New Roman"/>
          <w:sz w:val="30"/>
          <w:szCs w:val="30"/>
        </w:rPr>
      </w:pPr>
      <w:r>
        <w:rPr>
          <w:rFonts w:hint="eastAsia" w:ascii="仿宋" w:hAnsi="仿宋" w:eastAsia="仿宋" w:cs="仿宋"/>
          <w:sz w:val="30"/>
          <w:szCs w:val="30"/>
        </w:rPr>
        <w:t>（一）组织贯彻执行国家财税方针政策，拟订和执行全区财政政策、改革方案，指导全区财政工作；分析预测宏观经济形势，参与拟订各项宏观经济政策；提出运用财税政策实施宏观调控和综合平衡社会财力的建议；拟订和执行区与乡镇、街道、园区，政府与企业的分配政策，完善鼓励公益事业发展的财税政策。</w:t>
      </w:r>
    </w:p>
    <w:p>
      <w:pPr>
        <w:pStyle w:val="4"/>
        <w:shd w:val="clear" w:color="auto" w:fill="FFFFFF"/>
        <w:spacing w:before="0" w:beforeAutospacing="0" w:after="0" w:afterAutospacing="0" w:line="600" w:lineRule="exact"/>
        <w:ind w:firstLine="600" w:firstLineChars="200"/>
        <w:rPr>
          <w:rFonts w:ascii="仿宋" w:hAnsi="仿宋" w:eastAsia="仿宋" w:cs="Times New Roman"/>
          <w:sz w:val="30"/>
          <w:szCs w:val="30"/>
        </w:rPr>
      </w:pPr>
      <w:r>
        <w:rPr>
          <w:rFonts w:hint="eastAsia" w:ascii="仿宋" w:hAnsi="仿宋" w:eastAsia="仿宋" w:cs="仿宋"/>
          <w:sz w:val="30"/>
          <w:szCs w:val="30"/>
        </w:rPr>
        <w:t>（二）制定和执行财政、财务、会计管理制度，参与政府投融资等方面的谈判并签订有关协议、协定。</w:t>
      </w:r>
    </w:p>
    <w:p>
      <w:pPr>
        <w:pStyle w:val="4"/>
        <w:shd w:val="clear" w:color="auto" w:fill="FFFFFF"/>
        <w:spacing w:before="0" w:beforeAutospacing="0" w:after="0" w:afterAutospacing="0" w:line="600" w:lineRule="exact"/>
        <w:ind w:firstLine="600" w:firstLineChars="200"/>
        <w:rPr>
          <w:rFonts w:ascii="仿宋" w:hAnsi="仿宋" w:eastAsia="仿宋" w:cs="Times New Roman"/>
          <w:sz w:val="30"/>
          <w:szCs w:val="30"/>
        </w:rPr>
      </w:pPr>
      <w:r>
        <w:rPr>
          <w:rFonts w:hint="eastAsia" w:ascii="仿宋" w:hAnsi="仿宋" w:eastAsia="仿宋" w:cs="仿宋"/>
          <w:sz w:val="30"/>
          <w:szCs w:val="30"/>
        </w:rPr>
        <w:t>（三）承担区本级各项财政收支管理的职责。加强预算管理，深化预算管理制度改革；负责编制中期财政规划；负责编制权责发生制政府综合财务报告；负责编制年度区本级预决算草案并组织执行；汇编全区财政收支预算、决算；受区人民政府委托，向区人民代表大会报告全区、区本级预算草案及其预算执行情况，向区人大常委会报告财政总预算和预算调整草案；组织制定区本级经费开支标准、定额，负责审核批复部门（单位）的年度预决算；推进预决算公开工作。</w:t>
      </w:r>
    </w:p>
    <w:p>
      <w:pPr>
        <w:pStyle w:val="4"/>
        <w:shd w:val="clear" w:color="auto" w:fill="FFFFFF"/>
        <w:spacing w:before="0" w:beforeAutospacing="0" w:after="0" w:afterAutospacing="0" w:line="600" w:lineRule="exact"/>
        <w:ind w:firstLine="600" w:firstLineChars="200"/>
        <w:rPr>
          <w:rFonts w:ascii="仿宋" w:hAnsi="仿宋" w:eastAsia="仿宋" w:cs="Times New Roman"/>
          <w:sz w:val="30"/>
          <w:szCs w:val="30"/>
        </w:rPr>
      </w:pPr>
      <w:r>
        <w:rPr>
          <w:rFonts w:hint="eastAsia" w:ascii="仿宋" w:hAnsi="仿宋" w:eastAsia="仿宋" w:cs="仿宋"/>
          <w:sz w:val="30"/>
          <w:szCs w:val="30"/>
        </w:rPr>
        <w:t>（四）负责政府非税收入管理，负责政府性基金管理，按规定管理行政事业性收费，管理财政票据；会同有关部门监督和管理彩票公益金，管理其他彩票资金。</w:t>
      </w:r>
    </w:p>
    <w:p>
      <w:pPr>
        <w:pStyle w:val="4"/>
        <w:shd w:val="clear" w:color="auto" w:fill="FFFFFF"/>
        <w:spacing w:before="0" w:beforeAutospacing="0" w:after="0" w:afterAutospacing="0" w:line="600" w:lineRule="exact"/>
        <w:ind w:firstLine="600" w:firstLineChars="200"/>
        <w:rPr>
          <w:rFonts w:ascii="仿宋" w:hAnsi="仿宋" w:eastAsia="仿宋" w:cs="Times New Roman"/>
          <w:sz w:val="30"/>
          <w:szCs w:val="30"/>
        </w:rPr>
      </w:pPr>
      <w:r>
        <w:rPr>
          <w:rFonts w:hint="eastAsia" w:ascii="仿宋" w:hAnsi="仿宋" w:eastAsia="仿宋" w:cs="仿宋"/>
          <w:sz w:val="30"/>
          <w:szCs w:val="30"/>
        </w:rPr>
        <w:t>（五）组织制定国库管理制度、国库集中收付制度，指导、监督和经办区本级国库业务，按规定开展国库现金管理工作；负责制定政府采购制度并监督执行。</w:t>
      </w:r>
    </w:p>
    <w:p>
      <w:pPr>
        <w:pStyle w:val="4"/>
        <w:shd w:val="clear" w:color="auto" w:fill="FFFFFF"/>
        <w:spacing w:before="0" w:beforeAutospacing="0" w:after="0" w:afterAutospacing="0" w:line="600" w:lineRule="exact"/>
        <w:ind w:firstLine="600" w:firstLineChars="200"/>
        <w:rPr>
          <w:rFonts w:ascii="仿宋" w:hAnsi="仿宋" w:eastAsia="仿宋" w:cs="Times New Roman"/>
          <w:sz w:val="30"/>
          <w:szCs w:val="30"/>
        </w:rPr>
      </w:pPr>
      <w:r>
        <w:rPr>
          <w:rFonts w:hint="eastAsia" w:ascii="仿宋" w:hAnsi="仿宋" w:eastAsia="仿宋" w:cs="仿宋"/>
          <w:sz w:val="30"/>
          <w:szCs w:val="30"/>
        </w:rPr>
        <w:t>（六）贯彻执行国家税收法律、行政法规和税收调整政策，反馈政策执行情况，提出调整建议。</w:t>
      </w:r>
    </w:p>
    <w:p>
      <w:pPr>
        <w:pStyle w:val="4"/>
        <w:shd w:val="clear" w:color="auto" w:fill="FFFFFF"/>
        <w:spacing w:before="0" w:beforeAutospacing="0" w:after="0" w:afterAutospacing="0" w:line="600" w:lineRule="exact"/>
        <w:ind w:firstLine="600" w:firstLineChars="200"/>
        <w:rPr>
          <w:rFonts w:ascii="仿宋" w:hAnsi="仿宋" w:eastAsia="仿宋" w:cs="Times New Roman"/>
          <w:sz w:val="30"/>
          <w:szCs w:val="30"/>
        </w:rPr>
      </w:pPr>
      <w:r>
        <w:rPr>
          <w:rFonts w:hint="eastAsia" w:ascii="仿宋" w:hAnsi="仿宋" w:eastAsia="仿宋" w:cs="仿宋"/>
          <w:sz w:val="30"/>
          <w:szCs w:val="30"/>
        </w:rPr>
        <w:t>（七）负责拟订全区行政事业单位国有资产管理规章制度，按规定管理区本级行政事业单位国有资产；负责区本级国有资产、财政股权投资管理工作；负责财政预算内行政、事业单位和社会团体的非贸易外汇管理。</w:t>
      </w:r>
    </w:p>
    <w:p>
      <w:pPr>
        <w:pStyle w:val="4"/>
        <w:shd w:val="clear" w:color="auto" w:fill="FFFFFF"/>
        <w:spacing w:before="0" w:beforeAutospacing="0" w:after="0" w:afterAutospacing="0" w:line="600" w:lineRule="exact"/>
        <w:ind w:firstLine="600" w:firstLineChars="200"/>
        <w:rPr>
          <w:rFonts w:ascii="仿宋" w:hAnsi="仿宋" w:eastAsia="仿宋" w:cs="Times New Roman"/>
          <w:sz w:val="30"/>
          <w:szCs w:val="30"/>
        </w:rPr>
      </w:pPr>
      <w:r>
        <w:rPr>
          <w:rFonts w:hint="eastAsia" w:ascii="仿宋" w:hAnsi="仿宋" w:eastAsia="仿宋" w:cs="仿宋"/>
          <w:sz w:val="30"/>
          <w:szCs w:val="30"/>
        </w:rPr>
        <w:t>（八）负责审核和汇总编制全区国有资本经营预决算草案，制定国有资本经营预算的制度和办法，收取区本级企业国有资本收益，组织实施企业财务制度，按规定管理地方金融类企业国有资产，参与拟订企业国有资产管理相关制度，按规定管理资产评估工作，参与国有企业改革，负责区属国有企业改革相关的财政财务工作。</w:t>
      </w:r>
    </w:p>
    <w:p>
      <w:pPr>
        <w:tabs>
          <w:tab w:val="left" w:pos="3511"/>
        </w:tabs>
        <w:spacing w:line="600" w:lineRule="exact"/>
        <w:ind w:firstLine="600" w:firstLineChars="200"/>
        <w:jc w:val="left"/>
        <w:rPr>
          <w:rFonts w:ascii="仿宋" w:hAnsi="仿宋" w:eastAsia="仿宋" w:cs="Times New Roman"/>
          <w:sz w:val="30"/>
          <w:szCs w:val="30"/>
        </w:rPr>
      </w:pPr>
      <w:r>
        <w:rPr>
          <w:rFonts w:hint="eastAsia" w:ascii="仿宋" w:hAnsi="仿宋" w:eastAsia="仿宋" w:cs="仿宋"/>
          <w:sz w:val="30"/>
          <w:szCs w:val="30"/>
        </w:rPr>
        <w:t>（九）负责办理和监督区财政经济发展支出、区级政府性投资项目的财政拨款，参与拟订区建设投资的有关政策，负责有关政策性补助和专项资金财政管理工作。</w:t>
      </w:r>
    </w:p>
    <w:p>
      <w:pPr>
        <w:pStyle w:val="4"/>
        <w:shd w:val="clear" w:color="auto" w:fill="FFFFFF"/>
        <w:spacing w:before="0" w:beforeAutospacing="0" w:after="0" w:afterAutospacing="0" w:line="600" w:lineRule="exact"/>
        <w:ind w:firstLine="600" w:firstLineChars="200"/>
        <w:rPr>
          <w:rFonts w:ascii="仿宋" w:hAnsi="仿宋" w:eastAsia="仿宋" w:cs="Times New Roman"/>
          <w:sz w:val="30"/>
          <w:szCs w:val="30"/>
        </w:rPr>
      </w:pPr>
      <w:r>
        <w:rPr>
          <w:rFonts w:hint="eastAsia" w:ascii="仿宋" w:hAnsi="仿宋" w:eastAsia="仿宋" w:cs="仿宋"/>
          <w:sz w:val="30"/>
          <w:szCs w:val="30"/>
        </w:rPr>
        <w:t>（十）汇总和编制全区及区本级社会保险基金预决算草案；会同有关部门管理全区财政社会保障和就业及医疗卫生支出，组织实施社会保障资金（基金）的财务管理制度。</w:t>
      </w:r>
    </w:p>
    <w:p>
      <w:pPr>
        <w:pStyle w:val="4"/>
        <w:shd w:val="clear" w:color="auto" w:fill="FFFFFF"/>
        <w:spacing w:before="0" w:beforeAutospacing="0" w:after="0" w:afterAutospacing="0" w:line="600" w:lineRule="exact"/>
        <w:ind w:firstLine="600" w:firstLineChars="200"/>
        <w:rPr>
          <w:rFonts w:ascii="仿宋" w:hAnsi="仿宋" w:eastAsia="仿宋" w:cs="Times New Roman"/>
          <w:sz w:val="30"/>
          <w:szCs w:val="30"/>
        </w:rPr>
      </w:pPr>
      <w:r>
        <w:rPr>
          <w:rFonts w:hint="eastAsia" w:ascii="仿宋" w:hAnsi="仿宋" w:eastAsia="仿宋" w:cs="仿宋"/>
          <w:sz w:val="30"/>
          <w:szCs w:val="30"/>
        </w:rPr>
        <w:t>（十一）贯彻执行政府性债务管理的政策、制度，负责政府性债务管理的日常工作，防范财政风险；编制区本级权责发生制政府综合财务报告，报告政府整体财务状况、运行情况；研究和加强地方政府性债务管理的政策、措施；编制地方政府性债务预算（计划），防范地方政府债务风险；推广</w:t>
      </w:r>
      <w:r>
        <w:rPr>
          <w:rFonts w:ascii="仿宋" w:hAnsi="仿宋" w:eastAsia="仿宋" w:cs="仿宋"/>
          <w:sz w:val="30"/>
          <w:szCs w:val="30"/>
        </w:rPr>
        <w:t>PPP</w:t>
      </w:r>
      <w:r>
        <w:rPr>
          <w:rFonts w:hint="eastAsia" w:ascii="仿宋" w:hAnsi="仿宋" w:eastAsia="仿宋" w:cs="仿宋"/>
          <w:sz w:val="30"/>
          <w:szCs w:val="30"/>
        </w:rPr>
        <w:t>模式，完善政府投融资体制，吸引社会资本参与政府公共产品和服务项目建设，完善财政投入及管理方式，提高政府投资的效率；负责统一管理区政府外债，制定基本管理制度；按规定管理外国政府和国际金融组织贷（赠）款；承担财税领域交流与合作的具体工作。</w:t>
      </w:r>
    </w:p>
    <w:p>
      <w:pPr>
        <w:pStyle w:val="4"/>
        <w:shd w:val="clear" w:color="auto" w:fill="FFFFFF"/>
        <w:spacing w:before="0" w:beforeAutospacing="0" w:after="0" w:afterAutospacing="0" w:line="600" w:lineRule="exact"/>
        <w:ind w:firstLine="600" w:firstLineChars="200"/>
        <w:rPr>
          <w:rFonts w:ascii="仿宋" w:hAnsi="仿宋" w:eastAsia="仿宋" w:cs="Times New Roman"/>
          <w:sz w:val="30"/>
          <w:szCs w:val="30"/>
        </w:rPr>
      </w:pPr>
      <w:r>
        <w:rPr>
          <w:rFonts w:hint="eastAsia" w:ascii="仿宋" w:hAnsi="仿宋" w:eastAsia="仿宋" w:cs="仿宋"/>
          <w:sz w:val="30"/>
          <w:szCs w:val="30"/>
        </w:rPr>
        <w:t>（十二）负责预算绩效管理；承担财政投资的评审工作；推进政府向社会购买服务。</w:t>
      </w:r>
    </w:p>
    <w:p>
      <w:pPr>
        <w:pStyle w:val="4"/>
        <w:shd w:val="clear" w:color="auto" w:fill="FFFFFF"/>
        <w:spacing w:before="0" w:beforeAutospacing="0" w:after="0" w:afterAutospacing="0" w:line="600" w:lineRule="exact"/>
        <w:ind w:firstLine="600" w:firstLineChars="200"/>
        <w:rPr>
          <w:rFonts w:ascii="仿宋" w:hAnsi="仿宋" w:eastAsia="仿宋" w:cs="Times New Roman"/>
          <w:sz w:val="30"/>
          <w:szCs w:val="30"/>
        </w:rPr>
      </w:pPr>
      <w:r>
        <w:rPr>
          <w:rFonts w:hint="eastAsia" w:ascii="仿宋" w:hAnsi="仿宋" w:eastAsia="仿宋" w:cs="仿宋"/>
          <w:sz w:val="30"/>
          <w:szCs w:val="30"/>
        </w:rPr>
        <w:t>（十三）负责管理全区的会计工作，监督和规范会计行为，组织实施国家统一的会计制度，组织实施会计行政法规、规章，指导和管理社会审计。</w:t>
      </w:r>
    </w:p>
    <w:p>
      <w:pPr>
        <w:pStyle w:val="4"/>
        <w:shd w:val="clear" w:color="auto" w:fill="FFFFFF"/>
        <w:spacing w:before="0" w:beforeAutospacing="0" w:after="0" w:afterAutospacing="0" w:line="600" w:lineRule="exact"/>
        <w:ind w:firstLine="600" w:firstLineChars="200"/>
        <w:rPr>
          <w:rFonts w:ascii="仿宋" w:hAnsi="仿宋" w:eastAsia="仿宋" w:cs="Times New Roman"/>
          <w:sz w:val="30"/>
          <w:szCs w:val="30"/>
        </w:rPr>
      </w:pPr>
      <w:r>
        <w:rPr>
          <w:rFonts w:hint="eastAsia" w:ascii="仿宋" w:hAnsi="仿宋" w:eastAsia="仿宋" w:cs="仿宋"/>
          <w:sz w:val="30"/>
          <w:szCs w:val="30"/>
        </w:rPr>
        <w:t>（十四）监督检查财税法规、政策的执行情况，反映财政收支管理中的重大问题，提出加强财政管理的意见建议。</w:t>
      </w:r>
    </w:p>
    <w:p>
      <w:pPr>
        <w:pStyle w:val="4"/>
        <w:shd w:val="clear" w:color="auto" w:fill="FFFFFF"/>
        <w:spacing w:before="0" w:beforeAutospacing="0" w:after="0" w:afterAutospacing="0" w:line="600" w:lineRule="exact"/>
        <w:ind w:firstLine="600" w:firstLineChars="200"/>
        <w:rPr>
          <w:rFonts w:ascii="仿宋" w:hAnsi="仿宋" w:eastAsia="仿宋" w:cs="Times New Roman"/>
          <w:sz w:val="30"/>
          <w:szCs w:val="30"/>
        </w:rPr>
      </w:pPr>
      <w:r>
        <w:rPr>
          <w:rFonts w:hint="eastAsia" w:ascii="仿宋" w:hAnsi="仿宋" w:eastAsia="仿宋" w:cs="仿宋"/>
          <w:sz w:val="30"/>
          <w:szCs w:val="30"/>
        </w:rPr>
        <w:t>（十五）负责制订全区财政教育规划，组织全区财政人员的培训，管理全区财政干部人员编制和人员异动工作。</w:t>
      </w:r>
    </w:p>
    <w:p>
      <w:pPr>
        <w:pStyle w:val="4"/>
        <w:shd w:val="clear" w:color="auto" w:fill="FFFFFF"/>
        <w:spacing w:before="0" w:beforeAutospacing="0" w:after="0" w:afterAutospacing="0" w:line="600" w:lineRule="exact"/>
        <w:ind w:firstLine="600" w:firstLineChars="200"/>
        <w:rPr>
          <w:rFonts w:ascii="仿宋" w:hAnsi="仿宋" w:eastAsia="仿宋" w:cs="Times New Roman"/>
          <w:sz w:val="30"/>
          <w:szCs w:val="30"/>
        </w:rPr>
      </w:pPr>
      <w:r>
        <w:rPr>
          <w:rFonts w:hint="eastAsia" w:ascii="仿宋" w:hAnsi="仿宋" w:eastAsia="仿宋" w:cs="仿宋"/>
          <w:sz w:val="30"/>
          <w:szCs w:val="30"/>
        </w:rPr>
        <w:t>（十六）完成区委、区人民政府交办的其他任务。</w:t>
      </w:r>
    </w:p>
    <w:p>
      <w:pPr>
        <w:pStyle w:val="4"/>
        <w:shd w:val="clear" w:color="auto" w:fill="FFFFFF"/>
        <w:spacing w:before="0" w:beforeAutospacing="0" w:after="0" w:afterAutospacing="0" w:line="600" w:lineRule="exact"/>
        <w:ind w:firstLine="600" w:firstLineChars="200"/>
        <w:rPr>
          <w:rFonts w:ascii="仿宋" w:hAnsi="仿宋" w:eastAsia="仿宋" w:cs="Times New Roman"/>
          <w:sz w:val="30"/>
          <w:szCs w:val="30"/>
        </w:rPr>
      </w:pPr>
      <w:r>
        <w:rPr>
          <w:rFonts w:hint="eastAsia" w:ascii="仿宋" w:hAnsi="仿宋" w:eastAsia="仿宋" w:cs="仿宋"/>
          <w:sz w:val="30"/>
          <w:szCs w:val="30"/>
        </w:rPr>
        <w:t>（十七）职能转变。划出区农业综合开发项目管理职责和区农业开发办公室的职责；划出预算执行情况、其他财政收支情况的监督检查职责以及国有企业监事会和国有企业领导干部经济责任审计的职责。</w:t>
      </w:r>
    </w:p>
    <w:p>
      <w:pPr>
        <w:pStyle w:val="4"/>
        <w:shd w:val="clear" w:color="auto" w:fill="FFFFFF"/>
        <w:spacing w:before="0" w:beforeAutospacing="0" w:after="0" w:afterAutospacing="0" w:line="600" w:lineRule="exact"/>
        <w:ind w:firstLine="600" w:firstLineChars="200"/>
        <w:rPr>
          <w:rFonts w:ascii="黑体" w:hAnsi="黑体" w:eastAsia="黑体" w:cs="Times New Roman"/>
          <w:sz w:val="30"/>
          <w:szCs w:val="30"/>
        </w:rPr>
      </w:pPr>
      <w:r>
        <w:rPr>
          <w:rFonts w:hint="eastAsia" w:ascii="黑体" w:hAnsi="黑体" w:eastAsia="黑体" w:cs="黑体"/>
          <w:sz w:val="30"/>
          <w:szCs w:val="30"/>
        </w:rPr>
        <w:t>二、部门概况</w:t>
      </w:r>
    </w:p>
    <w:p>
      <w:pPr>
        <w:pStyle w:val="4"/>
        <w:shd w:val="clear" w:color="auto" w:fill="FFFFFF"/>
        <w:spacing w:before="0" w:beforeAutospacing="0" w:after="0" w:afterAutospacing="0" w:line="600" w:lineRule="exact"/>
        <w:ind w:firstLine="600" w:firstLineChars="200"/>
        <w:rPr>
          <w:rFonts w:ascii="仿宋" w:hAnsi="仿宋" w:eastAsia="仿宋" w:cs="Times New Roman"/>
          <w:sz w:val="30"/>
          <w:szCs w:val="30"/>
        </w:rPr>
      </w:pPr>
      <w:r>
        <w:rPr>
          <w:rFonts w:hint="eastAsia" w:ascii="仿宋" w:hAnsi="仿宋" w:eastAsia="仿宋" w:cs="仿宋"/>
          <w:sz w:val="30"/>
          <w:szCs w:val="30"/>
        </w:rPr>
        <w:t>赫山区财政局系一级预算行政单位，有</w:t>
      </w:r>
      <w:r>
        <w:rPr>
          <w:rFonts w:ascii="仿宋" w:hAnsi="仿宋" w:eastAsia="仿宋" w:cs="仿宋"/>
          <w:sz w:val="30"/>
          <w:szCs w:val="30"/>
        </w:rPr>
        <w:t>17</w:t>
      </w:r>
      <w:r>
        <w:rPr>
          <w:rFonts w:hint="eastAsia" w:ascii="仿宋" w:hAnsi="仿宋" w:eastAsia="仿宋" w:cs="仿宋"/>
          <w:sz w:val="30"/>
          <w:szCs w:val="30"/>
        </w:rPr>
        <w:t>个内设股室，分别是：办公室、综合规划股、政策法规股（政务服务股）、预算股、国库股、行政政法教科文股、经济建设股、农业股、社会保障股、企业股（对外经济贸易股）、资产管理股（对外称“国有资产管理局”）、金融与债务股（政府性债务领导小组办公室）、政府采购股、信息股、财政监督股、人事股、财源办、乡镇财政管理股。下设</w:t>
      </w:r>
      <w:r>
        <w:rPr>
          <w:rFonts w:ascii="仿宋" w:hAnsi="仿宋" w:eastAsia="仿宋" w:cs="仿宋"/>
          <w:sz w:val="30"/>
          <w:szCs w:val="30"/>
        </w:rPr>
        <w:t>3</w:t>
      </w:r>
      <w:r>
        <w:rPr>
          <w:rFonts w:hint="eastAsia" w:ascii="仿宋" w:hAnsi="仿宋" w:eastAsia="仿宋" w:cs="仿宋"/>
          <w:sz w:val="30"/>
          <w:szCs w:val="30"/>
        </w:rPr>
        <w:t>个二级机构，分别是益阳市赫山区国库集中支付核算中心、益阳市赫山区财政投资评审中心、益阳市赫山区财政事务管理中心。仅益阳市赫山区国库集中支付核算中心为独立核算单位。</w:t>
      </w:r>
    </w:p>
    <w:p>
      <w:pPr>
        <w:pStyle w:val="4"/>
        <w:shd w:val="clear" w:color="auto" w:fill="FFFFFF"/>
        <w:spacing w:before="0" w:beforeAutospacing="0" w:after="0" w:afterAutospacing="0" w:line="600" w:lineRule="exact"/>
        <w:ind w:firstLine="600" w:firstLineChars="200"/>
        <w:rPr>
          <w:rFonts w:ascii="仿宋" w:hAnsi="仿宋" w:eastAsia="仿宋" w:cs="Times New Roman"/>
          <w:sz w:val="30"/>
          <w:szCs w:val="30"/>
        </w:rPr>
      </w:pPr>
      <w:r>
        <w:rPr>
          <w:rFonts w:hint="eastAsia" w:ascii="仿宋" w:hAnsi="仿宋" w:eastAsia="仿宋" w:cs="仿宋"/>
          <w:sz w:val="30"/>
          <w:szCs w:val="30"/>
        </w:rPr>
        <w:t>下设</w:t>
      </w:r>
      <w:r>
        <w:rPr>
          <w:rFonts w:ascii="仿宋" w:hAnsi="仿宋" w:eastAsia="仿宋" w:cs="仿宋"/>
          <w:sz w:val="30"/>
          <w:szCs w:val="30"/>
        </w:rPr>
        <w:t>3</w:t>
      </w:r>
      <w:r>
        <w:rPr>
          <w:rFonts w:hint="eastAsia" w:ascii="仿宋" w:hAnsi="仿宋" w:eastAsia="仿宋" w:cs="仿宋"/>
          <w:sz w:val="30"/>
          <w:szCs w:val="30"/>
        </w:rPr>
        <w:t>个二级机构，分别是益阳市赫山区国库集中支付核算中心、益阳市赫山区财政投资评审中心、益阳市赫山区财政事务中心。仅益阳市赫山区国库集中支付核算中心为独立核算单位。</w:t>
      </w:r>
    </w:p>
    <w:p>
      <w:pPr>
        <w:pStyle w:val="4"/>
        <w:shd w:val="clear" w:color="auto" w:fill="FFFFFF"/>
        <w:spacing w:before="0" w:beforeAutospacing="0" w:after="0" w:afterAutospacing="0" w:line="600" w:lineRule="exact"/>
        <w:ind w:firstLine="600" w:firstLineChars="200"/>
        <w:rPr>
          <w:rFonts w:ascii="仿宋" w:hAnsi="仿宋" w:eastAsia="仿宋" w:cs="Times New Roman"/>
          <w:sz w:val="30"/>
          <w:szCs w:val="30"/>
        </w:rPr>
      </w:pPr>
      <w:r>
        <w:rPr>
          <w:rFonts w:hint="eastAsia" w:ascii="仿宋" w:hAnsi="仿宋" w:eastAsia="仿宋" w:cs="仿宋"/>
          <w:sz w:val="30"/>
          <w:szCs w:val="30"/>
        </w:rPr>
        <w:t>全局机关</w:t>
      </w:r>
      <w:r>
        <w:rPr>
          <w:rFonts w:ascii="仿宋" w:hAnsi="仿宋" w:eastAsia="仿宋" w:cs="仿宋"/>
          <w:sz w:val="30"/>
          <w:szCs w:val="30"/>
        </w:rPr>
        <w:t>2021</w:t>
      </w:r>
      <w:r>
        <w:rPr>
          <w:rFonts w:hint="eastAsia" w:ascii="仿宋" w:hAnsi="仿宋" w:eastAsia="仿宋" w:cs="仿宋"/>
          <w:sz w:val="30"/>
          <w:szCs w:val="30"/>
        </w:rPr>
        <w:t>年</w:t>
      </w:r>
      <w:r>
        <w:rPr>
          <w:rFonts w:ascii="仿宋" w:hAnsi="仿宋" w:eastAsia="仿宋" w:cs="仿宋"/>
          <w:sz w:val="30"/>
          <w:szCs w:val="30"/>
        </w:rPr>
        <w:t>12</w:t>
      </w:r>
      <w:r>
        <w:rPr>
          <w:rFonts w:hint="eastAsia" w:ascii="仿宋" w:hAnsi="仿宋" w:eastAsia="仿宋" w:cs="仿宋"/>
          <w:sz w:val="30"/>
          <w:szCs w:val="30"/>
        </w:rPr>
        <w:t>月</w:t>
      </w:r>
      <w:r>
        <w:rPr>
          <w:rFonts w:ascii="仿宋" w:hAnsi="仿宋" w:eastAsia="仿宋" w:cs="仿宋"/>
          <w:sz w:val="30"/>
          <w:szCs w:val="30"/>
        </w:rPr>
        <w:t>31</w:t>
      </w:r>
      <w:r>
        <w:rPr>
          <w:rFonts w:hint="eastAsia" w:ascii="仿宋" w:hAnsi="仿宋" w:eastAsia="仿宋" w:cs="仿宋"/>
          <w:sz w:val="30"/>
          <w:szCs w:val="30"/>
        </w:rPr>
        <w:t>日止共有在职工作人员</w:t>
      </w:r>
      <w:r>
        <w:rPr>
          <w:rFonts w:ascii="仿宋" w:hAnsi="仿宋" w:eastAsia="仿宋" w:cs="仿宋"/>
          <w:sz w:val="30"/>
          <w:szCs w:val="30"/>
        </w:rPr>
        <w:t>88</w:t>
      </w:r>
      <w:r>
        <w:rPr>
          <w:rFonts w:hint="eastAsia" w:ascii="仿宋" w:hAnsi="仿宋" w:eastAsia="仿宋" w:cs="仿宋"/>
          <w:sz w:val="30"/>
          <w:szCs w:val="30"/>
        </w:rPr>
        <w:t>人，离休干部</w:t>
      </w:r>
      <w:r>
        <w:rPr>
          <w:rFonts w:ascii="仿宋" w:hAnsi="仿宋" w:eastAsia="仿宋" w:cs="仿宋"/>
          <w:sz w:val="30"/>
          <w:szCs w:val="30"/>
        </w:rPr>
        <w:t>1</w:t>
      </w:r>
      <w:r>
        <w:rPr>
          <w:rFonts w:hint="eastAsia" w:ascii="仿宋" w:hAnsi="仿宋" w:eastAsia="仿宋" w:cs="仿宋"/>
          <w:sz w:val="30"/>
          <w:szCs w:val="30"/>
        </w:rPr>
        <w:t>人，社保发退休工资人员</w:t>
      </w:r>
      <w:r>
        <w:rPr>
          <w:rFonts w:ascii="仿宋" w:hAnsi="仿宋" w:eastAsia="仿宋" w:cs="仿宋"/>
          <w:sz w:val="30"/>
          <w:szCs w:val="30"/>
        </w:rPr>
        <w:t>48</w:t>
      </w:r>
      <w:r>
        <w:rPr>
          <w:rFonts w:hint="eastAsia" w:ascii="仿宋" w:hAnsi="仿宋" w:eastAsia="仿宋" w:cs="仿宋"/>
          <w:sz w:val="30"/>
          <w:szCs w:val="30"/>
        </w:rPr>
        <w:t>人。</w:t>
      </w:r>
    </w:p>
    <w:p>
      <w:pPr>
        <w:pStyle w:val="4"/>
        <w:shd w:val="clear" w:color="auto" w:fill="FFFFFF"/>
        <w:spacing w:before="0" w:beforeAutospacing="0" w:after="0" w:afterAutospacing="0" w:line="600" w:lineRule="exact"/>
        <w:ind w:firstLine="600" w:firstLineChars="200"/>
        <w:rPr>
          <w:rFonts w:ascii="黑体" w:hAnsi="黑体" w:eastAsia="黑体" w:cs="Times New Roman"/>
          <w:sz w:val="30"/>
          <w:szCs w:val="30"/>
        </w:rPr>
      </w:pPr>
      <w:r>
        <w:rPr>
          <w:rFonts w:hint="eastAsia" w:ascii="黑体" w:hAnsi="黑体" w:eastAsia="黑体" w:cs="黑体"/>
          <w:sz w:val="30"/>
          <w:szCs w:val="30"/>
        </w:rPr>
        <w:t>三、一般公共预算支出情况</w:t>
      </w:r>
    </w:p>
    <w:p>
      <w:pPr>
        <w:pStyle w:val="4"/>
        <w:shd w:val="clear" w:color="auto" w:fill="FFFFFF"/>
        <w:spacing w:before="0" w:beforeAutospacing="0" w:after="0" w:afterAutospacing="0" w:line="600" w:lineRule="exact"/>
        <w:ind w:firstLine="602" w:firstLineChars="200"/>
        <w:rPr>
          <w:rFonts w:ascii="仿宋" w:hAnsi="仿宋" w:eastAsia="仿宋" w:cs="Times New Roman"/>
          <w:b/>
          <w:bCs/>
          <w:sz w:val="30"/>
          <w:szCs w:val="30"/>
        </w:rPr>
      </w:pPr>
      <w:r>
        <w:rPr>
          <w:rFonts w:hint="eastAsia" w:ascii="仿宋" w:hAnsi="仿宋" w:eastAsia="仿宋" w:cs="仿宋"/>
          <w:b/>
          <w:bCs/>
          <w:sz w:val="30"/>
          <w:szCs w:val="30"/>
        </w:rPr>
        <w:t>（一）基本支出情况</w:t>
      </w:r>
    </w:p>
    <w:p>
      <w:pPr>
        <w:spacing w:line="600" w:lineRule="exact"/>
        <w:ind w:firstLine="600" w:firstLineChars="200"/>
        <w:rPr>
          <w:rFonts w:ascii="仿宋" w:hAnsi="仿宋" w:eastAsia="仿宋" w:cs="Times New Roman"/>
          <w:sz w:val="30"/>
          <w:szCs w:val="30"/>
        </w:rPr>
      </w:pPr>
      <w:r>
        <w:rPr>
          <w:rFonts w:ascii="仿宋" w:hAnsi="仿宋" w:eastAsia="仿宋" w:cs="仿宋"/>
          <w:sz w:val="30"/>
          <w:szCs w:val="30"/>
        </w:rPr>
        <w:t>2021</w:t>
      </w:r>
      <w:r>
        <w:rPr>
          <w:rFonts w:hint="eastAsia" w:ascii="仿宋" w:hAnsi="仿宋" w:eastAsia="仿宋" w:cs="仿宋"/>
          <w:sz w:val="30"/>
          <w:szCs w:val="30"/>
        </w:rPr>
        <w:t>收入一般公共预算财政拨款支出决算数</w:t>
      </w:r>
      <w:r>
        <w:rPr>
          <w:rFonts w:ascii="仿宋" w:hAnsi="仿宋" w:eastAsia="仿宋" w:cs="仿宋"/>
          <w:sz w:val="30"/>
          <w:szCs w:val="30"/>
        </w:rPr>
        <w:t>1931.08</w:t>
      </w:r>
      <w:r>
        <w:rPr>
          <w:rFonts w:hint="eastAsia" w:ascii="仿宋" w:hAnsi="仿宋" w:eastAsia="仿宋" w:cs="仿宋"/>
          <w:sz w:val="30"/>
          <w:szCs w:val="30"/>
        </w:rPr>
        <w:t>万元，其中：基本支出</w:t>
      </w:r>
      <w:r>
        <w:rPr>
          <w:rFonts w:ascii="仿宋" w:hAnsi="仿宋" w:eastAsia="仿宋" w:cs="仿宋"/>
          <w:sz w:val="30"/>
          <w:szCs w:val="30"/>
        </w:rPr>
        <w:t>1624.92</w:t>
      </w:r>
      <w:r>
        <w:rPr>
          <w:rFonts w:hint="eastAsia" w:ascii="仿宋" w:hAnsi="仿宋" w:eastAsia="仿宋" w:cs="仿宋"/>
          <w:sz w:val="30"/>
          <w:szCs w:val="30"/>
        </w:rPr>
        <w:t>万元，与上年相比减少了</w:t>
      </w:r>
      <w:r>
        <w:rPr>
          <w:rFonts w:ascii="仿宋" w:hAnsi="仿宋" w:eastAsia="仿宋" w:cs="仿宋"/>
          <w:sz w:val="30"/>
          <w:szCs w:val="30"/>
        </w:rPr>
        <w:t>140.01</w:t>
      </w:r>
      <w:r>
        <w:rPr>
          <w:rFonts w:hint="eastAsia" w:ascii="仿宋" w:hAnsi="仿宋" w:eastAsia="仿宋" w:cs="仿宋"/>
          <w:sz w:val="30"/>
          <w:szCs w:val="30"/>
        </w:rPr>
        <w:t>万元，减少的原因</w:t>
      </w:r>
      <w:r>
        <w:rPr>
          <w:rFonts w:hint="eastAsia" w:ascii="仿宋" w:hAnsi="仿宋" w:eastAsia="仿宋" w:cs="仿宋"/>
          <w:sz w:val="30"/>
          <w:szCs w:val="30"/>
          <w:lang w:val="en-US" w:eastAsia="zh-CN"/>
        </w:rPr>
        <w:t>是减少</w:t>
      </w:r>
      <w:r>
        <w:rPr>
          <w:rFonts w:hint="eastAsia" w:ascii="仿宋" w:hAnsi="仿宋" w:eastAsia="仿宋" w:cs="仿宋"/>
          <w:sz w:val="30"/>
          <w:szCs w:val="30"/>
          <w:lang w:eastAsia="zh-CN"/>
        </w:rPr>
        <w:t>了财税目标考核奖励资金</w:t>
      </w:r>
      <w:r>
        <w:rPr>
          <w:rFonts w:hint="eastAsia" w:ascii="仿宋" w:hAnsi="仿宋" w:eastAsia="仿宋" w:cs="仿宋"/>
          <w:sz w:val="30"/>
          <w:szCs w:val="30"/>
          <w:lang w:val="en-US" w:eastAsia="zh-CN"/>
        </w:rPr>
        <w:t>等</w:t>
      </w:r>
      <w:r>
        <w:rPr>
          <w:rFonts w:hint="eastAsia" w:ascii="仿宋" w:hAnsi="仿宋" w:eastAsia="仿宋" w:cs="仿宋"/>
          <w:sz w:val="30"/>
          <w:szCs w:val="30"/>
        </w:rPr>
        <w:t>。</w:t>
      </w:r>
    </w:p>
    <w:p>
      <w:pPr>
        <w:pStyle w:val="4"/>
        <w:shd w:val="clear" w:color="auto" w:fill="FFFFFF"/>
        <w:spacing w:before="0" w:beforeAutospacing="0" w:after="0" w:afterAutospacing="0" w:line="600" w:lineRule="exact"/>
        <w:ind w:firstLine="602" w:firstLineChars="200"/>
        <w:rPr>
          <w:rFonts w:ascii="仿宋" w:hAnsi="仿宋" w:eastAsia="仿宋" w:cs="Times New Roman"/>
          <w:b/>
          <w:bCs/>
          <w:sz w:val="30"/>
          <w:szCs w:val="30"/>
        </w:rPr>
      </w:pPr>
      <w:r>
        <w:rPr>
          <w:rFonts w:hint="eastAsia" w:ascii="仿宋" w:hAnsi="仿宋" w:eastAsia="仿宋" w:cs="仿宋"/>
          <w:b/>
          <w:bCs/>
          <w:sz w:val="30"/>
          <w:szCs w:val="30"/>
        </w:rPr>
        <w:t>（二）项目支出情况</w:t>
      </w:r>
    </w:p>
    <w:p>
      <w:pPr>
        <w:pStyle w:val="4"/>
        <w:shd w:val="clear" w:color="auto" w:fill="FFFFFF"/>
        <w:spacing w:before="0" w:beforeAutospacing="0" w:after="0" w:afterAutospacing="0" w:line="600" w:lineRule="exact"/>
        <w:ind w:firstLine="600" w:firstLineChars="200"/>
        <w:rPr>
          <w:rFonts w:ascii="仿宋" w:hAnsi="仿宋" w:eastAsia="仿宋" w:cs="Times New Roman"/>
          <w:sz w:val="30"/>
          <w:szCs w:val="30"/>
        </w:rPr>
      </w:pPr>
      <w:r>
        <w:rPr>
          <w:rFonts w:ascii="仿宋" w:hAnsi="仿宋" w:eastAsia="仿宋" w:cs="仿宋"/>
          <w:sz w:val="30"/>
          <w:szCs w:val="30"/>
        </w:rPr>
        <w:t>2021</w:t>
      </w:r>
      <w:r>
        <w:rPr>
          <w:rFonts w:hint="eastAsia" w:ascii="仿宋" w:hAnsi="仿宋" w:eastAsia="仿宋" w:cs="仿宋"/>
          <w:sz w:val="30"/>
          <w:szCs w:val="30"/>
        </w:rPr>
        <w:t>年度项目支出总计</w:t>
      </w:r>
      <w:r>
        <w:rPr>
          <w:rFonts w:ascii="仿宋" w:hAnsi="仿宋" w:eastAsia="仿宋" w:cs="仿宋"/>
          <w:sz w:val="30"/>
          <w:szCs w:val="30"/>
        </w:rPr>
        <w:t>306.16</w:t>
      </w:r>
      <w:r>
        <w:rPr>
          <w:rFonts w:hint="eastAsia" w:ascii="仿宋" w:hAnsi="仿宋" w:eastAsia="仿宋" w:cs="仿宋"/>
          <w:sz w:val="30"/>
          <w:szCs w:val="30"/>
        </w:rPr>
        <w:t>万元，比上年相比增加</w:t>
      </w:r>
      <w:r>
        <w:rPr>
          <w:rFonts w:ascii="仿宋" w:hAnsi="仿宋" w:eastAsia="仿宋" w:cs="仿宋"/>
          <w:sz w:val="30"/>
          <w:szCs w:val="30"/>
        </w:rPr>
        <w:t>217.01</w:t>
      </w:r>
      <w:r>
        <w:rPr>
          <w:rFonts w:hint="eastAsia" w:ascii="仿宋" w:hAnsi="仿宋" w:eastAsia="仿宋" w:cs="仿宋"/>
          <w:sz w:val="30"/>
          <w:szCs w:val="30"/>
        </w:rPr>
        <w:t>万元，主要原因是新增全区电子财政网络安全整改项目等支出。</w:t>
      </w:r>
    </w:p>
    <w:p>
      <w:pPr>
        <w:pStyle w:val="4"/>
        <w:shd w:val="clear" w:color="auto" w:fill="FFFFFF"/>
        <w:spacing w:before="0" w:beforeAutospacing="0" w:after="0" w:afterAutospacing="0" w:line="600" w:lineRule="exact"/>
        <w:ind w:firstLine="600" w:firstLineChars="200"/>
        <w:rPr>
          <w:rFonts w:ascii="黑体" w:hAnsi="黑体" w:eastAsia="黑体" w:cs="Times New Roman"/>
          <w:sz w:val="30"/>
          <w:szCs w:val="30"/>
        </w:rPr>
      </w:pPr>
      <w:r>
        <w:rPr>
          <w:rFonts w:hint="eastAsia" w:ascii="黑体" w:hAnsi="黑体" w:eastAsia="黑体" w:cs="黑体"/>
          <w:sz w:val="30"/>
          <w:szCs w:val="30"/>
        </w:rPr>
        <w:t>四、政府性基金预算支出情况</w:t>
      </w:r>
    </w:p>
    <w:p>
      <w:pPr>
        <w:pStyle w:val="4"/>
        <w:shd w:val="clear" w:color="auto" w:fill="FFFFFF"/>
        <w:spacing w:before="0" w:beforeAutospacing="0" w:after="0" w:afterAutospacing="0" w:line="600" w:lineRule="exact"/>
        <w:ind w:firstLine="600" w:firstLineChars="200"/>
        <w:rPr>
          <w:rFonts w:ascii="仿宋" w:hAnsi="仿宋" w:eastAsia="仿宋" w:cs="Times New Roman"/>
          <w:sz w:val="30"/>
          <w:szCs w:val="30"/>
        </w:rPr>
      </w:pPr>
      <w:r>
        <w:rPr>
          <w:rFonts w:hint="eastAsia" w:ascii="仿宋" w:hAnsi="仿宋" w:eastAsia="仿宋" w:cs="仿宋"/>
          <w:sz w:val="30"/>
          <w:szCs w:val="30"/>
        </w:rPr>
        <w:t>赫山区财政局</w:t>
      </w:r>
      <w:r>
        <w:rPr>
          <w:rFonts w:ascii="仿宋" w:hAnsi="仿宋" w:eastAsia="仿宋" w:cs="仿宋"/>
          <w:sz w:val="30"/>
          <w:szCs w:val="30"/>
        </w:rPr>
        <w:t>2021</w:t>
      </w:r>
      <w:r>
        <w:rPr>
          <w:rFonts w:hint="eastAsia" w:ascii="仿宋" w:hAnsi="仿宋" w:eastAsia="仿宋" w:cs="仿宋"/>
          <w:sz w:val="30"/>
          <w:szCs w:val="30"/>
        </w:rPr>
        <w:t>年度政府性基金预算支出为零。</w:t>
      </w:r>
    </w:p>
    <w:p>
      <w:pPr>
        <w:pStyle w:val="4"/>
        <w:shd w:val="clear" w:color="auto" w:fill="FFFFFF"/>
        <w:spacing w:before="0" w:beforeAutospacing="0" w:after="0" w:afterAutospacing="0" w:line="600" w:lineRule="exact"/>
        <w:ind w:firstLine="600" w:firstLineChars="200"/>
        <w:rPr>
          <w:rFonts w:ascii="黑体" w:hAnsi="黑体" w:eastAsia="黑体" w:cs="Times New Roman"/>
          <w:sz w:val="30"/>
          <w:szCs w:val="30"/>
        </w:rPr>
      </w:pPr>
      <w:r>
        <w:rPr>
          <w:rFonts w:hint="eastAsia" w:ascii="黑体" w:hAnsi="黑体" w:eastAsia="黑体" w:cs="黑体"/>
          <w:sz w:val="30"/>
          <w:szCs w:val="30"/>
        </w:rPr>
        <w:t>五、国有资本经营预算支出情况</w:t>
      </w:r>
    </w:p>
    <w:p>
      <w:pPr>
        <w:pStyle w:val="4"/>
        <w:shd w:val="clear" w:color="auto" w:fill="FFFFFF"/>
        <w:spacing w:before="0" w:beforeAutospacing="0" w:after="0" w:afterAutospacing="0" w:line="600" w:lineRule="exact"/>
        <w:ind w:firstLine="600" w:firstLineChars="200"/>
        <w:rPr>
          <w:rFonts w:ascii="仿宋" w:hAnsi="仿宋" w:eastAsia="仿宋" w:cs="Times New Roman"/>
          <w:sz w:val="30"/>
          <w:szCs w:val="30"/>
        </w:rPr>
      </w:pPr>
      <w:r>
        <w:rPr>
          <w:rFonts w:hint="eastAsia" w:ascii="仿宋" w:hAnsi="仿宋" w:eastAsia="仿宋" w:cs="仿宋"/>
          <w:sz w:val="30"/>
          <w:szCs w:val="30"/>
        </w:rPr>
        <w:t>赫山区财政局</w:t>
      </w:r>
      <w:r>
        <w:rPr>
          <w:rFonts w:ascii="仿宋" w:hAnsi="仿宋" w:eastAsia="仿宋" w:cs="仿宋"/>
          <w:sz w:val="30"/>
          <w:szCs w:val="30"/>
        </w:rPr>
        <w:t>2021</w:t>
      </w:r>
      <w:r>
        <w:rPr>
          <w:rFonts w:hint="eastAsia" w:ascii="仿宋" w:hAnsi="仿宋" w:eastAsia="仿宋" w:cs="仿宋"/>
          <w:sz w:val="30"/>
          <w:szCs w:val="30"/>
        </w:rPr>
        <w:t>年度国有资本经营预算支出为零。</w:t>
      </w:r>
    </w:p>
    <w:p>
      <w:pPr>
        <w:pStyle w:val="4"/>
        <w:shd w:val="clear" w:color="auto" w:fill="FFFFFF"/>
        <w:spacing w:before="0" w:beforeAutospacing="0" w:after="0" w:afterAutospacing="0" w:line="600" w:lineRule="exact"/>
        <w:ind w:firstLine="600" w:firstLineChars="200"/>
        <w:rPr>
          <w:rFonts w:ascii="黑体" w:hAnsi="黑体" w:eastAsia="黑体" w:cs="Times New Roman"/>
          <w:sz w:val="30"/>
          <w:szCs w:val="30"/>
        </w:rPr>
      </w:pPr>
      <w:r>
        <w:rPr>
          <w:rFonts w:hint="eastAsia" w:ascii="黑体" w:hAnsi="黑体" w:eastAsia="黑体" w:cs="黑体"/>
          <w:sz w:val="30"/>
          <w:szCs w:val="30"/>
        </w:rPr>
        <w:t>六、社会保险基金预算支出情况</w:t>
      </w:r>
    </w:p>
    <w:p>
      <w:pPr>
        <w:pStyle w:val="4"/>
        <w:shd w:val="clear" w:color="auto" w:fill="FFFFFF"/>
        <w:spacing w:before="0" w:beforeAutospacing="0" w:after="0" w:afterAutospacing="0" w:line="600" w:lineRule="exact"/>
        <w:ind w:firstLine="600" w:firstLineChars="200"/>
        <w:rPr>
          <w:rFonts w:ascii="仿宋" w:hAnsi="仿宋" w:eastAsia="仿宋" w:cs="Times New Roman"/>
          <w:sz w:val="30"/>
          <w:szCs w:val="30"/>
        </w:rPr>
      </w:pPr>
      <w:r>
        <w:rPr>
          <w:rFonts w:hint="eastAsia" w:ascii="仿宋" w:hAnsi="仿宋" w:eastAsia="仿宋" w:cs="仿宋"/>
          <w:sz w:val="30"/>
          <w:szCs w:val="30"/>
        </w:rPr>
        <w:t>赫山区财政局</w:t>
      </w:r>
      <w:r>
        <w:rPr>
          <w:rFonts w:ascii="仿宋" w:hAnsi="仿宋" w:eastAsia="仿宋" w:cs="仿宋"/>
          <w:sz w:val="30"/>
          <w:szCs w:val="30"/>
        </w:rPr>
        <w:t>2021</w:t>
      </w:r>
      <w:r>
        <w:rPr>
          <w:rFonts w:hint="eastAsia" w:ascii="仿宋" w:hAnsi="仿宋" w:eastAsia="仿宋" w:cs="仿宋"/>
          <w:sz w:val="30"/>
          <w:szCs w:val="30"/>
        </w:rPr>
        <w:t>年度社会保险基金预算支出为零。</w:t>
      </w:r>
    </w:p>
    <w:p>
      <w:pPr>
        <w:pStyle w:val="4"/>
        <w:shd w:val="clear" w:color="auto" w:fill="FFFFFF"/>
        <w:spacing w:before="0" w:beforeAutospacing="0" w:after="0" w:afterAutospacing="0" w:line="600" w:lineRule="exact"/>
        <w:ind w:firstLine="600" w:firstLineChars="200"/>
        <w:rPr>
          <w:rFonts w:ascii="黑体" w:hAnsi="黑体" w:eastAsia="黑体" w:cs="Times New Roman"/>
          <w:sz w:val="30"/>
          <w:szCs w:val="30"/>
        </w:rPr>
      </w:pPr>
      <w:r>
        <w:rPr>
          <w:rFonts w:hint="eastAsia" w:ascii="黑体" w:hAnsi="黑体" w:eastAsia="黑体" w:cs="黑体"/>
          <w:sz w:val="30"/>
          <w:szCs w:val="30"/>
        </w:rPr>
        <w:t>七、部门整体支出绩效情况</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00" w:firstLineChars="200"/>
        <w:textAlignment w:val="auto"/>
        <w:rPr>
          <w:rFonts w:ascii="仿宋" w:hAnsi="仿宋" w:eastAsia="仿宋" w:cs="Times New Roman"/>
          <w:sz w:val="30"/>
          <w:szCs w:val="30"/>
        </w:rPr>
      </w:pPr>
      <w:r>
        <w:rPr>
          <w:rFonts w:hint="eastAsia" w:ascii="仿宋" w:hAnsi="仿宋" w:eastAsia="仿宋" w:cs="仿宋"/>
          <w:sz w:val="30"/>
          <w:szCs w:val="30"/>
        </w:rPr>
        <w:t>赫山区财政局</w:t>
      </w:r>
      <w:r>
        <w:rPr>
          <w:rFonts w:ascii="仿宋" w:hAnsi="仿宋" w:eastAsia="仿宋" w:cs="仿宋"/>
          <w:sz w:val="30"/>
          <w:szCs w:val="30"/>
        </w:rPr>
        <w:t>2021</w:t>
      </w:r>
      <w:r>
        <w:rPr>
          <w:rFonts w:hint="eastAsia" w:ascii="仿宋" w:hAnsi="仿宋" w:eastAsia="仿宋" w:cs="仿宋"/>
          <w:sz w:val="30"/>
          <w:szCs w:val="30"/>
        </w:rPr>
        <w:t>年度所有支出全部为一般公共预算支出，紧紧围绕部门职责、行业发展规划，以预算资金管理为主线，严格按照国家财经法规、预算资金管理办法、财务管理制度以及专项资金管理办法的规定，把预算资金的审批分配与监督检查结合起来，遵循先预算、再审批、后支出的原则，确保了财政资金分配和财政审批程序合法，保证了预算资金的合理使用。</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00" w:firstLineChars="200"/>
        <w:textAlignment w:val="auto"/>
        <w:rPr>
          <w:rFonts w:ascii="仿宋" w:hAnsi="仿宋" w:eastAsia="仿宋" w:cs="Times New Roman"/>
          <w:sz w:val="30"/>
          <w:szCs w:val="30"/>
        </w:rPr>
      </w:pPr>
      <w:r>
        <w:rPr>
          <w:rFonts w:hint="eastAsia" w:ascii="仿宋" w:hAnsi="仿宋" w:eastAsia="仿宋" w:cs="仿宋"/>
          <w:sz w:val="30"/>
          <w:szCs w:val="30"/>
        </w:rPr>
        <w:t>（一）认真执行年初部门预算和财政政策要求。赫山区财政局经费安排严格按照年初预算来执行，有效防止超预算；在资金使用上，严格遵守各项财经法规和财务管理制度规定，资金拨付有完整的审批程序和手续，支出符合部门预算批复的用途，无截留、挤占、挪用、虚列支出等情况。</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00" w:firstLineChars="200"/>
        <w:textAlignment w:val="auto"/>
        <w:rPr>
          <w:rFonts w:ascii="仿宋" w:hAnsi="仿宋" w:eastAsia="仿宋" w:cs="Times New Roman"/>
          <w:sz w:val="30"/>
          <w:szCs w:val="30"/>
        </w:rPr>
      </w:pPr>
      <w:r>
        <w:rPr>
          <w:rFonts w:hint="eastAsia" w:ascii="仿宋" w:hAnsi="仿宋" w:eastAsia="仿宋" w:cs="仿宋"/>
          <w:sz w:val="30"/>
          <w:szCs w:val="30"/>
        </w:rPr>
        <w:t>（二）保障了机关有效运转。严格按照厉行节约的要求，精打细算，规范机关事务管理工作，进一步在机关财务、公务用车、公务接待、物业等方面加强集中管理，提高服务质量，降低运行成本，合理配置，提高保障能力。保障干部待遇按政策发放落实。</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00" w:firstLineChars="200"/>
        <w:textAlignment w:val="auto"/>
        <w:rPr>
          <w:rFonts w:ascii="黑体" w:hAnsi="黑体" w:eastAsia="黑体" w:cs="Times New Roman"/>
          <w:sz w:val="30"/>
          <w:szCs w:val="30"/>
        </w:rPr>
      </w:pPr>
      <w:r>
        <w:rPr>
          <w:rFonts w:hint="eastAsia" w:ascii="黑体" w:hAnsi="黑体" w:eastAsia="黑体" w:cs="黑体"/>
          <w:sz w:val="30"/>
          <w:szCs w:val="30"/>
        </w:rPr>
        <w:t>八、存在的问题及原因分析</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00" w:firstLineChars="200"/>
        <w:textAlignment w:val="auto"/>
        <w:rPr>
          <w:rFonts w:ascii="仿宋" w:hAnsi="仿宋" w:eastAsia="仿宋" w:cs="Times New Roman"/>
          <w:sz w:val="30"/>
          <w:szCs w:val="30"/>
        </w:rPr>
      </w:pPr>
      <w:r>
        <w:rPr>
          <w:rFonts w:hint="eastAsia" w:ascii="仿宋" w:hAnsi="仿宋" w:eastAsia="仿宋" w:cs="仿宋"/>
          <w:sz w:val="30"/>
          <w:szCs w:val="30"/>
        </w:rPr>
        <w:t>财政收支矛盾仍然突出，地方财政风险加大。</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00" w:firstLineChars="200"/>
        <w:textAlignment w:val="auto"/>
        <w:rPr>
          <w:rFonts w:ascii="黑体" w:hAnsi="黑体" w:eastAsia="黑体" w:cs="Times New Roman"/>
          <w:sz w:val="30"/>
          <w:szCs w:val="30"/>
        </w:rPr>
      </w:pPr>
      <w:r>
        <w:rPr>
          <w:rFonts w:hint="eastAsia" w:ascii="黑体" w:hAnsi="黑体" w:eastAsia="黑体" w:cs="黑体"/>
          <w:sz w:val="30"/>
          <w:szCs w:val="30"/>
        </w:rPr>
        <w:t>九、下一步改进措施</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00" w:firstLineChars="200"/>
        <w:textAlignment w:val="auto"/>
        <w:rPr>
          <w:rFonts w:ascii="仿宋" w:hAnsi="仿宋" w:eastAsia="仿宋" w:cs="Times New Roman"/>
          <w:sz w:val="30"/>
          <w:szCs w:val="30"/>
        </w:rPr>
      </w:pPr>
      <w:r>
        <w:rPr>
          <w:rFonts w:hint="eastAsia" w:ascii="仿宋" w:hAnsi="仿宋" w:eastAsia="仿宋" w:cs="仿宋"/>
          <w:sz w:val="30"/>
          <w:szCs w:val="30"/>
        </w:rPr>
        <w:t>（一）加强管理，严控行政支出。目前赫山区财政局三公经费的预算执行情况较好，但仍需进一步严控三公经费支出，严格三公经费支出的审批流程，进一步细化三公经费的管理。</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00" w:firstLineChars="200"/>
        <w:textAlignment w:val="auto"/>
        <w:rPr>
          <w:rFonts w:ascii="仿宋" w:hAnsi="仿宋" w:eastAsia="仿宋" w:cs="Times New Roman"/>
          <w:sz w:val="30"/>
          <w:szCs w:val="30"/>
        </w:rPr>
      </w:pPr>
      <w:r>
        <w:rPr>
          <w:rFonts w:hint="eastAsia" w:ascii="仿宋" w:hAnsi="仿宋" w:eastAsia="仿宋" w:cs="仿宋"/>
          <w:sz w:val="30"/>
          <w:szCs w:val="30"/>
        </w:rPr>
        <w:t>（二）科学理财，强化财政职能作用。按照中央和省、市部署，进一步强化财政监督，积极推进财政预算、财政决算公开，不断提高财政透明度。</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00" w:firstLineChars="200"/>
        <w:textAlignment w:val="auto"/>
        <w:rPr>
          <w:rFonts w:ascii="黑体" w:hAnsi="黑体" w:eastAsia="黑体" w:cs="Times New Roman"/>
          <w:sz w:val="30"/>
          <w:szCs w:val="30"/>
        </w:rPr>
      </w:pPr>
      <w:r>
        <w:rPr>
          <w:rFonts w:ascii="黑体" w:hAnsi="黑体" w:eastAsia="黑体" w:cs="Times New Roman"/>
          <w:sz w:val="30"/>
          <w:szCs w:val="30"/>
        </w:rPr>
        <w:t> </w:t>
      </w:r>
      <w:r>
        <w:rPr>
          <w:rFonts w:hint="eastAsia" w:ascii="黑体" w:hAnsi="黑体" w:eastAsia="黑体" w:cs="黑体"/>
          <w:sz w:val="30"/>
          <w:szCs w:val="30"/>
        </w:rPr>
        <w:t>十、其他需要说明的情况</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00" w:firstLineChars="200"/>
        <w:textAlignment w:val="auto"/>
        <w:rPr>
          <w:rFonts w:ascii="仿宋" w:hAnsi="仿宋" w:eastAsia="仿宋" w:cs="Times New Roman"/>
          <w:sz w:val="30"/>
          <w:szCs w:val="30"/>
        </w:rPr>
      </w:pPr>
      <w:r>
        <w:rPr>
          <w:rFonts w:hint="eastAsia" w:ascii="仿宋" w:hAnsi="仿宋" w:eastAsia="仿宋" w:cs="仿宋"/>
          <w:sz w:val="30"/>
          <w:szCs w:val="30"/>
        </w:rPr>
        <w:t>无其他需要说明的情况。</w:t>
      </w:r>
    </w:p>
    <w:p>
      <w:pPr>
        <w:spacing w:beforeLines="50" w:afterLines="50"/>
        <w:jc w:val="center"/>
        <w:rPr>
          <w:rFonts w:ascii="方正小标宋简体" w:eastAsia="方正小标宋简体" w:cs="方正小标宋简体"/>
          <w:sz w:val="36"/>
          <w:szCs w:val="36"/>
        </w:rPr>
      </w:pPr>
    </w:p>
    <w:p>
      <w:pPr>
        <w:spacing w:beforeLines="50" w:afterLines="50"/>
        <w:jc w:val="center"/>
        <w:rPr>
          <w:rFonts w:ascii="方正小标宋简体" w:eastAsia="方正小标宋简体" w:cs="方正小标宋简体"/>
          <w:sz w:val="36"/>
          <w:szCs w:val="36"/>
        </w:rPr>
      </w:pPr>
    </w:p>
    <w:p>
      <w:pPr>
        <w:spacing w:beforeLines="50" w:afterLines="50"/>
        <w:jc w:val="center"/>
        <w:rPr>
          <w:rFonts w:ascii="方正小标宋简体" w:eastAsia="方正小标宋简体" w:cs="方正小标宋简体"/>
          <w:sz w:val="36"/>
          <w:szCs w:val="36"/>
        </w:rPr>
      </w:pPr>
    </w:p>
    <w:p>
      <w:pPr>
        <w:spacing w:beforeLines="50" w:afterLines="50"/>
        <w:jc w:val="center"/>
        <w:rPr>
          <w:rFonts w:ascii="方正小标宋简体" w:eastAsia="方正小标宋简体" w:cs="方正小标宋简体"/>
          <w:sz w:val="36"/>
          <w:szCs w:val="36"/>
        </w:rPr>
      </w:pPr>
    </w:p>
    <w:p>
      <w:pPr>
        <w:spacing w:beforeLines="50" w:afterLines="50"/>
        <w:jc w:val="center"/>
        <w:rPr>
          <w:rFonts w:ascii="方正小标宋简体" w:eastAsia="方正小标宋简体" w:cs="Times New Roman"/>
          <w:sz w:val="36"/>
          <w:szCs w:val="36"/>
        </w:rPr>
      </w:pPr>
      <w:bookmarkStart w:id="0" w:name="_GoBack"/>
      <w:bookmarkEnd w:id="0"/>
      <w:r>
        <w:rPr>
          <w:rFonts w:ascii="方正小标宋简体" w:eastAsia="方正小标宋简体" w:cs="方正小标宋简体"/>
          <w:sz w:val="36"/>
          <w:szCs w:val="36"/>
        </w:rPr>
        <w:t>2021</w:t>
      </w:r>
      <w:r>
        <w:rPr>
          <w:rFonts w:hint="eastAsia" w:ascii="方正小标宋简体" w:eastAsia="方正小标宋简体" w:cs="方正小标宋简体"/>
          <w:sz w:val="36"/>
          <w:szCs w:val="36"/>
        </w:rPr>
        <w:t>年度部门整体支出绩效自评指标计分表</w:t>
      </w:r>
    </w:p>
    <w:tbl>
      <w:tblPr>
        <w:tblStyle w:val="5"/>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11"/>
        <w:gridCol w:w="632"/>
        <w:gridCol w:w="854"/>
        <w:gridCol w:w="632"/>
        <w:gridCol w:w="2975"/>
        <w:gridCol w:w="3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tcMar>
              <w:top w:w="10" w:type="dxa"/>
              <w:left w:w="10" w:type="dxa"/>
              <w:bottom w:w="0" w:type="dxa"/>
              <w:right w:w="10" w:type="dxa"/>
            </w:tcMar>
            <w:vAlign w:val="center"/>
          </w:tcPr>
          <w:p>
            <w:pPr>
              <w:spacing w:line="240" w:lineRule="exact"/>
              <w:jc w:val="center"/>
              <w:rPr>
                <w:rFonts w:ascii="宋体" w:cs="Times New Roman"/>
                <w:b/>
                <w:bCs/>
              </w:rPr>
            </w:pPr>
            <w:r>
              <w:rPr>
                <w:rFonts w:hint="eastAsia" w:ascii="宋体" w:hAnsi="宋体" w:cs="宋体"/>
                <w:b/>
                <w:bCs/>
              </w:rPr>
              <w:t>一级</w:t>
            </w:r>
            <w:r>
              <w:rPr>
                <w:rFonts w:ascii="宋体" w:cs="Times New Roman"/>
                <w:b/>
                <w:bCs/>
              </w:rPr>
              <w:br w:type="textWrapping"/>
            </w:r>
            <w:r>
              <w:rPr>
                <w:rFonts w:hint="eastAsia" w:ascii="宋体" w:hAnsi="宋体" w:cs="宋体"/>
                <w:b/>
                <w:bCs/>
              </w:rPr>
              <w:t>指标</w:t>
            </w:r>
          </w:p>
        </w:tc>
        <w:tc>
          <w:tcPr>
            <w:tcW w:w="375" w:type="pct"/>
            <w:tcMar>
              <w:top w:w="10" w:type="dxa"/>
              <w:left w:w="10" w:type="dxa"/>
              <w:bottom w:w="0" w:type="dxa"/>
              <w:right w:w="10" w:type="dxa"/>
            </w:tcMar>
            <w:vAlign w:val="center"/>
          </w:tcPr>
          <w:p>
            <w:pPr>
              <w:spacing w:line="240" w:lineRule="exact"/>
              <w:ind w:right="-174" w:rightChars="-83"/>
              <w:jc w:val="center"/>
              <w:rPr>
                <w:rFonts w:ascii="宋体" w:cs="Times New Roman"/>
                <w:b/>
                <w:bCs/>
              </w:rPr>
            </w:pPr>
            <w:r>
              <w:rPr>
                <w:rFonts w:hint="eastAsia" w:ascii="宋体" w:hAnsi="宋体" w:cs="宋体"/>
                <w:b/>
                <w:bCs/>
              </w:rPr>
              <w:t>二级</w:t>
            </w:r>
          </w:p>
          <w:p>
            <w:pPr>
              <w:spacing w:line="240" w:lineRule="exact"/>
              <w:ind w:right="-174" w:rightChars="-83"/>
              <w:jc w:val="center"/>
              <w:rPr>
                <w:rFonts w:ascii="宋体" w:cs="Times New Roman"/>
                <w:b/>
                <w:bCs/>
              </w:rPr>
            </w:pPr>
            <w:r>
              <w:rPr>
                <w:rFonts w:hint="eastAsia" w:ascii="宋体" w:hAnsi="宋体" w:cs="宋体"/>
                <w:b/>
                <w:bCs/>
              </w:rPr>
              <w:t>指标</w:t>
            </w:r>
          </w:p>
        </w:tc>
        <w:tc>
          <w:tcPr>
            <w:tcW w:w="500" w:type="pct"/>
            <w:tcMar>
              <w:top w:w="10" w:type="dxa"/>
              <w:left w:w="10" w:type="dxa"/>
              <w:bottom w:w="0" w:type="dxa"/>
              <w:right w:w="10" w:type="dxa"/>
            </w:tcMar>
            <w:vAlign w:val="center"/>
          </w:tcPr>
          <w:p>
            <w:pPr>
              <w:spacing w:line="240" w:lineRule="exact"/>
              <w:jc w:val="center"/>
              <w:rPr>
                <w:rFonts w:ascii="宋体" w:cs="Times New Roman"/>
                <w:b/>
                <w:bCs/>
              </w:rPr>
            </w:pPr>
            <w:r>
              <w:rPr>
                <w:rFonts w:hint="eastAsia" w:ascii="宋体" w:hAnsi="宋体" w:cs="宋体"/>
                <w:b/>
                <w:bCs/>
              </w:rPr>
              <w:t>三级</w:t>
            </w:r>
          </w:p>
          <w:p>
            <w:pPr>
              <w:spacing w:line="240" w:lineRule="exact"/>
              <w:jc w:val="center"/>
              <w:rPr>
                <w:rFonts w:ascii="宋体" w:cs="Times New Roman"/>
                <w:b/>
                <w:bCs/>
              </w:rPr>
            </w:pPr>
            <w:r>
              <w:rPr>
                <w:rFonts w:hint="eastAsia" w:ascii="宋体" w:hAnsi="宋体" w:cs="宋体"/>
                <w:b/>
                <w:bCs/>
              </w:rPr>
              <w:t>指标</w:t>
            </w:r>
          </w:p>
        </w:tc>
        <w:tc>
          <w:tcPr>
            <w:tcW w:w="258" w:type="pct"/>
            <w:vAlign w:val="center"/>
          </w:tcPr>
          <w:p>
            <w:pPr>
              <w:spacing w:line="240" w:lineRule="exact"/>
              <w:ind w:left="105" w:leftChars="50" w:right="105" w:rightChars="50"/>
              <w:jc w:val="center"/>
              <w:rPr>
                <w:rFonts w:ascii="宋体" w:cs="Times New Roman"/>
                <w:b/>
                <w:bCs/>
              </w:rPr>
            </w:pPr>
            <w:r>
              <w:rPr>
                <w:rFonts w:hint="eastAsia" w:ascii="宋体" w:hAnsi="宋体" w:cs="宋体"/>
                <w:b/>
                <w:bCs/>
              </w:rPr>
              <w:t>自评分</w:t>
            </w:r>
          </w:p>
        </w:tc>
        <w:tc>
          <w:tcPr>
            <w:tcW w:w="1693" w:type="pct"/>
            <w:tcMar>
              <w:top w:w="10" w:type="dxa"/>
              <w:left w:w="10" w:type="dxa"/>
              <w:bottom w:w="0" w:type="dxa"/>
              <w:right w:w="10" w:type="dxa"/>
            </w:tcMar>
            <w:vAlign w:val="center"/>
          </w:tcPr>
          <w:p>
            <w:pPr>
              <w:spacing w:line="240" w:lineRule="exact"/>
              <w:ind w:left="105" w:leftChars="50" w:right="105" w:rightChars="50"/>
              <w:jc w:val="center"/>
              <w:rPr>
                <w:rFonts w:ascii="宋体" w:cs="Times New Roman"/>
                <w:b/>
                <w:bCs/>
              </w:rPr>
            </w:pPr>
            <w:r>
              <w:rPr>
                <w:rFonts w:hint="eastAsia" w:ascii="宋体" w:hAnsi="宋体" w:cs="宋体"/>
                <w:b/>
                <w:bCs/>
              </w:rPr>
              <w:t>指标解释</w:t>
            </w:r>
          </w:p>
        </w:tc>
        <w:tc>
          <w:tcPr>
            <w:tcW w:w="1867" w:type="pct"/>
            <w:tcMar>
              <w:top w:w="10" w:type="dxa"/>
              <w:left w:w="10" w:type="dxa"/>
              <w:bottom w:w="0" w:type="dxa"/>
              <w:right w:w="10" w:type="dxa"/>
            </w:tcMar>
            <w:vAlign w:val="center"/>
          </w:tcPr>
          <w:p>
            <w:pPr>
              <w:spacing w:line="240" w:lineRule="exact"/>
              <w:ind w:left="105" w:leftChars="50" w:right="105" w:rightChars="50"/>
              <w:jc w:val="center"/>
              <w:rPr>
                <w:rFonts w:ascii="宋体" w:cs="Times New Roman"/>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Times New Roman"/>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Times New Roman"/>
              </w:rPr>
            </w:pPr>
            <w:r>
              <w:rPr>
                <w:rFonts w:hint="eastAsia" w:ascii="宋体" w:hAnsi="宋体" w:cs="宋体"/>
              </w:rPr>
              <w:t>目标</w:t>
            </w:r>
            <w:r>
              <w:rPr>
                <w:rFonts w:ascii="宋体" w:cs="Times New Roman"/>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Times New Roman"/>
              </w:rPr>
            </w:pPr>
            <w:r>
              <w:rPr>
                <w:rFonts w:hint="eastAsia" w:ascii="宋体" w:hAnsi="宋体" w:cs="宋体"/>
              </w:rPr>
              <w:t>绩效目标</w:t>
            </w:r>
          </w:p>
          <w:p>
            <w:pPr>
              <w:spacing w:line="240" w:lineRule="exact"/>
              <w:jc w:val="center"/>
              <w:rPr>
                <w:rFonts w:ascii="宋体" w:cs="Times New Roman"/>
              </w:rPr>
            </w:pPr>
            <w:r>
              <w:rPr>
                <w:rFonts w:hint="eastAsia" w:ascii="宋体" w:hAnsi="宋体" w:cs="宋体"/>
              </w:rPr>
              <w:t>合理性（</w:t>
            </w:r>
            <w:r>
              <w:rPr>
                <w:rFonts w:ascii="宋体" w:hAnsi="宋体" w:cs="宋体"/>
              </w:rPr>
              <w:t>2</w:t>
            </w:r>
            <w:r>
              <w:rPr>
                <w:rFonts w:hint="eastAsia" w:ascii="宋体" w:hAnsi="宋体" w:cs="宋体"/>
              </w:rPr>
              <w:t>分）</w:t>
            </w:r>
          </w:p>
        </w:tc>
        <w:tc>
          <w:tcPr>
            <w:tcW w:w="258" w:type="pct"/>
          </w:tcPr>
          <w:p>
            <w:pPr>
              <w:tabs>
                <w:tab w:val="left" w:pos="2604"/>
              </w:tabs>
              <w:spacing w:line="240" w:lineRule="exact"/>
              <w:ind w:left="105" w:leftChars="50" w:right="105" w:rightChars="50" w:firstLine="96" w:firstLineChars="46"/>
              <w:rPr>
                <w:rFonts w:ascii="宋体" w:cs="宋体"/>
              </w:rPr>
            </w:pPr>
            <w:r>
              <w:rPr>
                <w:rFonts w:ascii="宋体" w:cs="宋体"/>
              </w:rPr>
              <w:t>2</w:t>
            </w:r>
          </w:p>
        </w:tc>
        <w:tc>
          <w:tcPr>
            <w:tcW w:w="1693"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Times New Roman"/>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Times New Roman"/>
              </w:rPr>
            </w:pPr>
            <w:r>
              <w:rPr>
                <w:rFonts w:hint="eastAsia" w:ascii="宋体" w:hAnsi="宋体" w:cs="宋体"/>
              </w:rPr>
              <w:t>评价要点：</w:t>
            </w:r>
            <w:r>
              <w:rPr>
                <w:rFonts w:ascii="宋体" w:cs="Times New Roman"/>
              </w:rPr>
              <w:br w:type="textWrapping"/>
            </w:r>
            <w:r>
              <w:rPr>
                <w:rFonts w:hint="eastAsia" w:ascii="宋体" w:hAnsi="宋体" w:cs="宋体"/>
              </w:rPr>
              <w:t>①是否符合国家法律法规、国民经济和社会发展总体规划；</w:t>
            </w:r>
            <w:r>
              <w:rPr>
                <w:rFonts w:ascii="宋体" w:cs="Times New Roman"/>
              </w:rPr>
              <w:br w:type="textWrapping"/>
            </w:r>
            <w:r>
              <w:rPr>
                <w:rFonts w:hint="eastAsia" w:ascii="宋体" w:hAnsi="宋体" w:cs="宋体"/>
              </w:rPr>
              <w:t>②是否符合部门“三定”方案确定的职责；</w:t>
            </w:r>
            <w:r>
              <w:rPr>
                <w:rFonts w:ascii="宋体" w:cs="Times New Roman"/>
              </w:rPr>
              <w:br w:type="textWrapping"/>
            </w: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7" w:type="pct"/>
            <w:vMerge w:val="continue"/>
            <w:vAlign w:val="center"/>
          </w:tcPr>
          <w:p>
            <w:pPr>
              <w:spacing w:line="240" w:lineRule="exact"/>
              <w:rPr>
                <w:rFonts w:ascii="宋体" w:cs="Times New Roman"/>
              </w:rPr>
            </w:pPr>
          </w:p>
        </w:tc>
        <w:tc>
          <w:tcPr>
            <w:tcW w:w="375" w:type="pct"/>
            <w:vMerge w:val="continue"/>
            <w:vAlign w:val="center"/>
          </w:tcPr>
          <w:p>
            <w:pPr>
              <w:spacing w:line="240" w:lineRule="exact"/>
              <w:rPr>
                <w:rFonts w:ascii="宋体" w:cs="Times New Roman"/>
              </w:rPr>
            </w:pPr>
          </w:p>
        </w:tc>
        <w:tc>
          <w:tcPr>
            <w:tcW w:w="500" w:type="pct"/>
            <w:tcMar>
              <w:top w:w="10" w:type="dxa"/>
              <w:left w:w="10" w:type="dxa"/>
              <w:bottom w:w="0" w:type="dxa"/>
              <w:right w:w="10" w:type="dxa"/>
            </w:tcMar>
            <w:vAlign w:val="center"/>
          </w:tcPr>
          <w:p>
            <w:pPr>
              <w:spacing w:line="240" w:lineRule="exact"/>
              <w:jc w:val="center"/>
              <w:rPr>
                <w:rFonts w:ascii="宋体" w:cs="Times New Roman"/>
              </w:rPr>
            </w:pPr>
            <w:r>
              <w:rPr>
                <w:rFonts w:hint="eastAsia" w:ascii="宋体" w:hAnsi="宋体" w:cs="宋体"/>
              </w:rPr>
              <w:t>绩效指标</w:t>
            </w:r>
          </w:p>
          <w:p>
            <w:pPr>
              <w:spacing w:line="240" w:lineRule="exact"/>
              <w:jc w:val="center"/>
              <w:rPr>
                <w:rFonts w:ascii="宋体" w:cs="Times New Roman"/>
              </w:rPr>
            </w:pPr>
            <w:r>
              <w:rPr>
                <w:rFonts w:hint="eastAsia" w:ascii="宋体" w:hAnsi="宋体" w:cs="宋体"/>
              </w:rPr>
              <w:t>明确性（</w:t>
            </w:r>
            <w:r>
              <w:rPr>
                <w:rFonts w:ascii="宋体" w:hAnsi="宋体" w:cs="宋体"/>
              </w:rPr>
              <w:t>3</w:t>
            </w:r>
            <w:r>
              <w:rPr>
                <w:rFonts w:hint="eastAsia" w:ascii="宋体" w:hAnsi="宋体" w:cs="宋体"/>
              </w:rPr>
              <w:t>分）</w:t>
            </w:r>
          </w:p>
        </w:tc>
        <w:tc>
          <w:tcPr>
            <w:tcW w:w="258" w:type="pct"/>
          </w:tcPr>
          <w:p>
            <w:pPr>
              <w:tabs>
                <w:tab w:val="left" w:pos="2604"/>
              </w:tabs>
              <w:spacing w:line="240" w:lineRule="exact"/>
              <w:ind w:left="105" w:leftChars="50" w:right="105" w:rightChars="50" w:firstLine="96" w:firstLineChars="46"/>
              <w:rPr>
                <w:rFonts w:ascii="宋体" w:cs="宋体"/>
              </w:rPr>
            </w:pPr>
            <w:r>
              <w:rPr>
                <w:rFonts w:ascii="宋体" w:cs="宋体"/>
              </w:rPr>
              <w:t>3</w:t>
            </w:r>
          </w:p>
        </w:tc>
        <w:tc>
          <w:tcPr>
            <w:tcW w:w="1693"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Times New Roman"/>
              </w:rPr>
            </w:pPr>
            <w:r>
              <w:rPr>
                <w:rFonts w:hint="eastAsia" w:ascii="宋体" w:hAnsi="宋体" w:cs="宋体"/>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Times New Roman"/>
              </w:rPr>
            </w:pPr>
            <w:r>
              <w:rPr>
                <w:rFonts w:hint="eastAsia" w:ascii="宋体" w:hAnsi="宋体" w:cs="宋体"/>
              </w:rPr>
              <w:t>评价要点：</w:t>
            </w:r>
            <w:r>
              <w:rPr>
                <w:rFonts w:ascii="宋体" w:cs="Times New Roman"/>
              </w:rPr>
              <w:br w:type="textWrapping"/>
            </w:r>
            <w:r>
              <w:rPr>
                <w:rFonts w:hint="eastAsia" w:ascii="宋体" w:hAnsi="宋体" w:cs="宋体"/>
              </w:rPr>
              <w:t>①是否将部门整体的绩效目标细化分解为具体的工作任务；</w:t>
            </w:r>
            <w:r>
              <w:rPr>
                <w:rFonts w:ascii="宋体" w:cs="Times New Roman"/>
              </w:rPr>
              <w:br w:type="textWrapping"/>
            </w: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r>
              <w:rPr>
                <w:rFonts w:ascii="宋体" w:cs="Times New Roman"/>
              </w:rPr>
              <w:br w:type="textWrapping"/>
            </w: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7" w:type="pct"/>
            <w:vMerge w:val="continue"/>
            <w:vAlign w:val="center"/>
          </w:tcPr>
          <w:p>
            <w:pPr>
              <w:spacing w:line="240" w:lineRule="exact"/>
              <w:rPr>
                <w:rFonts w:ascii="宋体" w:cs="Times New Roman"/>
              </w:rPr>
            </w:pPr>
          </w:p>
        </w:tc>
        <w:tc>
          <w:tcPr>
            <w:tcW w:w="375" w:type="pct"/>
            <w:vMerge w:val="restart"/>
            <w:tcMar>
              <w:top w:w="10" w:type="dxa"/>
              <w:left w:w="10" w:type="dxa"/>
              <w:bottom w:w="0" w:type="dxa"/>
              <w:right w:w="10" w:type="dxa"/>
            </w:tcMar>
            <w:vAlign w:val="center"/>
          </w:tcPr>
          <w:p>
            <w:pPr>
              <w:spacing w:line="240" w:lineRule="exact"/>
              <w:jc w:val="center"/>
              <w:rPr>
                <w:rFonts w:ascii="宋体" w:cs="Times New Roman"/>
              </w:rPr>
            </w:pPr>
            <w:r>
              <w:rPr>
                <w:rFonts w:hint="eastAsia" w:ascii="宋体" w:hAnsi="宋体" w:cs="宋体"/>
              </w:rPr>
              <w:t>预算</w:t>
            </w:r>
            <w:r>
              <w:rPr>
                <w:rFonts w:ascii="宋体" w:cs="Times New Roman"/>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Times New Roman"/>
              </w:rPr>
            </w:pPr>
            <w:r>
              <w:rPr>
                <w:rFonts w:hint="eastAsia" w:ascii="宋体" w:hAnsi="宋体" w:cs="宋体"/>
              </w:rPr>
              <w:t>在职人员</w:t>
            </w:r>
          </w:p>
          <w:p>
            <w:pPr>
              <w:spacing w:line="240" w:lineRule="exact"/>
              <w:jc w:val="center"/>
              <w:rPr>
                <w:rFonts w:ascii="宋体" w:cs="Times New Roman"/>
              </w:rPr>
            </w:pPr>
            <w:r>
              <w:rPr>
                <w:rFonts w:hint="eastAsia" w:ascii="宋体" w:hAnsi="宋体" w:cs="宋体"/>
              </w:rPr>
              <w:t>控制率（</w:t>
            </w:r>
            <w:r>
              <w:rPr>
                <w:rFonts w:ascii="宋体" w:hAnsi="宋体" w:cs="宋体"/>
              </w:rPr>
              <w:t>5</w:t>
            </w:r>
            <w:r>
              <w:rPr>
                <w:rFonts w:hint="eastAsia" w:ascii="宋体" w:hAnsi="宋体" w:cs="宋体"/>
              </w:rPr>
              <w:t>分）</w:t>
            </w:r>
          </w:p>
        </w:tc>
        <w:tc>
          <w:tcPr>
            <w:tcW w:w="258" w:type="pct"/>
          </w:tcPr>
          <w:p>
            <w:pPr>
              <w:tabs>
                <w:tab w:val="left" w:pos="2604"/>
              </w:tabs>
              <w:spacing w:line="240" w:lineRule="exact"/>
              <w:ind w:left="105" w:leftChars="50" w:right="105" w:rightChars="50" w:firstLine="96" w:firstLineChars="46"/>
              <w:rPr>
                <w:rFonts w:ascii="宋体" w:cs="宋体"/>
              </w:rPr>
            </w:pPr>
            <w:r>
              <w:rPr>
                <w:rFonts w:ascii="宋体" w:cs="宋体"/>
              </w:rPr>
              <w:t>4.5</w:t>
            </w:r>
          </w:p>
        </w:tc>
        <w:tc>
          <w:tcPr>
            <w:tcW w:w="1693"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Times New Roman"/>
              </w:rPr>
            </w:pPr>
            <w:r>
              <w:rPr>
                <w:rFonts w:hint="eastAsia" w:ascii="宋体" w:hAnsi="宋体" w:cs="宋体"/>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Times New Roman"/>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r>
              <w:rPr>
                <w:rFonts w:ascii="宋体" w:cs="Times New Roman"/>
              </w:rPr>
              <w:br w:type="textWrapping"/>
            </w:r>
            <w:r>
              <w:rPr>
                <w:rFonts w:hint="eastAsia" w:ascii="宋体" w:hAnsi="宋体" w:cs="宋体"/>
              </w:rPr>
              <w:t>在职人员数：部门实际在职人数，以财政部确定的部门决算编制口径为准。</w:t>
            </w:r>
            <w:r>
              <w:rPr>
                <w:rFonts w:ascii="宋体" w:cs="Times New Roman"/>
              </w:rPr>
              <w:br w:type="textWrapping"/>
            </w: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vAlign w:val="center"/>
          </w:tcPr>
          <w:p>
            <w:pPr>
              <w:spacing w:line="240" w:lineRule="exact"/>
              <w:rPr>
                <w:rFonts w:ascii="宋体" w:cs="Times New Roman"/>
              </w:rPr>
            </w:pPr>
          </w:p>
        </w:tc>
        <w:tc>
          <w:tcPr>
            <w:tcW w:w="375" w:type="pct"/>
            <w:vMerge w:val="continue"/>
            <w:vAlign w:val="center"/>
          </w:tcPr>
          <w:p>
            <w:pPr>
              <w:spacing w:line="240" w:lineRule="exact"/>
              <w:rPr>
                <w:rFonts w:ascii="宋体" w:cs="Times New Roman"/>
              </w:rPr>
            </w:pPr>
          </w:p>
        </w:tc>
        <w:tc>
          <w:tcPr>
            <w:tcW w:w="500" w:type="pct"/>
            <w:tcMar>
              <w:top w:w="10" w:type="dxa"/>
              <w:left w:w="10" w:type="dxa"/>
              <w:bottom w:w="0" w:type="dxa"/>
              <w:right w:w="10" w:type="dxa"/>
            </w:tcMar>
            <w:vAlign w:val="center"/>
          </w:tcPr>
          <w:p>
            <w:pPr>
              <w:spacing w:line="240" w:lineRule="exact"/>
              <w:jc w:val="center"/>
              <w:rPr>
                <w:rFonts w:ascii="宋体" w:cs="Times New Roman"/>
              </w:rPr>
            </w:pPr>
            <w:r>
              <w:rPr>
                <w:rFonts w:hint="eastAsia" w:ascii="宋体" w:hAnsi="宋体" w:cs="宋体"/>
              </w:rPr>
              <w:t>“三公经费”</w:t>
            </w:r>
          </w:p>
          <w:p>
            <w:pPr>
              <w:spacing w:line="240" w:lineRule="exact"/>
              <w:jc w:val="center"/>
              <w:rPr>
                <w:rFonts w:ascii="宋体" w:cs="Times New Roman"/>
              </w:rPr>
            </w:pPr>
            <w:r>
              <w:rPr>
                <w:rFonts w:hint="eastAsia" w:ascii="宋体" w:hAnsi="宋体" w:cs="宋体"/>
              </w:rPr>
              <w:t>变动率（</w:t>
            </w:r>
            <w:r>
              <w:rPr>
                <w:rFonts w:ascii="宋体" w:hAnsi="宋体" w:cs="宋体"/>
              </w:rPr>
              <w:t>5</w:t>
            </w:r>
            <w:r>
              <w:rPr>
                <w:rFonts w:hint="eastAsia" w:ascii="宋体" w:hAnsi="宋体" w:cs="宋体"/>
              </w:rPr>
              <w:t>分）</w:t>
            </w:r>
          </w:p>
        </w:tc>
        <w:tc>
          <w:tcPr>
            <w:tcW w:w="258" w:type="pct"/>
          </w:tcPr>
          <w:p>
            <w:pPr>
              <w:tabs>
                <w:tab w:val="left" w:pos="2604"/>
              </w:tabs>
              <w:spacing w:line="240" w:lineRule="exact"/>
              <w:ind w:left="105" w:leftChars="50" w:right="105" w:rightChars="50" w:firstLine="96" w:firstLineChars="46"/>
              <w:rPr>
                <w:rFonts w:ascii="宋体" w:cs="宋体"/>
              </w:rPr>
            </w:pPr>
            <w:r>
              <w:rPr>
                <w:rFonts w:ascii="宋体" w:cs="宋体"/>
              </w:rPr>
              <w:t>5</w:t>
            </w:r>
          </w:p>
        </w:tc>
        <w:tc>
          <w:tcPr>
            <w:tcW w:w="1693"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Times New Roman"/>
              </w:rPr>
            </w:pPr>
            <w:r>
              <w:rPr>
                <w:rFonts w:hint="eastAsia" w:ascii="宋体" w:hAnsi="宋体" w:cs="宋体"/>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Times New Roman"/>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cs="Times New Roman"/>
              </w:rPr>
              <w:br w:type="textWrapping"/>
            </w: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7" w:type="pct"/>
            <w:vMerge w:val="continue"/>
            <w:vAlign w:val="center"/>
          </w:tcPr>
          <w:p>
            <w:pPr>
              <w:spacing w:line="240" w:lineRule="exact"/>
              <w:rPr>
                <w:rFonts w:ascii="宋体" w:cs="Times New Roman"/>
              </w:rPr>
            </w:pPr>
          </w:p>
        </w:tc>
        <w:tc>
          <w:tcPr>
            <w:tcW w:w="375" w:type="pct"/>
            <w:vMerge w:val="continue"/>
            <w:vAlign w:val="center"/>
          </w:tcPr>
          <w:p>
            <w:pPr>
              <w:spacing w:line="240" w:lineRule="exact"/>
              <w:rPr>
                <w:rFonts w:ascii="宋体" w:cs="Times New Roman"/>
              </w:rPr>
            </w:pPr>
          </w:p>
        </w:tc>
        <w:tc>
          <w:tcPr>
            <w:tcW w:w="500" w:type="pct"/>
            <w:tcMar>
              <w:top w:w="10" w:type="dxa"/>
              <w:left w:w="10" w:type="dxa"/>
              <w:bottom w:w="0" w:type="dxa"/>
              <w:right w:w="10" w:type="dxa"/>
            </w:tcMar>
            <w:vAlign w:val="center"/>
          </w:tcPr>
          <w:p>
            <w:pPr>
              <w:spacing w:line="240" w:lineRule="exact"/>
              <w:jc w:val="center"/>
              <w:rPr>
                <w:rFonts w:ascii="宋体" w:cs="Times New Roman"/>
              </w:rPr>
            </w:pPr>
            <w:r>
              <w:rPr>
                <w:rFonts w:hint="eastAsia" w:ascii="宋体" w:hAnsi="宋体" w:cs="宋体"/>
              </w:rPr>
              <w:t>重点支出</w:t>
            </w:r>
          </w:p>
          <w:p>
            <w:pPr>
              <w:spacing w:line="240" w:lineRule="exact"/>
              <w:jc w:val="center"/>
              <w:rPr>
                <w:rFonts w:ascii="宋体" w:cs="Times New Roman"/>
              </w:rPr>
            </w:pPr>
            <w:r>
              <w:rPr>
                <w:rFonts w:hint="eastAsia" w:ascii="宋体" w:hAnsi="宋体" w:cs="宋体"/>
              </w:rPr>
              <w:t>安排率（</w:t>
            </w:r>
            <w:r>
              <w:rPr>
                <w:rFonts w:ascii="宋体" w:hAnsi="宋体" w:cs="宋体"/>
              </w:rPr>
              <w:t>5</w:t>
            </w:r>
            <w:r>
              <w:rPr>
                <w:rFonts w:hint="eastAsia" w:ascii="宋体" w:hAnsi="宋体" w:cs="宋体"/>
              </w:rPr>
              <w:t>分）</w:t>
            </w:r>
          </w:p>
        </w:tc>
        <w:tc>
          <w:tcPr>
            <w:tcW w:w="258" w:type="pct"/>
          </w:tcPr>
          <w:p>
            <w:pPr>
              <w:tabs>
                <w:tab w:val="left" w:pos="2604"/>
              </w:tabs>
              <w:spacing w:line="240" w:lineRule="exact"/>
              <w:ind w:left="105" w:leftChars="50" w:right="105" w:rightChars="50" w:firstLine="96" w:firstLineChars="46"/>
              <w:rPr>
                <w:rFonts w:ascii="宋体" w:cs="宋体"/>
              </w:rPr>
            </w:pPr>
            <w:r>
              <w:rPr>
                <w:rFonts w:ascii="宋体" w:cs="宋体"/>
              </w:rPr>
              <w:t>5</w:t>
            </w:r>
          </w:p>
        </w:tc>
        <w:tc>
          <w:tcPr>
            <w:tcW w:w="1693"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Times New Roman"/>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Times New Roman"/>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r>
              <w:rPr>
                <w:rFonts w:ascii="宋体" w:cs="Times New Roman"/>
              </w:rPr>
              <w:br w:type="textWrapping"/>
            </w:r>
            <w:r>
              <w:rPr>
                <w:rFonts w:hint="eastAsia" w:ascii="宋体" w:hAnsi="宋体" w:cs="宋体"/>
              </w:rPr>
              <w:t>重点预算支出：部门年度预算安排的，与本部门履职和发展密切相关、具有明显社会和经济影响、党委政府关心或社会比较关注的预算支出支出总额。</w:t>
            </w:r>
            <w:r>
              <w:rPr>
                <w:rFonts w:ascii="宋体" w:cs="Times New Roman"/>
              </w:rPr>
              <w:br w:type="textWrapping"/>
            </w: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Times New Roman"/>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Times New Roman"/>
              </w:rPr>
            </w:pPr>
            <w:r>
              <w:rPr>
                <w:rFonts w:hint="eastAsia" w:ascii="宋体" w:hAnsi="宋体" w:cs="宋体"/>
              </w:rPr>
              <w:t>预算</w:t>
            </w:r>
            <w:r>
              <w:rPr>
                <w:rFonts w:ascii="宋体" w:cs="Times New Roman"/>
              </w:rPr>
              <w:br w:type="textWrapping"/>
            </w:r>
            <w:r>
              <w:rPr>
                <w:rFonts w:hint="eastAsia" w:ascii="宋体" w:hAnsi="宋体" w:cs="宋体"/>
              </w:rPr>
              <w:t>执行（</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Times New Roman"/>
              </w:rPr>
            </w:pPr>
            <w:r>
              <w:rPr>
                <w:rFonts w:hint="eastAsia" w:ascii="宋体" w:hAnsi="宋体" w:cs="宋体"/>
              </w:rPr>
              <w:t>预算</w:t>
            </w:r>
          </w:p>
          <w:p>
            <w:pPr>
              <w:spacing w:line="240" w:lineRule="exact"/>
              <w:jc w:val="center"/>
              <w:rPr>
                <w:rFonts w:ascii="宋体" w:cs="Times New Roman"/>
              </w:rPr>
            </w:pPr>
            <w:r>
              <w:rPr>
                <w:rFonts w:hint="eastAsia" w:ascii="宋体" w:hAnsi="宋体" w:cs="宋体"/>
              </w:rPr>
              <w:t>执行率（</w:t>
            </w:r>
            <w:r>
              <w:rPr>
                <w:rFonts w:ascii="宋体" w:hAnsi="宋体" w:cs="宋体"/>
              </w:rPr>
              <w:t>4</w:t>
            </w:r>
            <w:r>
              <w:rPr>
                <w:rFonts w:hint="eastAsia" w:ascii="宋体" w:hAnsi="宋体" w:cs="宋体"/>
              </w:rPr>
              <w:t>分）</w:t>
            </w:r>
          </w:p>
        </w:tc>
        <w:tc>
          <w:tcPr>
            <w:tcW w:w="258" w:type="pct"/>
          </w:tcPr>
          <w:p>
            <w:pPr>
              <w:tabs>
                <w:tab w:val="left" w:pos="2604"/>
              </w:tabs>
              <w:spacing w:line="240" w:lineRule="exact"/>
              <w:ind w:left="105" w:leftChars="50" w:right="105" w:rightChars="50" w:firstLine="96" w:firstLineChars="46"/>
              <w:rPr>
                <w:rFonts w:ascii="宋体" w:cs="宋体"/>
              </w:rPr>
            </w:pPr>
            <w:r>
              <w:rPr>
                <w:rFonts w:ascii="宋体" w:cs="宋体"/>
              </w:rPr>
              <w:t>4</w:t>
            </w:r>
          </w:p>
        </w:tc>
        <w:tc>
          <w:tcPr>
            <w:tcW w:w="1693"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Times New Roman"/>
              </w:rPr>
            </w:pPr>
            <w:r>
              <w:rPr>
                <w:rFonts w:hint="eastAsia" w:ascii="宋体" w:hAnsi="宋体" w:cs="宋体"/>
              </w:rPr>
              <w:t>部门本年度预算完成数与预算数的比率，用以反映和考核部门预算完成程度。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Times New Roman"/>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Times New Roman"/>
              </w:rPr>
              <w:br w:type="textWrapping"/>
            </w:r>
            <w:r>
              <w:rPr>
                <w:rFonts w:hint="eastAsia" w:ascii="宋体" w:hAnsi="宋体" w:cs="宋体"/>
              </w:rPr>
              <w:t>预算执行数：部门本年度实际完成的预算数。</w:t>
            </w:r>
            <w:r>
              <w:rPr>
                <w:rFonts w:ascii="宋体" w:cs="Times New Roman"/>
              </w:rPr>
              <w:br w:type="textWrapping"/>
            </w: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vAlign w:val="center"/>
          </w:tcPr>
          <w:p>
            <w:pPr>
              <w:spacing w:line="240" w:lineRule="exact"/>
              <w:jc w:val="center"/>
              <w:rPr>
                <w:rFonts w:ascii="宋体" w:cs="Times New Roman"/>
              </w:rPr>
            </w:pPr>
          </w:p>
        </w:tc>
        <w:tc>
          <w:tcPr>
            <w:tcW w:w="375" w:type="pct"/>
            <w:vMerge w:val="continue"/>
            <w:vAlign w:val="center"/>
          </w:tcPr>
          <w:p>
            <w:pPr>
              <w:spacing w:line="240" w:lineRule="exact"/>
              <w:jc w:val="center"/>
              <w:rPr>
                <w:rFonts w:ascii="宋体" w:cs="Times New Roman"/>
              </w:rPr>
            </w:pPr>
          </w:p>
        </w:tc>
        <w:tc>
          <w:tcPr>
            <w:tcW w:w="500" w:type="pct"/>
            <w:tcMar>
              <w:top w:w="10" w:type="dxa"/>
              <w:left w:w="10" w:type="dxa"/>
              <w:bottom w:w="0" w:type="dxa"/>
              <w:right w:w="10" w:type="dxa"/>
            </w:tcMar>
            <w:vAlign w:val="center"/>
          </w:tcPr>
          <w:p>
            <w:pPr>
              <w:spacing w:line="240" w:lineRule="exact"/>
              <w:jc w:val="center"/>
              <w:rPr>
                <w:rFonts w:ascii="宋体" w:cs="Times New Roman"/>
              </w:rPr>
            </w:pPr>
            <w:r>
              <w:rPr>
                <w:rFonts w:hint="eastAsia" w:ascii="宋体" w:hAnsi="宋体" w:cs="宋体"/>
              </w:rPr>
              <w:t>预算</w:t>
            </w:r>
          </w:p>
          <w:p>
            <w:pPr>
              <w:spacing w:line="240" w:lineRule="exact"/>
              <w:jc w:val="center"/>
              <w:rPr>
                <w:rFonts w:ascii="宋体" w:cs="Times New Roman"/>
              </w:rPr>
            </w:pPr>
            <w:r>
              <w:rPr>
                <w:rFonts w:hint="eastAsia" w:ascii="宋体" w:hAnsi="宋体" w:cs="宋体"/>
              </w:rPr>
              <w:t>调整率（</w:t>
            </w:r>
            <w:r>
              <w:rPr>
                <w:rFonts w:ascii="宋体" w:hAnsi="宋体" w:cs="宋体"/>
              </w:rPr>
              <w:t>2</w:t>
            </w:r>
            <w:r>
              <w:rPr>
                <w:rFonts w:hint="eastAsia" w:ascii="宋体" w:hAnsi="宋体" w:cs="宋体"/>
              </w:rPr>
              <w:t>分）</w:t>
            </w:r>
          </w:p>
        </w:tc>
        <w:tc>
          <w:tcPr>
            <w:tcW w:w="258" w:type="pct"/>
          </w:tcPr>
          <w:p>
            <w:pPr>
              <w:tabs>
                <w:tab w:val="left" w:pos="2604"/>
              </w:tabs>
              <w:spacing w:line="240" w:lineRule="exact"/>
              <w:ind w:left="105" w:leftChars="50" w:right="105" w:rightChars="50" w:firstLine="96" w:firstLineChars="46"/>
              <w:rPr>
                <w:rFonts w:ascii="宋体" w:cs="宋体"/>
              </w:rPr>
            </w:pPr>
            <w:r>
              <w:rPr>
                <w:rFonts w:ascii="宋体" w:cs="宋体"/>
              </w:rPr>
              <w:t>2</w:t>
            </w:r>
          </w:p>
        </w:tc>
        <w:tc>
          <w:tcPr>
            <w:tcW w:w="1693"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Times New Roman"/>
              </w:rPr>
            </w:pPr>
            <w:r>
              <w:rPr>
                <w:rFonts w:hint="eastAsia" w:ascii="宋体" w:hAnsi="宋体" w:cs="宋体"/>
              </w:rPr>
              <w:t>部门本年度预算调整数与预算数的比率，用以反映和考核部门预算的调整程度。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Times New Roman"/>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Times New Roman"/>
              </w:rPr>
              <w:br w:type="textWrapping"/>
            </w: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7" w:type="pct"/>
            <w:vMerge w:val="continue"/>
            <w:vAlign w:val="center"/>
          </w:tcPr>
          <w:p>
            <w:pPr>
              <w:spacing w:line="240" w:lineRule="exact"/>
              <w:jc w:val="center"/>
              <w:rPr>
                <w:rFonts w:ascii="宋体" w:cs="Times New Roman"/>
              </w:rPr>
            </w:pPr>
          </w:p>
        </w:tc>
        <w:tc>
          <w:tcPr>
            <w:tcW w:w="375" w:type="pct"/>
            <w:vMerge w:val="continue"/>
            <w:vAlign w:val="center"/>
          </w:tcPr>
          <w:p>
            <w:pPr>
              <w:spacing w:line="240" w:lineRule="exact"/>
              <w:jc w:val="center"/>
              <w:rPr>
                <w:rFonts w:ascii="宋体" w:cs="Times New Roman"/>
              </w:rPr>
            </w:pPr>
          </w:p>
        </w:tc>
        <w:tc>
          <w:tcPr>
            <w:tcW w:w="500" w:type="pct"/>
            <w:tcMar>
              <w:top w:w="10" w:type="dxa"/>
              <w:left w:w="10" w:type="dxa"/>
              <w:bottom w:w="0" w:type="dxa"/>
              <w:right w:w="10" w:type="dxa"/>
            </w:tcMar>
            <w:vAlign w:val="center"/>
          </w:tcPr>
          <w:p>
            <w:pPr>
              <w:spacing w:line="240" w:lineRule="exact"/>
              <w:jc w:val="center"/>
              <w:rPr>
                <w:rFonts w:ascii="宋体" w:cs="Times New Roman"/>
              </w:rPr>
            </w:pPr>
            <w:r>
              <w:rPr>
                <w:rFonts w:hint="eastAsia" w:ascii="宋体" w:hAnsi="宋体" w:cs="宋体"/>
              </w:rPr>
              <w:t>支付</w:t>
            </w:r>
          </w:p>
          <w:p>
            <w:pPr>
              <w:spacing w:line="240" w:lineRule="exact"/>
              <w:jc w:val="center"/>
              <w:rPr>
                <w:rFonts w:ascii="宋体" w:cs="Times New Roman"/>
              </w:rPr>
            </w:pPr>
            <w:r>
              <w:rPr>
                <w:rFonts w:hint="eastAsia" w:ascii="宋体" w:hAnsi="宋体" w:cs="宋体"/>
              </w:rPr>
              <w:t>进度率（</w:t>
            </w:r>
            <w:r>
              <w:rPr>
                <w:rFonts w:ascii="宋体" w:hAnsi="宋体" w:cs="宋体"/>
              </w:rPr>
              <w:t>1.5</w:t>
            </w:r>
            <w:r>
              <w:rPr>
                <w:rFonts w:hint="eastAsia" w:ascii="宋体" w:hAnsi="宋体" w:cs="宋体"/>
              </w:rPr>
              <w:t>分）</w:t>
            </w:r>
          </w:p>
        </w:tc>
        <w:tc>
          <w:tcPr>
            <w:tcW w:w="258" w:type="pct"/>
          </w:tcPr>
          <w:p>
            <w:pPr>
              <w:tabs>
                <w:tab w:val="left" w:pos="2604"/>
              </w:tabs>
              <w:spacing w:line="240" w:lineRule="exact"/>
              <w:ind w:left="105" w:leftChars="50" w:right="105" w:rightChars="50" w:firstLine="96" w:firstLineChars="46"/>
              <w:rPr>
                <w:rFonts w:ascii="宋体" w:cs="宋体"/>
              </w:rPr>
            </w:pPr>
            <w:r>
              <w:rPr>
                <w:rFonts w:ascii="宋体" w:cs="宋体"/>
              </w:rPr>
              <w:t>1</w:t>
            </w:r>
          </w:p>
        </w:tc>
        <w:tc>
          <w:tcPr>
            <w:tcW w:w="1693"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Times New Roman"/>
              </w:rPr>
            </w:pPr>
            <w:r>
              <w:rPr>
                <w:rFonts w:hint="eastAsia" w:ascii="宋体" w:hAnsi="宋体" w:cs="宋体"/>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Times New Roman"/>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r>
              <w:rPr>
                <w:rFonts w:ascii="宋体" w:cs="Times New Roman"/>
              </w:rPr>
              <w:br w:type="textWrapping"/>
            </w:r>
            <w:r>
              <w:rPr>
                <w:rFonts w:hint="eastAsia" w:ascii="宋体" w:hAnsi="宋体" w:cs="宋体"/>
              </w:rPr>
              <w:t>实际支付进度：部门在某一时点的支出预算执行总数与年度支出预算数的比率。</w:t>
            </w:r>
            <w:r>
              <w:rPr>
                <w:rFonts w:ascii="宋体" w:cs="Times New Roman"/>
              </w:rPr>
              <w:br w:type="textWrapping"/>
            </w: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Times New Roman"/>
              </w:rPr>
            </w:pPr>
          </w:p>
        </w:tc>
        <w:tc>
          <w:tcPr>
            <w:tcW w:w="375" w:type="pct"/>
            <w:vMerge w:val="continue"/>
            <w:tcMar>
              <w:top w:w="10" w:type="dxa"/>
              <w:left w:w="10" w:type="dxa"/>
              <w:bottom w:w="0" w:type="dxa"/>
              <w:right w:w="10" w:type="dxa"/>
            </w:tcMar>
            <w:vAlign w:val="center"/>
          </w:tcPr>
          <w:p>
            <w:pPr>
              <w:spacing w:line="240" w:lineRule="exact"/>
              <w:jc w:val="center"/>
              <w:rPr>
                <w:rFonts w:ascii="宋体" w:cs="Times New Roman"/>
              </w:rPr>
            </w:pPr>
          </w:p>
        </w:tc>
        <w:tc>
          <w:tcPr>
            <w:tcW w:w="500" w:type="pct"/>
            <w:tcMar>
              <w:top w:w="10" w:type="dxa"/>
              <w:left w:w="10" w:type="dxa"/>
              <w:bottom w:w="0" w:type="dxa"/>
              <w:right w:w="10" w:type="dxa"/>
            </w:tcMar>
            <w:vAlign w:val="center"/>
          </w:tcPr>
          <w:p>
            <w:pPr>
              <w:spacing w:line="240" w:lineRule="exact"/>
              <w:jc w:val="center"/>
              <w:rPr>
                <w:rFonts w:ascii="宋体" w:cs="Times New Roman"/>
              </w:rPr>
            </w:pPr>
            <w:r>
              <w:rPr>
                <w:rFonts w:hint="eastAsia" w:ascii="宋体" w:hAnsi="宋体" w:cs="宋体"/>
              </w:rPr>
              <w:t>结转</w:t>
            </w:r>
          </w:p>
          <w:p>
            <w:pPr>
              <w:spacing w:line="240" w:lineRule="exact"/>
              <w:jc w:val="center"/>
              <w:rPr>
                <w:rFonts w:ascii="宋体" w:cs="Times New Roman"/>
              </w:rPr>
            </w:pPr>
            <w:r>
              <w:rPr>
                <w:rFonts w:hint="eastAsia" w:ascii="宋体" w:hAnsi="宋体" w:cs="宋体"/>
              </w:rPr>
              <w:t>结余率（</w:t>
            </w:r>
            <w:r>
              <w:rPr>
                <w:rFonts w:ascii="宋体" w:hAnsi="宋体" w:cs="宋体"/>
              </w:rPr>
              <w:t>2</w:t>
            </w:r>
            <w:r>
              <w:rPr>
                <w:rFonts w:hint="eastAsia" w:ascii="宋体" w:hAnsi="宋体" w:cs="宋体"/>
              </w:rPr>
              <w:t>分）</w:t>
            </w:r>
          </w:p>
        </w:tc>
        <w:tc>
          <w:tcPr>
            <w:tcW w:w="258" w:type="pct"/>
          </w:tcPr>
          <w:p>
            <w:pPr>
              <w:tabs>
                <w:tab w:val="left" w:pos="2604"/>
              </w:tabs>
              <w:spacing w:line="240" w:lineRule="exact"/>
              <w:ind w:left="105" w:leftChars="50" w:right="105" w:rightChars="50" w:firstLine="96" w:firstLineChars="46"/>
              <w:rPr>
                <w:rFonts w:ascii="宋体" w:cs="宋体"/>
              </w:rPr>
            </w:pPr>
            <w:r>
              <w:rPr>
                <w:rFonts w:ascii="宋体" w:cs="宋体"/>
              </w:rPr>
              <w:t>2</w:t>
            </w:r>
          </w:p>
        </w:tc>
        <w:tc>
          <w:tcPr>
            <w:tcW w:w="1693"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Times New Roman"/>
              </w:rPr>
            </w:pPr>
            <w:r>
              <w:rPr>
                <w:rFonts w:hint="eastAsia" w:ascii="宋体" w:hAnsi="宋体" w:cs="宋体"/>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Times New Roman"/>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r>
              <w:rPr>
                <w:rFonts w:ascii="宋体" w:cs="Times New Roman"/>
              </w:rPr>
              <w:br w:type="textWrapping"/>
            </w: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7" w:type="pct"/>
            <w:vMerge w:val="continue"/>
            <w:vAlign w:val="center"/>
          </w:tcPr>
          <w:p>
            <w:pPr>
              <w:spacing w:line="240" w:lineRule="exact"/>
              <w:jc w:val="center"/>
              <w:rPr>
                <w:rFonts w:ascii="宋体" w:cs="Times New Roman"/>
              </w:rPr>
            </w:pPr>
          </w:p>
        </w:tc>
        <w:tc>
          <w:tcPr>
            <w:tcW w:w="375" w:type="pct"/>
            <w:vMerge w:val="continue"/>
            <w:vAlign w:val="center"/>
          </w:tcPr>
          <w:p>
            <w:pPr>
              <w:spacing w:line="240" w:lineRule="exact"/>
              <w:rPr>
                <w:rFonts w:ascii="宋体" w:cs="Times New Roman"/>
              </w:rPr>
            </w:pPr>
          </w:p>
        </w:tc>
        <w:tc>
          <w:tcPr>
            <w:tcW w:w="500" w:type="pct"/>
            <w:tcMar>
              <w:top w:w="10" w:type="dxa"/>
              <w:left w:w="10" w:type="dxa"/>
              <w:bottom w:w="0" w:type="dxa"/>
              <w:right w:w="10" w:type="dxa"/>
            </w:tcMar>
            <w:vAlign w:val="center"/>
          </w:tcPr>
          <w:p>
            <w:pPr>
              <w:spacing w:line="240" w:lineRule="exact"/>
              <w:jc w:val="center"/>
              <w:rPr>
                <w:rFonts w:ascii="宋体" w:cs="Times New Roman"/>
              </w:rPr>
            </w:pPr>
            <w:r>
              <w:rPr>
                <w:rFonts w:hint="eastAsia" w:ascii="宋体" w:hAnsi="宋体" w:cs="宋体"/>
              </w:rPr>
              <w:t>结转结余</w:t>
            </w:r>
          </w:p>
          <w:p>
            <w:pPr>
              <w:spacing w:line="240" w:lineRule="exact"/>
              <w:jc w:val="center"/>
              <w:rPr>
                <w:rFonts w:ascii="宋体" w:cs="Times New Roman"/>
              </w:rPr>
            </w:pPr>
            <w:r>
              <w:rPr>
                <w:rFonts w:hint="eastAsia" w:ascii="宋体" w:hAnsi="宋体" w:cs="宋体"/>
              </w:rPr>
              <w:t>变动率（</w:t>
            </w:r>
            <w:r>
              <w:rPr>
                <w:rFonts w:ascii="宋体" w:hAnsi="宋体" w:cs="宋体"/>
              </w:rPr>
              <w:t>2</w:t>
            </w:r>
            <w:r>
              <w:rPr>
                <w:rFonts w:hint="eastAsia" w:ascii="宋体" w:hAnsi="宋体" w:cs="宋体"/>
              </w:rPr>
              <w:t>分）</w:t>
            </w:r>
          </w:p>
        </w:tc>
        <w:tc>
          <w:tcPr>
            <w:tcW w:w="258" w:type="pct"/>
          </w:tcPr>
          <w:p>
            <w:pPr>
              <w:tabs>
                <w:tab w:val="left" w:pos="2604"/>
              </w:tabs>
              <w:spacing w:line="240" w:lineRule="exact"/>
              <w:ind w:left="105" w:leftChars="50" w:right="105" w:rightChars="50" w:firstLine="96" w:firstLineChars="46"/>
              <w:rPr>
                <w:rFonts w:ascii="宋体" w:cs="宋体"/>
              </w:rPr>
            </w:pPr>
            <w:r>
              <w:rPr>
                <w:rFonts w:ascii="宋体" w:cs="宋体"/>
              </w:rPr>
              <w:t>2</w:t>
            </w:r>
          </w:p>
        </w:tc>
        <w:tc>
          <w:tcPr>
            <w:tcW w:w="1693"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Times New Roman"/>
              </w:rPr>
            </w:pPr>
            <w:r>
              <w:rPr>
                <w:rFonts w:hint="eastAsia" w:ascii="宋体" w:hAnsi="宋体" w:cs="宋体"/>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Times New Roman"/>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7" w:type="pct"/>
            <w:vMerge w:val="continue"/>
            <w:vAlign w:val="center"/>
          </w:tcPr>
          <w:p>
            <w:pPr>
              <w:spacing w:line="240" w:lineRule="exact"/>
              <w:jc w:val="center"/>
              <w:rPr>
                <w:rFonts w:ascii="宋体" w:cs="Times New Roman"/>
              </w:rPr>
            </w:pPr>
          </w:p>
        </w:tc>
        <w:tc>
          <w:tcPr>
            <w:tcW w:w="375" w:type="pct"/>
            <w:vMerge w:val="continue"/>
            <w:vAlign w:val="center"/>
          </w:tcPr>
          <w:p>
            <w:pPr>
              <w:spacing w:line="240" w:lineRule="exact"/>
              <w:rPr>
                <w:rFonts w:ascii="宋体" w:cs="Times New Roman"/>
              </w:rPr>
            </w:pPr>
          </w:p>
        </w:tc>
        <w:tc>
          <w:tcPr>
            <w:tcW w:w="500" w:type="pct"/>
            <w:tcMar>
              <w:top w:w="10" w:type="dxa"/>
              <w:left w:w="10" w:type="dxa"/>
              <w:bottom w:w="0" w:type="dxa"/>
              <w:right w:w="10" w:type="dxa"/>
            </w:tcMar>
            <w:vAlign w:val="center"/>
          </w:tcPr>
          <w:p>
            <w:pPr>
              <w:spacing w:line="240" w:lineRule="exact"/>
              <w:jc w:val="center"/>
              <w:rPr>
                <w:rFonts w:ascii="宋体" w:cs="Times New Roman"/>
              </w:rPr>
            </w:pPr>
            <w:r>
              <w:rPr>
                <w:rFonts w:hint="eastAsia" w:ascii="宋体" w:hAnsi="宋体" w:cs="宋体"/>
              </w:rPr>
              <w:t>公用经费</w:t>
            </w:r>
          </w:p>
          <w:p>
            <w:pPr>
              <w:spacing w:line="240" w:lineRule="exact"/>
              <w:jc w:val="center"/>
              <w:rPr>
                <w:rFonts w:ascii="宋体" w:cs="Times New Roman"/>
              </w:rPr>
            </w:pPr>
            <w:r>
              <w:rPr>
                <w:rFonts w:hint="eastAsia" w:ascii="宋体" w:hAnsi="宋体" w:cs="宋体"/>
              </w:rPr>
              <w:t>控制率（</w:t>
            </w:r>
            <w:r>
              <w:rPr>
                <w:rFonts w:ascii="宋体" w:hAnsi="宋体" w:cs="宋体"/>
              </w:rPr>
              <w:t>2</w:t>
            </w:r>
            <w:r>
              <w:rPr>
                <w:rFonts w:hint="eastAsia" w:ascii="宋体" w:hAnsi="宋体" w:cs="宋体"/>
              </w:rPr>
              <w:t>分）</w:t>
            </w:r>
          </w:p>
        </w:tc>
        <w:tc>
          <w:tcPr>
            <w:tcW w:w="258" w:type="pct"/>
          </w:tcPr>
          <w:p>
            <w:pPr>
              <w:tabs>
                <w:tab w:val="left" w:pos="2604"/>
              </w:tabs>
              <w:spacing w:line="240" w:lineRule="exact"/>
              <w:ind w:left="105" w:leftChars="50" w:right="105" w:rightChars="50" w:firstLine="96" w:firstLineChars="46"/>
              <w:rPr>
                <w:rFonts w:ascii="宋体" w:cs="宋体"/>
              </w:rPr>
            </w:pPr>
            <w:r>
              <w:rPr>
                <w:rFonts w:ascii="宋体" w:cs="宋体"/>
              </w:rPr>
              <w:t>2</w:t>
            </w:r>
          </w:p>
        </w:tc>
        <w:tc>
          <w:tcPr>
            <w:tcW w:w="1693"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Times New Roman"/>
              </w:rPr>
            </w:pPr>
            <w:r>
              <w:rPr>
                <w:rFonts w:hint="eastAsia" w:ascii="宋体" w:hAnsi="宋体" w:cs="宋体"/>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Times New Roman"/>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vAlign w:val="center"/>
          </w:tcPr>
          <w:p>
            <w:pPr>
              <w:spacing w:line="240" w:lineRule="exact"/>
              <w:jc w:val="center"/>
              <w:rPr>
                <w:rFonts w:ascii="宋体" w:cs="Times New Roman"/>
              </w:rPr>
            </w:pPr>
          </w:p>
        </w:tc>
        <w:tc>
          <w:tcPr>
            <w:tcW w:w="375" w:type="pct"/>
            <w:vMerge w:val="continue"/>
            <w:vAlign w:val="center"/>
          </w:tcPr>
          <w:p>
            <w:pPr>
              <w:spacing w:line="240" w:lineRule="exact"/>
              <w:jc w:val="center"/>
              <w:rPr>
                <w:rFonts w:ascii="宋体" w:cs="Times New Roman"/>
              </w:rPr>
            </w:pPr>
          </w:p>
        </w:tc>
        <w:tc>
          <w:tcPr>
            <w:tcW w:w="500" w:type="pct"/>
            <w:tcMar>
              <w:top w:w="10" w:type="dxa"/>
              <w:left w:w="10" w:type="dxa"/>
              <w:bottom w:w="0" w:type="dxa"/>
              <w:right w:w="10" w:type="dxa"/>
            </w:tcMar>
            <w:vAlign w:val="center"/>
          </w:tcPr>
          <w:p>
            <w:pPr>
              <w:spacing w:line="240" w:lineRule="exact"/>
              <w:jc w:val="center"/>
              <w:rPr>
                <w:rFonts w:ascii="宋体" w:cs="Times New Roman"/>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258" w:type="pct"/>
          </w:tcPr>
          <w:p>
            <w:pPr>
              <w:tabs>
                <w:tab w:val="left" w:pos="2604"/>
              </w:tabs>
              <w:spacing w:line="240" w:lineRule="exact"/>
              <w:ind w:left="105" w:leftChars="50" w:right="105" w:rightChars="50" w:firstLine="96" w:firstLineChars="46"/>
              <w:rPr>
                <w:rFonts w:ascii="宋体" w:cs="宋体"/>
              </w:rPr>
            </w:pPr>
            <w:r>
              <w:rPr>
                <w:rFonts w:ascii="宋体" w:cs="宋体"/>
              </w:rPr>
              <w:t>2</w:t>
            </w:r>
          </w:p>
        </w:tc>
        <w:tc>
          <w:tcPr>
            <w:tcW w:w="1693"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Times New Roman"/>
              </w:rPr>
            </w:pPr>
            <w:r>
              <w:rPr>
                <w:rFonts w:hint="eastAsia" w:ascii="宋体" w:hAnsi="宋体" w:cs="宋体"/>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Times New Roman"/>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vAlign w:val="center"/>
          </w:tcPr>
          <w:p>
            <w:pPr>
              <w:spacing w:line="240" w:lineRule="exact"/>
              <w:jc w:val="center"/>
              <w:rPr>
                <w:rFonts w:ascii="宋体" w:cs="Times New Roman"/>
              </w:rPr>
            </w:pPr>
          </w:p>
        </w:tc>
        <w:tc>
          <w:tcPr>
            <w:tcW w:w="375" w:type="pct"/>
            <w:vMerge w:val="continue"/>
            <w:vAlign w:val="center"/>
          </w:tcPr>
          <w:p>
            <w:pPr>
              <w:spacing w:line="240" w:lineRule="exact"/>
              <w:rPr>
                <w:rFonts w:ascii="宋体" w:cs="Times New Roman"/>
              </w:rPr>
            </w:pPr>
          </w:p>
        </w:tc>
        <w:tc>
          <w:tcPr>
            <w:tcW w:w="500" w:type="pct"/>
            <w:tcMar>
              <w:top w:w="10" w:type="dxa"/>
              <w:left w:w="10" w:type="dxa"/>
              <w:bottom w:w="0" w:type="dxa"/>
              <w:right w:w="10" w:type="dxa"/>
            </w:tcMar>
            <w:vAlign w:val="center"/>
          </w:tcPr>
          <w:p>
            <w:pPr>
              <w:spacing w:line="240" w:lineRule="exact"/>
              <w:jc w:val="center"/>
              <w:rPr>
                <w:rFonts w:ascii="宋体" w:cs="Times New Roman"/>
              </w:rPr>
            </w:pPr>
            <w:r>
              <w:rPr>
                <w:rFonts w:hint="eastAsia" w:ascii="宋体" w:hAnsi="宋体" w:cs="宋体"/>
              </w:rPr>
              <w:t>政府采购</w:t>
            </w:r>
          </w:p>
          <w:p>
            <w:pPr>
              <w:spacing w:line="240" w:lineRule="exact"/>
              <w:jc w:val="center"/>
              <w:rPr>
                <w:rFonts w:ascii="宋体" w:cs="Times New Roman"/>
              </w:rPr>
            </w:pPr>
            <w:r>
              <w:rPr>
                <w:rFonts w:hint="eastAsia" w:ascii="宋体" w:hAnsi="宋体" w:cs="宋体"/>
              </w:rPr>
              <w:t>执行率（</w:t>
            </w:r>
            <w:r>
              <w:rPr>
                <w:rFonts w:ascii="宋体" w:hAnsi="宋体" w:cs="宋体"/>
              </w:rPr>
              <w:t>4</w:t>
            </w:r>
            <w:r>
              <w:rPr>
                <w:rFonts w:hint="eastAsia" w:ascii="宋体" w:hAnsi="宋体" w:cs="宋体"/>
              </w:rPr>
              <w:t>分）</w:t>
            </w:r>
          </w:p>
        </w:tc>
        <w:tc>
          <w:tcPr>
            <w:tcW w:w="258" w:type="pct"/>
          </w:tcPr>
          <w:p>
            <w:pPr>
              <w:tabs>
                <w:tab w:val="left" w:pos="2604"/>
              </w:tabs>
              <w:spacing w:line="240" w:lineRule="exact"/>
              <w:ind w:left="105" w:leftChars="50" w:right="105" w:rightChars="50" w:firstLine="96" w:firstLineChars="46"/>
              <w:rPr>
                <w:rFonts w:ascii="宋体" w:cs="宋体"/>
              </w:rPr>
            </w:pPr>
            <w:r>
              <w:rPr>
                <w:rFonts w:ascii="宋体" w:cs="宋体"/>
              </w:rPr>
              <w:t>4</w:t>
            </w:r>
          </w:p>
        </w:tc>
        <w:tc>
          <w:tcPr>
            <w:tcW w:w="1693"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Times New Roman"/>
              </w:rPr>
            </w:pPr>
            <w:r>
              <w:rPr>
                <w:rFonts w:hint="eastAsia" w:ascii="宋体" w:hAnsi="宋体" w:cs="宋体"/>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r>
              <w:rPr>
                <w:rFonts w:ascii="宋体" w:cs="Times New Roman"/>
              </w:rPr>
              <w:br w:type="textWrapping"/>
            </w: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7" w:type="pct"/>
            <w:vMerge w:val="restart"/>
            <w:vAlign w:val="center"/>
          </w:tcPr>
          <w:p>
            <w:pPr>
              <w:spacing w:line="240" w:lineRule="exact"/>
              <w:jc w:val="center"/>
              <w:rPr>
                <w:rFonts w:ascii="宋体" w:cs="Times New Roman"/>
              </w:rPr>
            </w:pPr>
            <w:r>
              <w:rPr>
                <w:rFonts w:hint="eastAsia" w:ascii="宋体" w:hAnsi="宋体" w:cs="宋体"/>
              </w:rPr>
              <w:t>过</w:t>
            </w:r>
          </w:p>
          <w:p>
            <w:pPr>
              <w:spacing w:line="240" w:lineRule="exact"/>
              <w:jc w:val="center"/>
              <w:rPr>
                <w:rFonts w:ascii="宋体" w:cs="Times New Roman"/>
              </w:rPr>
            </w:pP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Times New Roman"/>
              </w:rPr>
            </w:pPr>
            <w:r>
              <w:rPr>
                <w:rFonts w:hint="eastAsia" w:ascii="宋体" w:hAnsi="宋体" w:cs="宋体"/>
              </w:rPr>
              <w:t>预算</w:t>
            </w:r>
            <w:r>
              <w:rPr>
                <w:rFonts w:ascii="宋体" w:cs="Times New Roman"/>
              </w:rPr>
              <w:br w:type="textWrapping"/>
            </w: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Times New Roman"/>
              </w:rPr>
            </w:pPr>
            <w:r>
              <w:rPr>
                <w:rFonts w:hint="eastAsia" w:ascii="宋体" w:hAnsi="宋体" w:cs="宋体"/>
              </w:rPr>
              <w:t>）</w:t>
            </w:r>
          </w:p>
        </w:tc>
        <w:tc>
          <w:tcPr>
            <w:tcW w:w="500" w:type="pct"/>
            <w:tcMar>
              <w:top w:w="10" w:type="dxa"/>
              <w:left w:w="10" w:type="dxa"/>
              <w:bottom w:w="0" w:type="dxa"/>
              <w:right w:w="10" w:type="dxa"/>
            </w:tcMar>
            <w:vAlign w:val="center"/>
          </w:tcPr>
          <w:p>
            <w:pPr>
              <w:spacing w:line="240" w:lineRule="exact"/>
              <w:jc w:val="center"/>
              <w:rPr>
                <w:rFonts w:ascii="宋体" w:cs="Times New Roman"/>
              </w:rPr>
            </w:pPr>
            <w:r>
              <w:rPr>
                <w:rFonts w:hint="eastAsia" w:ascii="宋体" w:hAnsi="宋体" w:cs="宋体"/>
              </w:rPr>
              <w:t>管理制度</w:t>
            </w:r>
          </w:p>
          <w:p>
            <w:pPr>
              <w:spacing w:line="240" w:lineRule="exact"/>
              <w:jc w:val="center"/>
              <w:rPr>
                <w:rFonts w:ascii="宋体" w:cs="Times New Roman"/>
              </w:rPr>
            </w:pPr>
            <w:r>
              <w:rPr>
                <w:rFonts w:hint="eastAsia" w:ascii="宋体" w:hAnsi="宋体" w:cs="宋体"/>
              </w:rPr>
              <w:t>健全性（</w:t>
            </w:r>
            <w:r>
              <w:rPr>
                <w:rFonts w:ascii="宋体" w:hAnsi="宋体" w:cs="宋体"/>
              </w:rPr>
              <w:t>2</w:t>
            </w:r>
            <w:r>
              <w:rPr>
                <w:rFonts w:hint="eastAsia" w:ascii="宋体" w:hAnsi="宋体" w:cs="宋体"/>
              </w:rPr>
              <w:t>分）</w:t>
            </w:r>
          </w:p>
        </w:tc>
        <w:tc>
          <w:tcPr>
            <w:tcW w:w="258" w:type="pct"/>
          </w:tcPr>
          <w:p>
            <w:pPr>
              <w:tabs>
                <w:tab w:val="left" w:pos="2604"/>
              </w:tabs>
              <w:spacing w:line="240" w:lineRule="exact"/>
              <w:ind w:left="105" w:leftChars="50" w:right="105" w:rightChars="50" w:firstLine="96" w:firstLineChars="46"/>
              <w:rPr>
                <w:rFonts w:ascii="宋体" w:cs="宋体"/>
              </w:rPr>
            </w:pPr>
            <w:r>
              <w:rPr>
                <w:rFonts w:ascii="宋体" w:cs="宋体"/>
              </w:rPr>
              <w:t>2</w:t>
            </w:r>
          </w:p>
        </w:tc>
        <w:tc>
          <w:tcPr>
            <w:tcW w:w="1693"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Times New Roman"/>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Times New Roman"/>
              </w:rPr>
            </w:pPr>
            <w:r>
              <w:rPr>
                <w:rFonts w:hint="eastAsia" w:ascii="宋体" w:hAnsi="宋体" w:cs="宋体"/>
              </w:rPr>
              <w:t>评价要点：</w:t>
            </w:r>
            <w:r>
              <w:rPr>
                <w:rFonts w:ascii="宋体" w:cs="Times New Roman"/>
              </w:rPr>
              <w:br w:type="textWrapping"/>
            </w:r>
            <w:r>
              <w:rPr>
                <w:rFonts w:hint="eastAsia" w:ascii="宋体" w:hAnsi="宋体" w:cs="宋体"/>
              </w:rPr>
              <w:t>①是否已制定或具有预算资金管理办法、内部财务管理制度、会计核算制度等管理制度；</w:t>
            </w:r>
            <w:r>
              <w:rPr>
                <w:rFonts w:ascii="宋体" w:cs="Times New Roman"/>
              </w:rPr>
              <w:br w:type="textWrapping"/>
            </w:r>
            <w:r>
              <w:rPr>
                <w:rFonts w:hint="eastAsia" w:ascii="宋体" w:hAnsi="宋体" w:cs="宋体"/>
              </w:rPr>
              <w:t>②相关管理制度是否合法、合规、完整；</w:t>
            </w:r>
            <w:r>
              <w:rPr>
                <w:rFonts w:ascii="宋体" w:cs="Times New Roman"/>
              </w:rPr>
              <w:br w:type="textWrapping"/>
            </w: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vAlign w:val="center"/>
          </w:tcPr>
          <w:p>
            <w:pPr>
              <w:spacing w:line="240" w:lineRule="exact"/>
              <w:jc w:val="center"/>
              <w:rPr>
                <w:rFonts w:ascii="宋体" w:cs="Times New Roman"/>
              </w:rPr>
            </w:pPr>
          </w:p>
        </w:tc>
        <w:tc>
          <w:tcPr>
            <w:tcW w:w="375" w:type="pct"/>
            <w:vMerge w:val="continue"/>
            <w:vAlign w:val="center"/>
          </w:tcPr>
          <w:p>
            <w:pPr>
              <w:spacing w:line="240" w:lineRule="exact"/>
              <w:jc w:val="center"/>
              <w:rPr>
                <w:rFonts w:ascii="宋体" w:cs="Times New Roman"/>
              </w:rPr>
            </w:pPr>
          </w:p>
        </w:tc>
        <w:tc>
          <w:tcPr>
            <w:tcW w:w="500" w:type="pct"/>
            <w:tcMar>
              <w:top w:w="10" w:type="dxa"/>
              <w:left w:w="10" w:type="dxa"/>
              <w:bottom w:w="0" w:type="dxa"/>
              <w:right w:w="10" w:type="dxa"/>
            </w:tcMar>
            <w:vAlign w:val="center"/>
          </w:tcPr>
          <w:p>
            <w:pPr>
              <w:spacing w:line="240" w:lineRule="exact"/>
              <w:jc w:val="center"/>
              <w:rPr>
                <w:rFonts w:ascii="宋体" w:cs="Times New Roman"/>
              </w:rPr>
            </w:pPr>
            <w:r>
              <w:rPr>
                <w:rFonts w:hint="eastAsia" w:ascii="宋体" w:hAnsi="宋体" w:cs="宋体"/>
              </w:rPr>
              <w:t>资金使用</w:t>
            </w:r>
          </w:p>
          <w:p>
            <w:pPr>
              <w:spacing w:line="240" w:lineRule="exact"/>
              <w:jc w:val="center"/>
              <w:rPr>
                <w:rFonts w:ascii="宋体" w:cs="Times New Roman"/>
              </w:rPr>
            </w:pPr>
            <w:r>
              <w:rPr>
                <w:rFonts w:hint="eastAsia" w:ascii="宋体" w:hAnsi="宋体" w:cs="宋体"/>
              </w:rPr>
              <w:t>合规性（</w:t>
            </w:r>
            <w:r>
              <w:rPr>
                <w:rFonts w:ascii="宋体" w:hAnsi="宋体" w:cs="宋体"/>
              </w:rPr>
              <w:t>1</w:t>
            </w:r>
            <w:r>
              <w:rPr>
                <w:rFonts w:hint="eastAsia" w:ascii="宋体" w:hAnsi="宋体" w:cs="宋体"/>
              </w:rPr>
              <w:t>分）</w:t>
            </w:r>
          </w:p>
        </w:tc>
        <w:tc>
          <w:tcPr>
            <w:tcW w:w="258" w:type="pct"/>
          </w:tcPr>
          <w:p>
            <w:pPr>
              <w:tabs>
                <w:tab w:val="left" w:pos="2604"/>
              </w:tabs>
              <w:spacing w:line="240" w:lineRule="exact"/>
              <w:ind w:left="105" w:leftChars="50" w:right="105" w:rightChars="50" w:firstLine="96" w:firstLineChars="46"/>
              <w:rPr>
                <w:rFonts w:ascii="宋体" w:cs="宋体"/>
              </w:rPr>
            </w:pPr>
            <w:r>
              <w:rPr>
                <w:rFonts w:ascii="宋体" w:cs="宋体"/>
              </w:rPr>
              <w:t>1</w:t>
            </w:r>
          </w:p>
        </w:tc>
        <w:tc>
          <w:tcPr>
            <w:tcW w:w="1693"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Times New Roman"/>
              </w:rPr>
            </w:pPr>
            <w:r>
              <w:rPr>
                <w:rFonts w:hint="eastAsia" w:ascii="宋体" w:hAnsi="宋体" w:cs="宋体"/>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Times New Roman"/>
              </w:rPr>
            </w:pPr>
            <w:r>
              <w:rPr>
                <w:rFonts w:hint="eastAsia" w:ascii="宋体" w:hAnsi="宋体" w:cs="宋体"/>
              </w:rPr>
              <w:t>评价要点：</w:t>
            </w:r>
            <w:r>
              <w:rPr>
                <w:rFonts w:ascii="宋体" w:cs="Times New Roman"/>
              </w:rPr>
              <w:br w:type="textWrapping"/>
            </w:r>
            <w:r>
              <w:rPr>
                <w:rFonts w:hint="eastAsia" w:ascii="宋体" w:hAnsi="宋体" w:cs="宋体"/>
              </w:rPr>
              <w:t>①是否符合国家财经法规和财务管理制度规定以及有关预算支出管理办法的规定；</w:t>
            </w:r>
            <w:r>
              <w:rPr>
                <w:rFonts w:ascii="宋体" w:cs="Times New Roman"/>
              </w:rPr>
              <w:br w:type="textWrapping"/>
            </w:r>
            <w:r>
              <w:rPr>
                <w:rFonts w:hint="eastAsia" w:ascii="宋体" w:hAnsi="宋体" w:cs="宋体"/>
              </w:rPr>
              <w:t>②资金的拨付是否有完整的审批程序和手续；</w:t>
            </w:r>
            <w:r>
              <w:rPr>
                <w:rFonts w:ascii="宋体" w:cs="Times New Roman"/>
              </w:rPr>
              <w:br w:type="textWrapping"/>
            </w:r>
            <w:r>
              <w:rPr>
                <w:rFonts w:hint="eastAsia" w:ascii="宋体" w:hAnsi="宋体" w:cs="宋体"/>
              </w:rPr>
              <w:t>③预算支出的重大开支是否经过评估论证；</w:t>
            </w:r>
            <w:r>
              <w:rPr>
                <w:rFonts w:ascii="宋体" w:cs="Times New Roman"/>
              </w:rPr>
              <w:br w:type="textWrapping"/>
            </w:r>
            <w:r>
              <w:rPr>
                <w:rFonts w:hint="eastAsia" w:ascii="宋体" w:hAnsi="宋体" w:cs="宋体"/>
              </w:rPr>
              <w:t>④是否符合部门预算批复的用途；</w:t>
            </w:r>
            <w:r>
              <w:rPr>
                <w:rFonts w:ascii="宋体" w:cs="Times New Roman"/>
              </w:rPr>
              <w:br w:type="textWrapping"/>
            </w: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vAlign w:val="center"/>
          </w:tcPr>
          <w:p>
            <w:pPr>
              <w:spacing w:line="240" w:lineRule="exact"/>
              <w:jc w:val="center"/>
              <w:rPr>
                <w:rFonts w:ascii="宋体" w:cs="Times New Roman"/>
              </w:rPr>
            </w:pPr>
          </w:p>
        </w:tc>
        <w:tc>
          <w:tcPr>
            <w:tcW w:w="375" w:type="pct"/>
            <w:vMerge w:val="continue"/>
            <w:vAlign w:val="center"/>
          </w:tcPr>
          <w:p>
            <w:pPr>
              <w:spacing w:line="240" w:lineRule="exact"/>
              <w:rPr>
                <w:rFonts w:ascii="宋体" w:cs="Times New Roman"/>
              </w:rPr>
            </w:pPr>
          </w:p>
        </w:tc>
        <w:tc>
          <w:tcPr>
            <w:tcW w:w="500" w:type="pct"/>
            <w:tcMar>
              <w:top w:w="10" w:type="dxa"/>
              <w:left w:w="10" w:type="dxa"/>
              <w:bottom w:w="0" w:type="dxa"/>
              <w:right w:w="10" w:type="dxa"/>
            </w:tcMar>
            <w:vAlign w:val="center"/>
          </w:tcPr>
          <w:p>
            <w:pPr>
              <w:spacing w:line="240" w:lineRule="exact"/>
              <w:jc w:val="center"/>
              <w:rPr>
                <w:rFonts w:ascii="宋体" w:cs="Times New Roman"/>
              </w:rPr>
            </w:pPr>
            <w:r>
              <w:rPr>
                <w:rFonts w:hint="eastAsia" w:ascii="宋体" w:hAnsi="宋体" w:cs="宋体"/>
              </w:rPr>
              <w:t>预决算信</w:t>
            </w:r>
          </w:p>
          <w:p>
            <w:pPr>
              <w:spacing w:line="240" w:lineRule="exact"/>
              <w:jc w:val="center"/>
              <w:rPr>
                <w:rFonts w:ascii="宋体" w:cs="Times New Roman"/>
              </w:rPr>
            </w:pPr>
            <w:r>
              <w:rPr>
                <w:rFonts w:hint="eastAsia" w:ascii="宋体" w:hAnsi="宋体" w:cs="宋体"/>
              </w:rPr>
              <w:t>息公开性（</w:t>
            </w:r>
            <w:r>
              <w:rPr>
                <w:rFonts w:ascii="宋体" w:hAnsi="宋体" w:cs="宋体"/>
              </w:rPr>
              <w:t>1</w:t>
            </w:r>
            <w:r>
              <w:rPr>
                <w:rFonts w:hint="eastAsia" w:ascii="宋体" w:hAnsi="宋体" w:cs="宋体"/>
              </w:rPr>
              <w:t>分）</w:t>
            </w:r>
          </w:p>
        </w:tc>
        <w:tc>
          <w:tcPr>
            <w:tcW w:w="258" w:type="pct"/>
          </w:tcPr>
          <w:p>
            <w:pPr>
              <w:tabs>
                <w:tab w:val="left" w:pos="2604"/>
              </w:tabs>
              <w:spacing w:line="240" w:lineRule="exact"/>
              <w:ind w:left="105" w:leftChars="50" w:right="105" w:rightChars="50" w:firstLine="96" w:firstLineChars="46"/>
              <w:rPr>
                <w:rFonts w:ascii="宋体" w:cs="宋体"/>
              </w:rPr>
            </w:pPr>
            <w:r>
              <w:rPr>
                <w:rFonts w:ascii="宋体" w:cs="宋体"/>
              </w:rPr>
              <w:t>1</w:t>
            </w:r>
          </w:p>
        </w:tc>
        <w:tc>
          <w:tcPr>
            <w:tcW w:w="1693"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Times New Roman"/>
              </w:rPr>
            </w:pPr>
            <w:r>
              <w:rPr>
                <w:rFonts w:hint="eastAsia" w:ascii="宋体" w:hAnsi="宋体" w:cs="宋体"/>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Times New Roman"/>
              </w:rPr>
            </w:pPr>
            <w:r>
              <w:rPr>
                <w:rFonts w:hint="eastAsia" w:ascii="宋体" w:hAnsi="宋体" w:cs="宋体"/>
              </w:rPr>
              <w:t>评价要点：</w:t>
            </w:r>
            <w:r>
              <w:rPr>
                <w:rFonts w:ascii="宋体" w:cs="Times New Roman"/>
              </w:rPr>
              <w:br w:type="textWrapping"/>
            </w:r>
            <w:r>
              <w:rPr>
                <w:rFonts w:hint="eastAsia" w:ascii="宋体" w:hAnsi="宋体" w:cs="宋体"/>
              </w:rPr>
              <w:t>①是否按规定内容公开预决算信息；</w:t>
            </w:r>
            <w:r>
              <w:rPr>
                <w:rFonts w:ascii="宋体" w:cs="Times New Roman"/>
              </w:rPr>
              <w:br w:type="textWrapping"/>
            </w:r>
            <w:r>
              <w:rPr>
                <w:rFonts w:hint="eastAsia" w:ascii="宋体" w:hAnsi="宋体" w:cs="宋体"/>
              </w:rPr>
              <w:t>②是否按规定时限公开预决算信息。</w:t>
            </w:r>
            <w:r>
              <w:rPr>
                <w:rFonts w:ascii="宋体" w:cs="Times New Roman"/>
              </w:rPr>
              <w:br w:type="textWrapping"/>
            </w: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7" w:type="pct"/>
            <w:vMerge w:val="continue"/>
            <w:vAlign w:val="center"/>
          </w:tcPr>
          <w:p>
            <w:pPr>
              <w:spacing w:line="240" w:lineRule="exact"/>
              <w:jc w:val="center"/>
              <w:rPr>
                <w:rFonts w:ascii="宋体" w:cs="Times New Roman"/>
              </w:rPr>
            </w:pPr>
          </w:p>
        </w:tc>
        <w:tc>
          <w:tcPr>
            <w:tcW w:w="375" w:type="pct"/>
            <w:vMerge w:val="continue"/>
            <w:vAlign w:val="center"/>
          </w:tcPr>
          <w:p>
            <w:pPr>
              <w:spacing w:line="240" w:lineRule="exact"/>
              <w:jc w:val="center"/>
              <w:rPr>
                <w:rFonts w:ascii="宋体" w:cs="Times New Roman"/>
              </w:rPr>
            </w:pPr>
          </w:p>
        </w:tc>
        <w:tc>
          <w:tcPr>
            <w:tcW w:w="500" w:type="pct"/>
            <w:tcMar>
              <w:top w:w="10" w:type="dxa"/>
              <w:left w:w="10" w:type="dxa"/>
              <w:bottom w:w="0" w:type="dxa"/>
              <w:right w:w="10" w:type="dxa"/>
            </w:tcMar>
            <w:vAlign w:val="center"/>
          </w:tcPr>
          <w:p>
            <w:pPr>
              <w:spacing w:line="240" w:lineRule="exact"/>
              <w:jc w:val="center"/>
              <w:rPr>
                <w:rFonts w:ascii="宋体" w:cs="Times New Roman"/>
              </w:rPr>
            </w:pPr>
            <w:r>
              <w:rPr>
                <w:rFonts w:hint="eastAsia" w:ascii="宋体" w:hAnsi="宋体" w:cs="宋体"/>
              </w:rPr>
              <w:t>基础信息</w:t>
            </w:r>
          </w:p>
          <w:p>
            <w:pPr>
              <w:spacing w:line="240" w:lineRule="exact"/>
              <w:jc w:val="center"/>
              <w:rPr>
                <w:rFonts w:ascii="宋体" w:cs="Times New Roman"/>
              </w:rPr>
            </w:pPr>
            <w:r>
              <w:rPr>
                <w:rFonts w:hint="eastAsia" w:ascii="宋体" w:hAnsi="宋体" w:cs="宋体"/>
              </w:rPr>
              <w:t>完善性（</w:t>
            </w:r>
            <w:r>
              <w:rPr>
                <w:rFonts w:ascii="宋体" w:hAnsi="宋体" w:cs="宋体"/>
              </w:rPr>
              <w:t>1</w:t>
            </w:r>
            <w:r>
              <w:rPr>
                <w:rFonts w:hint="eastAsia" w:ascii="宋体" w:hAnsi="宋体" w:cs="宋体"/>
              </w:rPr>
              <w:t>分）</w:t>
            </w:r>
          </w:p>
        </w:tc>
        <w:tc>
          <w:tcPr>
            <w:tcW w:w="258" w:type="pct"/>
          </w:tcPr>
          <w:p>
            <w:pPr>
              <w:tabs>
                <w:tab w:val="left" w:pos="2604"/>
              </w:tabs>
              <w:spacing w:line="240" w:lineRule="exact"/>
              <w:ind w:left="105" w:leftChars="50" w:right="105" w:rightChars="50" w:firstLine="96" w:firstLineChars="46"/>
              <w:rPr>
                <w:rFonts w:ascii="宋体" w:cs="宋体"/>
              </w:rPr>
            </w:pPr>
            <w:r>
              <w:rPr>
                <w:rFonts w:ascii="宋体" w:cs="宋体"/>
              </w:rPr>
              <w:t>1</w:t>
            </w:r>
          </w:p>
        </w:tc>
        <w:tc>
          <w:tcPr>
            <w:tcW w:w="1693"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Times New Roman"/>
              </w:rPr>
            </w:pPr>
            <w:r>
              <w:rPr>
                <w:rFonts w:hint="eastAsia" w:ascii="宋体" w:hAnsi="宋体" w:cs="宋体"/>
              </w:rPr>
              <w:t>部门基础信息是否完善，用以反映和考核基础信息对预算管理工作的支撑情况。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Times New Roman"/>
              </w:rPr>
            </w:pPr>
            <w:r>
              <w:rPr>
                <w:rFonts w:hint="eastAsia" w:ascii="宋体" w:hAnsi="宋体" w:cs="宋体"/>
              </w:rPr>
              <w:t>评价要点：</w:t>
            </w:r>
            <w:r>
              <w:rPr>
                <w:rFonts w:ascii="宋体" w:cs="Times New Roman"/>
              </w:rPr>
              <w:br w:type="textWrapping"/>
            </w:r>
            <w:r>
              <w:rPr>
                <w:rFonts w:hint="eastAsia" w:ascii="宋体" w:hAnsi="宋体" w:cs="宋体"/>
              </w:rPr>
              <w:t>①基础数据信息和会计信息资料是否真实；</w:t>
            </w:r>
            <w:r>
              <w:rPr>
                <w:rFonts w:ascii="宋体" w:cs="Times New Roman"/>
              </w:rPr>
              <w:br w:type="textWrapping"/>
            </w:r>
            <w:r>
              <w:rPr>
                <w:rFonts w:hint="eastAsia" w:ascii="宋体" w:hAnsi="宋体" w:cs="宋体"/>
              </w:rPr>
              <w:t>②基础数据信息和会计信息资料是否完整；</w:t>
            </w:r>
            <w:r>
              <w:rPr>
                <w:rFonts w:ascii="宋体" w:cs="Times New Roman"/>
              </w:rPr>
              <w:br w:type="textWrapping"/>
            </w: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Times New Roman"/>
              </w:rPr>
            </w:pPr>
          </w:p>
        </w:tc>
        <w:tc>
          <w:tcPr>
            <w:tcW w:w="375" w:type="pct"/>
            <w:vMerge w:val="restart"/>
            <w:tcMar>
              <w:top w:w="10" w:type="dxa"/>
              <w:left w:w="10" w:type="dxa"/>
              <w:bottom w:w="0" w:type="dxa"/>
              <w:right w:w="10" w:type="dxa"/>
            </w:tcMar>
            <w:vAlign w:val="center"/>
          </w:tcPr>
          <w:p>
            <w:pPr>
              <w:spacing w:line="240" w:lineRule="exact"/>
              <w:jc w:val="center"/>
              <w:rPr>
                <w:rFonts w:ascii="宋体" w:cs="Times New Roman"/>
              </w:rPr>
            </w:pPr>
            <w:r>
              <w:rPr>
                <w:rFonts w:hint="eastAsia" w:ascii="宋体" w:hAnsi="宋体" w:cs="宋体"/>
              </w:rPr>
              <w:t>资产</w:t>
            </w:r>
            <w:r>
              <w:rPr>
                <w:rFonts w:ascii="宋体" w:cs="Times New Roman"/>
              </w:rPr>
              <w:br w:type="textWrapping"/>
            </w:r>
            <w:r>
              <w:rPr>
                <w:rFonts w:hint="eastAsia" w:ascii="宋体" w:hAnsi="宋体" w:cs="宋体"/>
              </w:rPr>
              <w:t>管理（</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Times New Roman"/>
              </w:rPr>
            </w:pPr>
            <w:r>
              <w:rPr>
                <w:rFonts w:hint="eastAsia" w:ascii="宋体" w:hAnsi="宋体" w:cs="宋体"/>
              </w:rPr>
              <w:t>管理制度</w:t>
            </w:r>
          </w:p>
          <w:p>
            <w:pPr>
              <w:spacing w:line="240" w:lineRule="exact"/>
              <w:jc w:val="center"/>
              <w:rPr>
                <w:rFonts w:ascii="宋体" w:cs="Times New Roman"/>
              </w:rPr>
            </w:pPr>
            <w:r>
              <w:rPr>
                <w:rFonts w:hint="eastAsia" w:ascii="宋体" w:hAnsi="宋体" w:cs="宋体"/>
              </w:rPr>
              <w:t>健全性（</w:t>
            </w:r>
            <w:r>
              <w:rPr>
                <w:rFonts w:ascii="宋体" w:hAnsi="宋体" w:cs="宋体"/>
              </w:rPr>
              <w:t>2</w:t>
            </w:r>
            <w:r>
              <w:rPr>
                <w:rFonts w:hint="eastAsia" w:ascii="宋体" w:hAnsi="宋体" w:cs="宋体"/>
              </w:rPr>
              <w:t>分）</w:t>
            </w:r>
          </w:p>
        </w:tc>
        <w:tc>
          <w:tcPr>
            <w:tcW w:w="258" w:type="pct"/>
          </w:tcPr>
          <w:p>
            <w:pPr>
              <w:tabs>
                <w:tab w:val="left" w:pos="2604"/>
              </w:tabs>
              <w:spacing w:line="240" w:lineRule="exact"/>
              <w:ind w:left="105" w:leftChars="50" w:right="105" w:rightChars="50" w:firstLine="96" w:firstLineChars="46"/>
              <w:rPr>
                <w:rFonts w:ascii="宋体" w:cs="宋体"/>
              </w:rPr>
            </w:pPr>
            <w:r>
              <w:rPr>
                <w:rFonts w:ascii="宋体" w:cs="宋体"/>
              </w:rPr>
              <w:t>2</w:t>
            </w:r>
          </w:p>
        </w:tc>
        <w:tc>
          <w:tcPr>
            <w:tcW w:w="1693"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Times New Roman"/>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Times New Roman"/>
              </w:rPr>
            </w:pPr>
            <w:r>
              <w:rPr>
                <w:rFonts w:hint="eastAsia" w:ascii="宋体" w:hAnsi="宋体" w:cs="宋体"/>
              </w:rPr>
              <w:t>评价要点：</w:t>
            </w:r>
            <w:r>
              <w:rPr>
                <w:rFonts w:ascii="宋体" w:cs="Times New Roman"/>
              </w:rPr>
              <w:br w:type="textWrapping"/>
            </w: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r>
              <w:rPr>
                <w:rFonts w:ascii="宋体" w:cs="Times New Roman"/>
              </w:rPr>
              <w:br w:type="textWrapping"/>
            </w: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vAlign w:val="center"/>
          </w:tcPr>
          <w:p>
            <w:pPr>
              <w:spacing w:line="240" w:lineRule="exact"/>
              <w:jc w:val="center"/>
              <w:rPr>
                <w:rFonts w:ascii="宋体" w:cs="Times New Roman"/>
              </w:rPr>
            </w:pPr>
          </w:p>
        </w:tc>
        <w:tc>
          <w:tcPr>
            <w:tcW w:w="375" w:type="pct"/>
            <w:vMerge w:val="continue"/>
            <w:vAlign w:val="center"/>
          </w:tcPr>
          <w:p>
            <w:pPr>
              <w:spacing w:line="240" w:lineRule="exact"/>
              <w:jc w:val="center"/>
              <w:rPr>
                <w:rFonts w:ascii="宋体" w:cs="Times New Roman"/>
              </w:rPr>
            </w:pPr>
          </w:p>
        </w:tc>
        <w:tc>
          <w:tcPr>
            <w:tcW w:w="500" w:type="pct"/>
            <w:tcMar>
              <w:top w:w="10" w:type="dxa"/>
              <w:left w:w="10" w:type="dxa"/>
              <w:bottom w:w="0" w:type="dxa"/>
              <w:right w:w="10" w:type="dxa"/>
            </w:tcMar>
            <w:vAlign w:val="center"/>
          </w:tcPr>
          <w:p>
            <w:pPr>
              <w:spacing w:line="240" w:lineRule="exact"/>
              <w:jc w:val="center"/>
              <w:rPr>
                <w:rFonts w:ascii="宋体" w:cs="Times New Roman"/>
              </w:rPr>
            </w:pPr>
            <w:r>
              <w:rPr>
                <w:rFonts w:hint="eastAsia" w:ascii="宋体" w:hAnsi="宋体" w:cs="宋体"/>
              </w:rPr>
              <w:t>资产管理</w:t>
            </w:r>
          </w:p>
          <w:p>
            <w:pPr>
              <w:spacing w:line="240" w:lineRule="exact"/>
              <w:jc w:val="center"/>
              <w:rPr>
                <w:rFonts w:ascii="宋体" w:cs="Times New Roman"/>
              </w:rPr>
            </w:pPr>
            <w:r>
              <w:rPr>
                <w:rFonts w:hint="eastAsia" w:ascii="宋体" w:hAnsi="宋体" w:cs="宋体"/>
              </w:rPr>
              <w:t>安全性（</w:t>
            </w:r>
            <w:r>
              <w:rPr>
                <w:rFonts w:ascii="宋体" w:hAnsi="宋体" w:cs="宋体"/>
              </w:rPr>
              <w:t>2</w:t>
            </w:r>
            <w:r>
              <w:rPr>
                <w:rFonts w:hint="eastAsia" w:ascii="宋体" w:hAnsi="宋体" w:cs="宋体"/>
              </w:rPr>
              <w:t>分）</w:t>
            </w:r>
          </w:p>
        </w:tc>
        <w:tc>
          <w:tcPr>
            <w:tcW w:w="258" w:type="pct"/>
          </w:tcPr>
          <w:p>
            <w:pPr>
              <w:tabs>
                <w:tab w:val="left" w:pos="761"/>
                <w:tab w:val="left" w:pos="2604"/>
              </w:tabs>
              <w:spacing w:line="240" w:lineRule="exact"/>
              <w:ind w:left="105" w:leftChars="50" w:right="105" w:rightChars="50" w:firstLine="96" w:firstLineChars="46"/>
              <w:rPr>
                <w:rFonts w:ascii="宋体" w:cs="宋体"/>
              </w:rPr>
            </w:pPr>
            <w:r>
              <w:rPr>
                <w:rFonts w:ascii="宋体" w:cs="宋体"/>
              </w:rPr>
              <w:t>2</w:t>
            </w:r>
          </w:p>
        </w:tc>
        <w:tc>
          <w:tcPr>
            <w:tcW w:w="1693" w:type="pct"/>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Times New Roman"/>
              </w:rPr>
            </w:pPr>
            <w:r>
              <w:rPr>
                <w:rFonts w:hint="eastAsia" w:ascii="宋体" w:hAnsi="宋体" w:cs="宋体"/>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Times New Roman"/>
              </w:rPr>
            </w:pPr>
            <w:r>
              <w:rPr>
                <w:rFonts w:hint="eastAsia" w:ascii="宋体" w:hAnsi="宋体" w:cs="宋体"/>
              </w:rPr>
              <w:t>评价要点：</w:t>
            </w:r>
            <w:r>
              <w:rPr>
                <w:rFonts w:ascii="宋体" w:cs="Times New Roman"/>
              </w:rPr>
              <w:br w:type="textWrapping"/>
            </w:r>
            <w:r>
              <w:rPr>
                <w:rFonts w:hint="eastAsia" w:ascii="宋体" w:hAnsi="宋体" w:cs="宋体"/>
              </w:rPr>
              <w:t>①资产保存是否完整；</w:t>
            </w:r>
            <w:r>
              <w:rPr>
                <w:rFonts w:ascii="宋体" w:cs="Times New Roman"/>
              </w:rPr>
              <w:br w:type="textWrapping"/>
            </w:r>
            <w:r>
              <w:rPr>
                <w:rFonts w:hint="eastAsia" w:ascii="宋体" w:hAnsi="宋体" w:cs="宋体"/>
              </w:rPr>
              <w:t>②资产配置是否合理；</w:t>
            </w:r>
            <w:r>
              <w:rPr>
                <w:rFonts w:ascii="宋体" w:cs="Times New Roman"/>
              </w:rPr>
              <w:br w:type="textWrapping"/>
            </w:r>
            <w:r>
              <w:rPr>
                <w:rFonts w:hint="eastAsia" w:ascii="宋体" w:hAnsi="宋体" w:cs="宋体"/>
              </w:rPr>
              <w:t>③资产处置是否规范；</w:t>
            </w:r>
            <w:r>
              <w:rPr>
                <w:rFonts w:ascii="宋体" w:cs="Times New Roman"/>
              </w:rPr>
              <w:br w:type="textWrapping"/>
            </w:r>
            <w:r>
              <w:rPr>
                <w:rFonts w:hint="eastAsia" w:ascii="宋体" w:hAnsi="宋体" w:cs="宋体"/>
              </w:rPr>
              <w:t>④资产账务管理是否合规，是否帐实相符；</w:t>
            </w:r>
            <w:r>
              <w:rPr>
                <w:rFonts w:ascii="宋体" w:cs="Times New Roman"/>
              </w:rPr>
              <w:br w:type="textWrapping"/>
            </w: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vAlign w:val="center"/>
          </w:tcPr>
          <w:p>
            <w:pPr>
              <w:spacing w:line="240" w:lineRule="exact"/>
              <w:rPr>
                <w:rFonts w:ascii="宋体" w:cs="Times New Roman"/>
              </w:rPr>
            </w:pPr>
          </w:p>
        </w:tc>
        <w:tc>
          <w:tcPr>
            <w:tcW w:w="375" w:type="pct"/>
            <w:vMerge w:val="continue"/>
            <w:vAlign w:val="center"/>
          </w:tcPr>
          <w:p>
            <w:pPr>
              <w:spacing w:line="240" w:lineRule="exact"/>
              <w:rPr>
                <w:rFonts w:ascii="宋体" w:cs="Times New Roman"/>
              </w:rPr>
            </w:pPr>
          </w:p>
        </w:tc>
        <w:tc>
          <w:tcPr>
            <w:tcW w:w="500" w:type="pct"/>
            <w:tcMar>
              <w:top w:w="10" w:type="dxa"/>
              <w:left w:w="10" w:type="dxa"/>
              <w:bottom w:w="0" w:type="dxa"/>
              <w:right w:w="10" w:type="dxa"/>
            </w:tcMar>
            <w:vAlign w:val="center"/>
          </w:tcPr>
          <w:p>
            <w:pPr>
              <w:spacing w:line="240" w:lineRule="exact"/>
              <w:jc w:val="center"/>
              <w:rPr>
                <w:rFonts w:ascii="宋体" w:cs="Times New Roman"/>
              </w:rPr>
            </w:pPr>
            <w:r>
              <w:rPr>
                <w:rFonts w:hint="eastAsia" w:ascii="宋体" w:hAnsi="宋体" w:cs="宋体"/>
              </w:rPr>
              <w:t>固定资产</w:t>
            </w:r>
          </w:p>
          <w:p>
            <w:pPr>
              <w:spacing w:line="240" w:lineRule="exact"/>
              <w:jc w:val="center"/>
              <w:rPr>
                <w:rFonts w:ascii="宋体" w:cs="Times New Roman"/>
              </w:rPr>
            </w:pPr>
            <w:r>
              <w:rPr>
                <w:rFonts w:hint="eastAsia" w:ascii="宋体" w:hAnsi="宋体" w:cs="宋体"/>
              </w:rPr>
              <w:t>利用率（</w:t>
            </w:r>
            <w:r>
              <w:rPr>
                <w:rFonts w:ascii="宋体" w:hAnsi="宋体" w:cs="宋体"/>
              </w:rPr>
              <w:t>1</w:t>
            </w:r>
            <w:r>
              <w:rPr>
                <w:rFonts w:hint="eastAsia" w:ascii="宋体" w:hAnsi="宋体" w:cs="宋体"/>
              </w:rPr>
              <w:t>分）</w:t>
            </w:r>
          </w:p>
        </w:tc>
        <w:tc>
          <w:tcPr>
            <w:tcW w:w="258" w:type="pct"/>
          </w:tcPr>
          <w:p>
            <w:pPr>
              <w:tabs>
                <w:tab w:val="left" w:pos="2604"/>
              </w:tabs>
              <w:spacing w:line="240" w:lineRule="exact"/>
              <w:ind w:left="105" w:leftChars="50" w:right="105" w:rightChars="50" w:firstLine="96" w:firstLineChars="46"/>
              <w:rPr>
                <w:rFonts w:ascii="宋体" w:cs="宋体"/>
              </w:rPr>
            </w:pPr>
            <w:r>
              <w:rPr>
                <w:rFonts w:ascii="宋体" w:cs="宋体"/>
              </w:rPr>
              <w:t>1</w:t>
            </w:r>
          </w:p>
        </w:tc>
        <w:tc>
          <w:tcPr>
            <w:tcW w:w="1693"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Times New Roman"/>
              </w:rPr>
            </w:pPr>
            <w:r>
              <w:rPr>
                <w:rFonts w:hint="eastAsia" w:ascii="宋体" w:hAnsi="宋体" w:cs="宋体"/>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Times New Roman"/>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Times New Roman"/>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Times New Roman"/>
              </w:rPr>
            </w:pPr>
            <w:r>
              <w:rPr>
                <w:rFonts w:hint="eastAsia" w:ascii="宋体" w:hAnsi="宋体" w:cs="宋体"/>
              </w:rPr>
              <w:t>职责</w:t>
            </w:r>
            <w:r>
              <w:rPr>
                <w:rFonts w:ascii="宋体" w:cs="Times New Roman"/>
              </w:rPr>
              <w:br w:type="textWrapping"/>
            </w:r>
            <w:r>
              <w:rPr>
                <w:rFonts w:hint="eastAsia" w:ascii="宋体" w:hAnsi="宋体" w:cs="宋体"/>
              </w:rPr>
              <w:t>履行（</w:t>
            </w:r>
            <w:r>
              <w:rPr>
                <w:rFonts w:ascii="宋体" w:hAnsi="宋体" w:cs="宋体"/>
              </w:rPr>
              <w:t>30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Times New Roman"/>
              </w:rPr>
            </w:pPr>
            <w:r>
              <w:rPr>
                <w:rFonts w:hint="eastAsia" w:ascii="宋体" w:hAnsi="宋体" w:cs="宋体"/>
              </w:rPr>
              <w:t>实际</w:t>
            </w:r>
          </w:p>
          <w:p>
            <w:pPr>
              <w:spacing w:line="240" w:lineRule="exact"/>
              <w:jc w:val="center"/>
              <w:rPr>
                <w:rFonts w:ascii="宋体" w:cs="Times New Roman"/>
              </w:rPr>
            </w:pPr>
            <w:r>
              <w:rPr>
                <w:rFonts w:hint="eastAsia" w:ascii="宋体" w:hAnsi="宋体" w:cs="宋体"/>
              </w:rPr>
              <w:t>完成率（</w:t>
            </w:r>
            <w:r>
              <w:rPr>
                <w:rFonts w:ascii="宋体" w:hAnsi="宋体" w:cs="宋体"/>
              </w:rPr>
              <w:t>8</w:t>
            </w:r>
            <w:r>
              <w:rPr>
                <w:rFonts w:hint="eastAsia" w:ascii="宋体" w:hAnsi="宋体" w:cs="宋体"/>
              </w:rPr>
              <w:t>分）</w:t>
            </w:r>
          </w:p>
        </w:tc>
        <w:tc>
          <w:tcPr>
            <w:tcW w:w="258" w:type="pct"/>
          </w:tcPr>
          <w:p>
            <w:pPr>
              <w:tabs>
                <w:tab w:val="left" w:pos="2604"/>
              </w:tabs>
              <w:spacing w:line="240" w:lineRule="exact"/>
              <w:ind w:left="105" w:leftChars="50" w:right="105" w:rightChars="50" w:firstLine="96" w:firstLineChars="46"/>
              <w:rPr>
                <w:rFonts w:ascii="宋体" w:cs="宋体"/>
              </w:rPr>
            </w:pPr>
            <w:r>
              <w:rPr>
                <w:rFonts w:ascii="宋体" w:cs="宋体"/>
              </w:rPr>
              <w:t>8</w:t>
            </w:r>
          </w:p>
        </w:tc>
        <w:tc>
          <w:tcPr>
            <w:tcW w:w="1693"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Times New Roman"/>
              </w:rPr>
            </w:pPr>
            <w:r>
              <w:rPr>
                <w:rFonts w:hint="eastAsia" w:ascii="宋体" w:hAnsi="宋体" w:cs="宋体"/>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Times New Roman"/>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Times New Roman"/>
              </w:rPr>
              <w:br w:type="textWrapping"/>
            </w:r>
            <w:r>
              <w:rPr>
                <w:rFonts w:hint="eastAsia" w:ascii="宋体" w:hAnsi="宋体" w:cs="宋体"/>
              </w:rPr>
              <w:t>实际完成工作数：一定时期（年度或规划期）内部门实际完成工作任务的数量。</w:t>
            </w:r>
            <w:r>
              <w:rPr>
                <w:rFonts w:ascii="宋体" w:cs="Times New Roman"/>
              </w:rPr>
              <w:br w:type="textWrapping"/>
            </w: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textDirection w:val="tbRlV"/>
            <w:vAlign w:val="center"/>
          </w:tcPr>
          <w:p>
            <w:pPr>
              <w:spacing w:line="240" w:lineRule="exact"/>
              <w:ind w:left="113"/>
              <w:jc w:val="center"/>
              <w:rPr>
                <w:rFonts w:ascii="宋体" w:cs="Times New Roman"/>
              </w:rPr>
            </w:pPr>
          </w:p>
        </w:tc>
        <w:tc>
          <w:tcPr>
            <w:tcW w:w="375" w:type="pct"/>
            <w:vMerge w:val="continue"/>
            <w:vAlign w:val="center"/>
          </w:tcPr>
          <w:p>
            <w:pPr>
              <w:spacing w:line="240" w:lineRule="exact"/>
              <w:jc w:val="center"/>
              <w:rPr>
                <w:rFonts w:ascii="宋体" w:cs="Times New Roman"/>
              </w:rPr>
            </w:pPr>
          </w:p>
        </w:tc>
        <w:tc>
          <w:tcPr>
            <w:tcW w:w="500" w:type="pct"/>
            <w:tcMar>
              <w:top w:w="10" w:type="dxa"/>
              <w:left w:w="10" w:type="dxa"/>
              <w:bottom w:w="0" w:type="dxa"/>
              <w:right w:w="10" w:type="dxa"/>
            </w:tcMar>
            <w:vAlign w:val="center"/>
          </w:tcPr>
          <w:p>
            <w:pPr>
              <w:spacing w:line="240" w:lineRule="exact"/>
              <w:jc w:val="center"/>
              <w:rPr>
                <w:rFonts w:ascii="宋体" w:cs="Times New Roman"/>
              </w:rPr>
            </w:pPr>
            <w:r>
              <w:rPr>
                <w:rFonts w:hint="eastAsia" w:ascii="宋体" w:hAnsi="宋体" w:cs="宋体"/>
              </w:rPr>
              <w:t>完成</w:t>
            </w:r>
          </w:p>
          <w:p>
            <w:pPr>
              <w:spacing w:line="240" w:lineRule="exact"/>
              <w:jc w:val="center"/>
              <w:rPr>
                <w:rFonts w:ascii="宋体" w:cs="Times New Roman"/>
              </w:rPr>
            </w:pPr>
            <w:r>
              <w:rPr>
                <w:rFonts w:hint="eastAsia" w:ascii="宋体" w:hAnsi="宋体" w:cs="宋体"/>
              </w:rPr>
              <w:t>及时率（</w:t>
            </w:r>
            <w:r>
              <w:rPr>
                <w:rFonts w:ascii="宋体" w:hAnsi="宋体" w:cs="宋体"/>
              </w:rPr>
              <w:t>4</w:t>
            </w:r>
            <w:r>
              <w:rPr>
                <w:rFonts w:hint="eastAsia" w:ascii="宋体" w:hAnsi="宋体" w:cs="宋体"/>
              </w:rPr>
              <w:t>分）</w:t>
            </w:r>
          </w:p>
        </w:tc>
        <w:tc>
          <w:tcPr>
            <w:tcW w:w="258" w:type="pct"/>
          </w:tcPr>
          <w:p>
            <w:pPr>
              <w:tabs>
                <w:tab w:val="left" w:pos="2604"/>
              </w:tabs>
              <w:spacing w:line="240" w:lineRule="exact"/>
              <w:ind w:left="105" w:leftChars="50" w:right="105" w:rightChars="50" w:firstLine="96" w:firstLineChars="46"/>
              <w:rPr>
                <w:rFonts w:ascii="宋体" w:cs="宋体"/>
              </w:rPr>
            </w:pPr>
            <w:r>
              <w:rPr>
                <w:rFonts w:ascii="宋体" w:cs="宋体"/>
              </w:rPr>
              <w:t>4</w:t>
            </w:r>
          </w:p>
        </w:tc>
        <w:tc>
          <w:tcPr>
            <w:tcW w:w="1693"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Times New Roman"/>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Times New Roman"/>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Times New Roman"/>
              </w:rPr>
              <w:br w:type="textWrapping"/>
            </w: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vAlign w:val="center"/>
          </w:tcPr>
          <w:p>
            <w:pPr>
              <w:spacing w:line="240" w:lineRule="exact"/>
              <w:rPr>
                <w:rFonts w:ascii="宋体" w:cs="Times New Roman"/>
              </w:rPr>
            </w:pPr>
          </w:p>
        </w:tc>
        <w:tc>
          <w:tcPr>
            <w:tcW w:w="375" w:type="pct"/>
            <w:vMerge w:val="continue"/>
            <w:vAlign w:val="center"/>
          </w:tcPr>
          <w:p>
            <w:pPr>
              <w:spacing w:line="240" w:lineRule="exact"/>
              <w:rPr>
                <w:rFonts w:ascii="宋体" w:cs="Times New Roman"/>
              </w:rPr>
            </w:pPr>
          </w:p>
        </w:tc>
        <w:tc>
          <w:tcPr>
            <w:tcW w:w="500" w:type="pct"/>
            <w:tcMar>
              <w:top w:w="10" w:type="dxa"/>
              <w:left w:w="10" w:type="dxa"/>
              <w:bottom w:w="0" w:type="dxa"/>
              <w:right w:w="10" w:type="dxa"/>
            </w:tcMar>
            <w:vAlign w:val="center"/>
          </w:tcPr>
          <w:p>
            <w:pPr>
              <w:spacing w:line="240" w:lineRule="exact"/>
              <w:jc w:val="center"/>
              <w:rPr>
                <w:rFonts w:ascii="宋体" w:cs="Times New Roman"/>
              </w:rPr>
            </w:pPr>
            <w:r>
              <w:rPr>
                <w:rFonts w:hint="eastAsia" w:ascii="宋体" w:hAnsi="宋体" w:cs="宋体"/>
              </w:rPr>
              <w:t>质量</w:t>
            </w:r>
          </w:p>
          <w:p>
            <w:pPr>
              <w:spacing w:line="240" w:lineRule="exact"/>
              <w:jc w:val="center"/>
              <w:rPr>
                <w:rFonts w:ascii="宋体" w:cs="Times New Roman"/>
              </w:rPr>
            </w:pPr>
            <w:r>
              <w:rPr>
                <w:rFonts w:hint="eastAsia" w:ascii="宋体" w:hAnsi="宋体" w:cs="宋体"/>
              </w:rPr>
              <w:t>达标率（</w:t>
            </w:r>
            <w:r>
              <w:rPr>
                <w:rFonts w:ascii="宋体" w:hAnsi="宋体" w:cs="宋体"/>
              </w:rPr>
              <w:t>8</w:t>
            </w:r>
            <w:r>
              <w:rPr>
                <w:rFonts w:hint="eastAsia" w:ascii="宋体" w:hAnsi="宋体" w:cs="宋体"/>
              </w:rPr>
              <w:t>分）</w:t>
            </w:r>
          </w:p>
        </w:tc>
        <w:tc>
          <w:tcPr>
            <w:tcW w:w="258" w:type="pct"/>
          </w:tcPr>
          <w:p>
            <w:pPr>
              <w:tabs>
                <w:tab w:val="left" w:pos="2604"/>
              </w:tabs>
              <w:spacing w:line="240" w:lineRule="exact"/>
              <w:ind w:left="105" w:leftChars="50" w:right="105" w:rightChars="50" w:firstLine="96" w:firstLineChars="46"/>
              <w:rPr>
                <w:rFonts w:ascii="宋体" w:cs="宋体"/>
              </w:rPr>
            </w:pPr>
            <w:r>
              <w:rPr>
                <w:rFonts w:ascii="宋体" w:cs="宋体"/>
              </w:rPr>
              <w:t>8</w:t>
            </w:r>
          </w:p>
        </w:tc>
        <w:tc>
          <w:tcPr>
            <w:tcW w:w="1693"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Times New Roman"/>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Times New Roman"/>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Times New Roman"/>
              </w:rPr>
              <w:br w:type="textWrapping"/>
            </w: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vAlign w:val="center"/>
          </w:tcPr>
          <w:p>
            <w:pPr>
              <w:spacing w:line="240" w:lineRule="exact"/>
              <w:rPr>
                <w:rFonts w:ascii="宋体" w:cs="Times New Roman"/>
              </w:rPr>
            </w:pPr>
          </w:p>
        </w:tc>
        <w:tc>
          <w:tcPr>
            <w:tcW w:w="375" w:type="pct"/>
            <w:vMerge w:val="continue"/>
            <w:vAlign w:val="center"/>
          </w:tcPr>
          <w:p>
            <w:pPr>
              <w:spacing w:line="240" w:lineRule="exact"/>
              <w:rPr>
                <w:rFonts w:ascii="宋体" w:cs="Times New Roman"/>
              </w:rPr>
            </w:pPr>
          </w:p>
        </w:tc>
        <w:tc>
          <w:tcPr>
            <w:tcW w:w="500" w:type="pct"/>
            <w:tcMar>
              <w:top w:w="10" w:type="dxa"/>
              <w:left w:w="10" w:type="dxa"/>
              <w:bottom w:w="0" w:type="dxa"/>
              <w:right w:w="10" w:type="dxa"/>
            </w:tcMar>
            <w:vAlign w:val="center"/>
          </w:tcPr>
          <w:p>
            <w:pPr>
              <w:spacing w:line="240" w:lineRule="exact"/>
              <w:jc w:val="center"/>
              <w:rPr>
                <w:rFonts w:ascii="宋体" w:cs="Times New Roman"/>
              </w:rPr>
            </w:pPr>
            <w:r>
              <w:rPr>
                <w:rFonts w:hint="eastAsia" w:ascii="宋体" w:hAnsi="宋体" w:cs="宋体"/>
              </w:rPr>
              <w:t>重点工作</w:t>
            </w:r>
          </w:p>
          <w:p>
            <w:pPr>
              <w:spacing w:line="240" w:lineRule="exact"/>
              <w:jc w:val="center"/>
              <w:rPr>
                <w:rFonts w:ascii="宋体" w:cs="Times New Roman"/>
              </w:rPr>
            </w:pPr>
            <w:r>
              <w:rPr>
                <w:rFonts w:hint="eastAsia" w:ascii="宋体" w:hAnsi="宋体" w:cs="宋体"/>
              </w:rPr>
              <w:t>办结率（</w:t>
            </w:r>
            <w:r>
              <w:rPr>
                <w:rFonts w:ascii="宋体" w:hAnsi="宋体" w:cs="宋体"/>
              </w:rPr>
              <w:t>10</w:t>
            </w:r>
            <w:r>
              <w:rPr>
                <w:rFonts w:hint="eastAsia" w:ascii="宋体" w:hAnsi="宋体" w:cs="宋体"/>
              </w:rPr>
              <w:t>分）</w:t>
            </w:r>
          </w:p>
        </w:tc>
        <w:tc>
          <w:tcPr>
            <w:tcW w:w="258" w:type="pct"/>
          </w:tcPr>
          <w:p>
            <w:pPr>
              <w:tabs>
                <w:tab w:val="left" w:pos="2604"/>
              </w:tabs>
              <w:spacing w:line="240" w:lineRule="exact"/>
              <w:ind w:left="105" w:leftChars="50" w:right="105" w:rightChars="50" w:firstLine="96" w:firstLineChars="46"/>
              <w:rPr>
                <w:rFonts w:ascii="宋体" w:cs="宋体"/>
              </w:rPr>
            </w:pPr>
            <w:r>
              <w:rPr>
                <w:rFonts w:ascii="宋体" w:cs="宋体"/>
              </w:rPr>
              <w:t>10</w:t>
            </w:r>
          </w:p>
        </w:tc>
        <w:tc>
          <w:tcPr>
            <w:tcW w:w="1693"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Times New Roman"/>
              </w:rPr>
            </w:pPr>
            <w:r>
              <w:rPr>
                <w:rFonts w:hint="eastAsia" w:ascii="宋体" w:hAnsi="宋体" w:cs="宋体"/>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Times New Roman"/>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r>
              <w:rPr>
                <w:rFonts w:ascii="宋体" w:cs="Times New Roman"/>
              </w:rPr>
              <w:br w:type="textWrapping"/>
            </w: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Times New Roman"/>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Times New Roman"/>
              </w:rPr>
            </w:pPr>
            <w:r>
              <w:rPr>
                <w:rFonts w:hint="eastAsia" w:ascii="宋体" w:hAnsi="宋体" w:cs="宋体"/>
              </w:rPr>
              <w:t>履职</w:t>
            </w:r>
            <w:r>
              <w:rPr>
                <w:rFonts w:ascii="宋体" w:cs="Times New Roman"/>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Times New Roman"/>
              </w:rPr>
            </w:pPr>
            <w:r>
              <w:rPr>
                <w:rFonts w:hint="eastAsia" w:ascii="宋体" w:hAnsi="宋体" w:cs="宋体"/>
              </w:rPr>
              <w:t>经济效益（</w:t>
            </w:r>
            <w:r>
              <w:rPr>
                <w:rFonts w:ascii="宋体" w:hAnsi="宋体" w:cs="宋体"/>
              </w:rPr>
              <w:t>5</w:t>
            </w:r>
            <w:r>
              <w:rPr>
                <w:rFonts w:hint="eastAsia" w:ascii="宋体" w:hAnsi="宋体" w:cs="宋体"/>
              </w:rPr>
              <w:t>分）</w:t>
            </w:r>
          </w:p>
        </w:tc>
        <w:tc>
          <w:tcPr>
            <w:tcW w:w="258" w:type="pct"/>
          </w:tcPr>
          <w:p>
            <w:pPr>
              <w:tabs>
                <w:tab w:val="left" w:pos="2604"/>
              </w:tabs>
              <w:spacing w:line="240" w:lineRule="exact"/>
              <w:ind w:left="105" w:leftChars="50" w:right="105" w:rightChars="50" w:firstLine="96" w:firstLineChars="46"/>
              <w:rPr>
                <w:rFonts w:ascii="宋体" w:cs="宋体"/>
              </w:rPr>
            </w:pPr>
            <w:r>
              <w:rPr>
                <w:rFonts w:ascii="宋体" w:cs="宋体"/>
              </w:rPr>
              <w:t>5</w:t>
            </w:r>
          </w:p>
        </w:tc>
        <w:tc>
          <w:tcPr>
            <w:tcW w:w="1693"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Times New Roman"/>
              </w:rPr>
            </w:pPr>
            <w:r>
              <w:rPr>
                <w:rFonts w:hint="eastAsia" w:ascii="宋体" w:hAnsi="宋体" w:cs="宋体"/>
              </w:rPr>
              <w:t>部门履行职责对经济发展所带来的直接或间接影响。</w:t>
            </w:r>
          </w:p>
        </w:tc>
        <w:tc>
          <w:tcPr>
            <w:tcW w:w="1867" w:type="pct"/>
            <w:vMerge w:val="restart"/>
            <w:tcMar>
              <w:top w:w="10" w:type="dxa"/>
              <w:left w:w="10" w:type="dxa"/>
              <w:bottom w:w="0" w:type="dxa"/>
              <w:right w:w="10" w:type="dxa"/>
            </w:tcMar>
            <w:vAlign w:val="center"/>
          </w:tcPr>
          <w:p>
            <w:pPr>
              <w:spacing w:line="240" w:lineRule="exact"/>
              <w:ind w:left="105" w:leftChars="50" w:right="105" w:rightChars="50"/>
              <w:rPr>
                <w:rFonts w:ascii="宋体" w:cs="Times New Roman"/>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cs="Times New Roman"/>
              </w:rPr>
            </w:pPr>
          </w:p>
        </w:tc>
        <w:tc>
          <w:tcPr>
            <w:tcW w:w="375" w:type="pct"/>
            <w:vMerge w:val="continue"/>
            <w:vAlign w:val="center"/>
          </w:tcPr>
          <w:p>
            <w:pPr>
              <w:spacing w:line="240" w:lineRule="exact"/>
              <w:rPr>
                <w:rFonts w:ascii="宋体" w:cs="Times New Roman"/>
              </w:rPr>
            </w:pPr>
          </w:p>
        </w:tc>
        <w:tc>
          <w:tcPr>
            <w:tcW w:w="500" w:type="pct"/>
            <w:tcMar>
              <w:top w:w="10" w:type="dxa"/>
              <w:left w:w="10" w:type="dxa"/>
              <w:bottom w:w="0" w:type="dxa"/>
              <w:right w:w="10" w:type="dxa"/>
            </w:tcMar>
            <w:vAlign w:val="center"/>
          </w:tcPr>
          <w:p>
            <w:pPr>
              <w:spacing w:line="240" w:lineRule="exact"/>
              <w:jc w:val="center"/>
              <w:rPr>
                <w:rFonts w:ascii="宋体" w:cs="Times New Roman"/>
              </w:rPr>
            </w:pPr>
            <w:r>
              <w:rPr>
                <w:rFonts w:hint="eastAsia" w:ascii="宋体" w:hAnsi="宋体" w:cs="宋体"/>
              </w:rPr>
              <w:t>社会效益（</w:t>
            </w:r>
            <w:r>
              <w:rPr>
                <w:rFonts w:ascii="宋体" w:hAnsi="宋体" w:cs="宋体"/>
              </w:rPr>
              <w:t>5</w:t>
            </w:r>
            <w:r>
              <w:rPr>
                <w:rFonts w:hint="eastAsia" w:ascii="宋体" w:hAnsi="宋体" w:cs="宋体"/>
              </w:rPr>
              <w:t>分）</w:t>
            </w:r>
          </w:p>
        </w:tc>
        <w:tc>
          <w:tcPr>
            <w:tcW w:w="258" w:type="pct"/>
          </w:tcPr>
          <w:p>
            <w:pPr>
              <w:tabs>
                <w:tab w:val="left" w:pos="2604"/>
              </w:tabs>
              <w:spacing w:line="240" w:lineRule="exact"/>
              <w:ind w:left="105" w:leftChars="50" w:right="105" w:rightChars="50" w:firstLine="96" w:firstLineChars="46"/>
              <w:rPr>
                <w:rFonts w:ascii="宋体" w:cs="宋体"/>
              </w:rPr>
            </w:pPr>
            <w:r>
              <w:rPr>
                <w:rFonts w:ascii="宋体" w:cs="宋体"/>
              </w:rPr>
              <w:t>5</w:t>
            </w:r>
          </w:p>
        </w:tc>
        <w:tc>
          <w:tcPr>
            <w:tcW w:w="1693"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Times New Roman"/>
              </w:rPr>
            </w:pPr>
            <w:r>
              <w:rPr>
                <w:rFonts w:hint="eastAsia" w:ascii="宋体" w:hAnsi="宋体" w:cs="宋体"/>
              </w:rPr>
              <w:t>部门履行职责对社会发展所带来的直接或间接影响。</w:t>
            </w:r>
          </w:p>
        </w:tc>
        <w:tc>
          <w:tcPr>
            <w:tcW w:w="1867" w:type="pct"/>
            <w:vMerge w:val="continue"/>
            <w:vAlign w:val="center"/>
          </w:tcPr>
          <w:p>
            <w:pPr>
              <w:spacing w:line="240" w:lineRule="exact"/>
              <w:ind w:left="105" w:leftChars="50" w:right="105" w:rightChars="5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cs="Times New Roman"/>
              </w:rPr>
            </w:pPr>
          </w:p>
        </w:tc>
        <w:tc>
          <w:tcPr>
            <w:tcW w:w="375" w:type="pct"/>
            <w:vMerge w:val="continue"/>
            <w:vAlign w:val="center"/>
          </w:tcPr>
          <w:p>
            <w:pPr>
              <w:spacing w:line="240" w:lineRule="exact"/>
              <w:rPr>
                <w:rFonts w:ascii="宋体" w:cs="Times New Roman"/>
              </w:rPr>
            </w:pPr>
          </w:p>
        </w:tc>
        <w:tc>
          <w:tcPr>
            <w:tcW w:w="500" w:type="pct"/>
            <w:tcMar>
              <w:top w:w="10" w:type="dxa"/>
              <w:left w:w="10" w:type="dxa"/>
              <w:bottom w:w="0" w:type="dxa"/>
              <w:right w:w="10" w:type="dxa"/>
            </w:tcMar>
            <w:vAlign w:val="center"/>
          </w:tcPr>
          <w:p>
            <w:pPr>
              <w:spacing w:line="240" w:lineRule="exact"/>
              <w:jc w:val="center"/>
              <w:rPr>
                <w:rFonts w:ascii="宋体" w:cs="Times New Roman"/>
              </w:rPr>
            </w:pPr>
            <w:r>
              <w:rPr>
                <w:rFonts w:hint="eastAsia" w:ascii="宋体" w:hAnsi="宋体" w:cs="宋体"/>
              </w:rPr>
              <w:t>生态效益（</w:t>
            </w:r>
            <w:r>
              <w:rPr>
                <w:rFonts w:ascii="宋体" w:hAnsi="宋体" w:cs="宋体"/>
              </w:rPr>
              <w:t>5</w:t>
            </w:r>
            <w:r>
              <w:rPr>
                <w:rFonts w:hint="eastAsia" w:ascii="宋体" w:hAnsi="宋体" w:cs="宋体"/>
              </w:rPr>
              <w:t>分）</w:t>
            </w:r>
          </w:p>
        </w:tc>
        <w:tc>
          <w:tcPr>
            <w:tcW w:w="258" w:type="pct"/>
          </w:tcPr>
          <w:p>
            <w:pPr>
              <w:tabs>
                <w:tab w:val="left" w:pos="2604"/>
              </w:tabs>
              <w:spacing w:line="240" w:lineRule="exact"/>
              <w:ind w:left="105" w:leftChars="50" w:right="105" w:rightChars="50" w:firstLine="96" w:firstLineChars="46"/>
              <w:rPr>
                <w:rFonts w:ascii="宋体" w:cs="宋体"/>
              </w:rPr>
            </w:pPr>
            <w:r>
              <w:rPr>
                <w:rFonts w:ascii="宋体" w:cs="宋体"/>
              </w:rPr>
              <w:t>5</w:t>
            </w:r>
          </w:p>
        </w:tc>
        <w:tc>
          <w:tcPr>
            <w:tcW w:w="1693"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Times New Roman"/>
              </w:rPr>
            </w:pPr>
            <w:r>
              <w:rPr>
                <w:rFonts w:hint="eastAsia" w:ascii="宋体" w:hAnsi="宋体" w:cs="宋体"/>
              </w:rPr>
              <w:t>部门履行职责对生态环境所带来的直接或间接影响。</w:t>
            </w:r>
          </w:p>
        </w:tc>
        <w:tc>
          <w:tcPr>
            <w:tcW w:w="1867" w:type="pct"/>
            <w:vMerge w:val="continue"/>
            <w:vAlign w:val="center"/>
          </w:tcPr>
          <w:p>
            <w:pPr>
              <w:spacing w:line="240" w:lineRule="exact"/>
              <w:ind w:left="105" w:leftChars="50" w:right="105" w:rightChars="5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vAlign w:val="center"/>
          </w:tcPr>
          <w:p>
            <w:pPr>
              <w:spacing w:line="240" w:lineRule="exact"/>
              <w:rPr>
                <w:rFonts w:ascii="宋体" w:cs="Times New Roman"/>
              </w:rPr>
            </w:pPr>
          </w:p>
        </w:tc>
        <w:tc>
          <w:tcPr>
            <w:tcW w:w="375" w:type="pct"/>
            <w:vMerge w:val="continue"/>
            <w:vAlign w:val="center"/>
          </w:tcPr>
          <w:p>
            <w:pPr>
              <w:spacing w:line="240" w:lineRule="exact"/>
              <w:rPr>
                <w:rFonts w:ascii="宋体" w:cs="Times New Roman"/>
              </w:rPr>
            </w:pPr>
          </w:p>
        </w:tc>
        <w:tc>
          <w:tcPr>
            <w:tcW w:w="500" w:type="pct"/>
            <w:tcMar>
              <w:top w:w="10" w:type="dxa"/>
              <w:left w:w="10" w:type="dxa"/>
              <w:bottom w:w="0" w:type="dxa"/>
              <w:right w:w="10" w:type="dxa"/>
            </w:tcMar>
            <w:vAlign w:val="center"/>
          </w:tcPr>
          <w:p>
            <w:pPr>
              <w:spacing w:line="240" w:lineRule="exact"/>
              <w:jc w:val="center"/>
              <w:rPr>
                <w:rFonts w:ascii="宋体" w:cs="Times New Roman"/>
              </w:rPr>
            </w:pPr>
            <w:r>
              <w:rPr>
                <w:rFonts w:hint="eastAsia" w:ascii="宋体" w:hAnsi="宋体" w:cs="宋体"/>
              </w:rPr>
              <w:t>社会公众</w:t>
            </w:r>
          </w:p>
          <w:p>
            <w:pPr>
              <w:spacing w:line="240" w:lineRule="exact"/>
              <w:jc w:val="center"/>
              <w:rPr>
                <w:rFonts w:ascii="宋体" w:cs="Times New Roman"/>
              </w:rPr>
            </w:pPr>
            <w:r>
              <w:rPr>
                <w:rFonts w:hint="eastAsia" w:ascii="宋体" w:hAnsi="宋体" w:cs="宋体"/>
              </w:rPr>
              <w:t>或服务对</w:t>
            </w:r>
          </w:p>
          <w:p>
            <w:pPr>
              <w:spacing w:line="240" w:lineRule="exact"/>
              <w:jc w:val="center"/>
              <w:rPr>
                <w:rFonts w:ascii="宋体" w:cs="Times New Roman"/>
              </w:rPr>
            </w:pPr>
            <w:r>
              <w:rPr>
                <w:rFonts w:hint="eastAsia" w:ascii="宋体" w:hAnsi="宋体" w:cs="宋体"/>
              </w:rPr>
              <w:t>象满意度（</w:t>
            </w:r>
            <w:r>
              <w:rPr>
                <w:rFonts w:ascii="宋体" w:hAnsi="宋体" w:cs="宋体"/>
              </w:rPr>
              <w:t>4</w:t>
            </w:r>
            <w:r>
              <w:rPr>
                <w:rFonts w:hint="eastAsia" w:ascii="宋体" w:hAnsi="宋体" w:cs="宋体"/>
              </w:rPr>
              <w:t>分）</w:t>
            </w:r>
          </w:p>
        </w:tc>
        <w:tc>
          <w:tcPr>
            <w:tcW w:w="258" w:type="pct"/>
          </w:tcPr>
          <w:p>
            <w:pPr>
              <w:tabs>
                <w:tab w:val="left" w:pos="2604"/>
              </w:tabs>
              <w:spacing w:line="240" w:lineRule="exact"/>
              <w:ind w:left="105" w:leftChars="50" w:right="105" w:rightChars="50" w:firstLine="96" w:firstLineChars="46"/>
              <w:rPr>
                <w:rFonts w:ascii="宋体" w:cs="宋体"/>
              </w:rPr>
            </w:pPr>
            <w:r>
              <w:rPr>
                <w:rFonts w:ascii="宋体" w:cs="宋体"/>
              </w:rPr>
              <w:t>3.5</w:t>
            </w:r>
          </w:p>
        </w:tc>
        <w:tc>
          <w:tcPr>
            <w:tcW w:w="1693"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Times New Roman"/>
              </w:rPr>
            </w:pPr>
            <w:r>
              <w:rPr>
                <w:rFonts w:hint="eastAsia" w:ascii="宋体" w:hAnsi="宋体" w:cs="宋体"/>
              </w:rPr>
              <w:t>社会公众或部门的服务对象对部门履职效果的满意程度。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Times New Roman"/>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vAlign w:val="center"/>
          </w:tcPr>
          <w:p>
            <w:pPr>
              <w:spacing w:line="240" w:lineRule="exact"/>
              <w:rPr>
                <w:rFonts w:ascii="宋体" w:cs="Times New Roman"/>
              </w:rPr>
            </w:pPr>
            <w:r>
              <w:rPr>
                <w:rFonts w:hint="eastAsia" w:ascii="宋体" w:hAnsi="宋体" w:cs="宋体"/>
              </w:rPr>
              <w:t>总分</w:t>
            </w:r>
          </w:p>
        </w:tc>
        <w:tc>
          <w:tcPr>
            <w:tcW w:w="375" w:type="pct"/>
            <w:vAlign w:val="center"/>
          </w:tcPr>
          <w:p>
            <w:pPr>
              <w:spacing w:line="240" w:lineRule="exact"/>
              <w:rPr>
                <w:rFonts w:ascii="宋体" w:cs="Times New Roman"/>
              </w:rPr>
            </w:pPr>
          </w:p>
        </w:tc>
        <w:tc>
          <w:tcPr>
            <w:tcW w:w="500" w:type="pct"/>
            <w:tcMar>
              <w:top w:w="10" w:type="dxa"/>
              <w:left w:w="10" w:type="dxa"/>
              <w:bottom w:w="0" w:type="dxa"/>
              <w:right w:w="10" w:type="dxa"/>
            </w:tcMar>
            <w:vAlign w:val="center"/>
          </w:tcPr>
          <w:p>
            <w:pPr>
              <w:spacing w:line="240" w:lineRule="exact"/>
              <w:jc w:val="center"/>
              <w:rPr>
                <w:rFonts w:ascii="宋体" w:cs="Times New Roman"/>
              </w:rPr>
            </w:pPr>
          </w:p>
        </w:tc>
        <w:tc>
          <w:tcPr>
            <w:tcW w:w="258" w:type="pct"/>
          </w:tcPr>
          <w:p>
            <w:pPr>
              <w:tabs>
                <w:tab w:val="left" w:pos="2604"/>
              </w:tabs>
              <w:spacing w:line="240" w:lineRule="exact"/>
              <w:ind w:left="105" w:leftChars="50" w:right="105" w:rightChars="50" w:firstLine="96" w:firstLineChars="46"/>
              <w:rPr>
                <w:rFonts w:ascii="宋体" w:cs="宋体"/>
              </w:rPr>
            </w:pPr>
            <w:r>
              <w:rPr>
                <w:rFonts w:ascii="宋体" w:cs="宋体"/>
              </w:rPr>
              <w:t>99</w:t>
            </w:r>
          </w:p>
        </w:tc>
        <w:tc>
          <w:tcPr>
            <w:tcW w:w="1693"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Times New Roman"/>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691C6AC5"/>
    <w:rsid w:val="7ECA2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ind w:firstLine="720" w:firstLineChars="257"/>
    </w:pPr>
    <w:rPr>
      <w:kern w:val="0"/>
      <w:sz w:val="20"/>
      <w:szCs w:val="20"/>
    </w:rPr>
  </w:style>
  <w:style w:type="paragraph" w:styleId="4">
    <w:name w:val="Normal (Web)"/>
    <w:basedOn w:val="1"/>
    <w:qFormat/>
    <w:uiPriority w:val="99"/>
    <w:pPr>
      <w:widowControl/>
      <w:spacing w:before="100" w:beforeAutospacing="1" w:after="100" w:afterAutospacing="1"/>
      <w:jc w:val="left"/>
    </w:pPr>
    <w:rPr>
      <w:rFonts w:ascii="宋体" w:hAnsi="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3008</Words>
  <Characters>3075</Characters>
  <Lines>0</Lines>
  <Paragraphs>0</Paragraphs>
  <TotalTime>0</TotalTime>
  <ScaleCrop>false</ScaleCrop>
  <LinksUpToDate>false</LinksUpToDate>
  <CharactersWithSpaces>3076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2023-06-17T13:25:00Z</dcterms:created>
  <dc:creator>admin-3</dc:creator>
  <cp:lastModifiedBy>admin-3</cp:lastModifiedBy>
  <dcterms:modified xsi:type="dcterms:W3CDTF">2023-06-17T13:27:25Z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E5AA010927714B1F8E7E57B7378CCAE1_12</vt:lpwstr>
  </property>
</Properties>
</file>