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s="Times New Roman"/>
          <w:sz w:val="36"/>
          <w:szCs w:val="36"/>
        </w:rPr>
      </w:pPr>
      <w:r>
        <w:rPr>
          <w:rFonts w:hint="eastAsia" w:ascii="黑体" w:hAnsi="黑体" w:eastAsia="黑体" w:cs="黑体"/>
          <w:sz w:val="36"/>
          <w:szCs w:val="36"/>
        </w:rPr>
        <w:t>益阳市赫山区财政局</w:t>
      </w:r>
      <w:r>
        <w:rPr>
          <w:rFonts w:ascii="黑体" w:hAnsi="黑体" w:eastAsia="黑体" w:cs="黑体"/>
          <w:sz w:val="36"/>
          <w:szCs w:val="36"/>
        </w:rPr>
        <w:t>2021</w:t>
      </w:r>
      <w:r>
        <w:rPr>
          <w:rFonts w:hint="eastAsia" w:ascii="黑体" w:hAnsi="黑体" w:eastAsia="黑体" w:cs="黑体"/>
          <w:sz w:val="36"/>
          <w:szCs w:val="36"/>
        </w:rPr>
        <w:t>年度整体支出</w:t>
      </w:r>
    </w:p>
    <w:p>
      <w:pPr>
        <w:spacing w:line="560" w:lineRule="exact"/>
        <w:jc w:val="center"/>
        <w:rPr>
          <w:rFonts w:ascii="黑体" w:hAnsi="黑体" w:eastAsia="黑体" w:cs="Times New Roman"/>
          <w:sz w:val="36"/>
          <w:szCs w:val="36"/>
        </w:rPr>
      </w:pPr>
      <w:r>
        <w:rPr>
          <w:rFonts w:hint="eastAsia" w:ascii="黑体" w:hAnsi="黑体" w:eastAsia="黑体" w:cs="黑体"/>
          <w:sz w:val="36"/>
          <w:szCs w:val="36"/>
        </w:rPr>
        <w:t>绩效评价报告</w:t>
      </w:r>
    </w:p>
    <w:p>
      <w:pPr>
        <w:spacing w:line="560" w:lineRule="exact"/>
        <w:rPr>
          <w:rFonts w:ascii="仿宋_GB2312" w:eastAsia="仿宋_GB2312" w:cs="Times New Roman"/>
          <w:sz w:val="32"/>
          <w:szCs w:val="32"/>
        </w:rPr>
      </w:pP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根据益赫财绩【</w:t>
      </w:r>
      <w:r>
        <w:rPr>
          <w:rFonts w:ascii="仿宋" w:hAnsi="仿宋" w:eastAsia="仿宋" w:cs="仿宋"/>
          <w:sz w:val="30"/>
          <w:szCs w:val="30"/>
        </w:rPr>
        <w:t>2022</w:t>
      </w:r>
      <w:r>
        <w:rPr>
          <w:rFonts w:hint="eastAsia" w:ascii="仿宋" w:hAnsi="仿宋" w:eastAsia="仿宋" w:cs="仿宋"/>
          <w:sz w:val="30"/>
          <w:szCs w:val="30"/>
        </w:rPr>
        <w:t>】</w:t>
      </w:r>
      <w:r>
        <w:rPr>
          <w:rFonts w:ascii="仿宋" w:hAnsi="仿宋" w:eastAsia="仿宋" w:cs="仿宋"/>
          <w:sz w:val="30"/>
          <w:szCs w:val="30"/>
        </w:rPr>
        <w:t>1</w:t>
      </w:r>
      <w:r>
        <w:rPr>
          <w:rFonts w:hint="eastAsia" w:ascii="仿宋" w:hAnsi="仿宋" w:eastAsia="仿宋" w:cs="仿宋"/>
          <w:sz w:val="30"/>
          <w:szCs w:val="30"/>
        </w:rPr>
        <w:t>号《益阳市赫山区财政局关于做好</w:t>
      </w:r>
      <w:r>
        <w:rPr>
          <w:rFonts w:ascii="仿宋" w:hAnsi="仿宋" w:eastAsia="仿宋" w:cs="仿宋"/>
          <w:sz w:val="30"/>
          <w:szCs w:val="30"/>
        </w:rPr>
        <w:t>2021</w:t>
      </w:r>
      <w:r>
        <w:rPr>
          <w:rFonts w:hint="eastAsia" w:ascii="仿宋" w:hAnsi="仿宋" w:eastAsia="仿宋" w:cs="仿宋"/>
          <w:sz w:val="30"/>
          <w:szCs w:val="30"/>
        </w:rPr>
        <w:t>年度预算绩效自评工作的通知》文件精神，对照《部门整体支出绩效评价指标表》，我局结合工作实际，认真负责、客观公正地开展</w:t>
      </w:r>
      <w:r>
        <w:rPr>
          <w:rFonts w:ascii="仿宋" w:hAnsi="仿宋" w:eastAsia="仿宋" w:cs="仿宋"/>
          <w:sz w:val="30"/>
          <w:szCs w:val="30"/>
        </w:rPr>
        <w:t>2021</w:t>
      </w:r>
      <w:r>
        <w:rPr>
          <w:rFonts w:hint="eastAsia" w:ascii="仿宋" w:hAnsi="仿宋" w:eastAsia="仿宋" w:cs="仿宋"/>
          <w:sz w:val="30"/>
          <w:szCs w:val="30"/>
        </w:rPr>
        <w:t>年度部门整体支出绩效自评工作，现将相关情况报告如下：</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一、部门主要职责</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益阳市赫山区财政局是区政府工作部门，为正科级。益阳市赫山区财政局贯彻落实党中央关于财政工作的方针政策和决策部署以及省委、市委、区委的部署要求，在履行职责过程中坚持和加强党对财政工作的集中统一领导。主要职责是：</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一）组织贯彻执行国家财税方针政策，拟订和执行全区财政政策、改革方案，指导全区财政工作；分析预测宏观经济形势，参与拟订各项宏观经济政策；提出运用财税政策实施宏观调控和综合平衡社会财力的建议；拟订和执行区与乡镇、街道、园区，政府与企业的分配政策，完善鼓励公益事业发展的财税政策。</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（二）制定和执行财政、财务、会计管理制度，参与政府投融资等方面的谈判并签订有关协议、协定。</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三）承担区本级各项财政收支管理的职责。加强预算管理，深化预算管理制度改革；负责编制中期财政规划；负责编制权责发生制政府综合财务报告；负责编制年度区本级预决算草案并组织执行；汇编全区财政收支预算、决算；受区人民政府委托，向区人民代表大会报告全区、区本级预算草案及其预算执行情况，向区人大常委会报告财政总预算和预算调整草案；组织制定区本级经费开支标准、定额，负责审核批复部门（单位）的年度预决算；推进预决算公开工作。</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（四）负责政府非税收入管理，负责政府性基金管理，按规定管理行政事业性收费，管理财政票据；会同有关部门监督和管理彩票公益金，管理其他彩票资金。</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（五）组织制定国库管理制度、国库集中收付制度，指导、监督和经办区本级国库业务，按规定开展国库现金管理工作；负责制定政府采购制度并监督执行。</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（六）贯彻执行国家税收法律、行政法规和税收调整政策，反馈政策执行情况，提出调整建议。</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七）负责拟订全区行政事业单位国有资产管理规章制度，按规定管理区本级行政事业单位国有资产；负责区本级国有资产、财政股权投资管理工作；负责财政预算内行政、事业单位和社会团体的非贸易外汇管理。</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八）负责审核和汇总编制全区国有资本经营预决算草案，制定国有资本经营预算的制度和办法，收取区本级企业国有资本收益，组织实施企业财务制度，按规定管理地方金融类企业国有资产，参与拟订企业国有资产管理相关制度，按规定管理资产评估工作，参与国有企业改革，负责区属国有企业改革相关的财政财务工作。</w:t>
      </w:r>
    </w:p>
    <w:p>
      <w:pPr>
        <w:tabs>
          <w:tab w:val="left" w:pos="3511"/>
        </w:tabs>
        <w:spacing w:line="600" w:lineRule="exact"/>
        <w:ind w:firstLine="600" w:firstLineChars="200"/>
        <w:jc w:val="left"/>
        <w:rPr>
          <w:rFonts w:ascii="仿宋" w:hAnsi="仿宋" w:eastAsia="仿宋" w:cs="Times New Roman"/>
          <w:sz w:val="30"/>
          <w:szCs w:val="30"/>
        </w:rPr>
      </w:pPr>
      <w:r>
        <w:rPr>
          <w:rFonts w:hint="eastAsia" w:ascii="仿宋" w:hAnsi="仿宋" w:eastAsia="仿宋" w:cs="仿宋"/>
          <w:sz w:val="30"/>
          <w:szCs w:val="30"/>
        </w:rPr>
        <w:t>（九）负责办理和监督区财政经济发展支出、区级政府性投资项目的财政拨款，参与拟订区建设投资的有关政策，负责有关政策性补助和专项资金财政管理工作。</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（十）汇总和编制全区及区本级社会保险基金预决算草案；会同有关部门管理全区财政社会保障和就业及医疗卫生支出，组织实施社会保障资金（基金）的财务管理制度。</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十一）贯彻执行政府性债务管理的政策、制度，负责政府性债务管理的日常工作，防范财政风险；编制区本级权责发生制政府综合财务报告，报告政府整体财务状况、运行情况；研究和加强地方政府性债务管理的政策、措施；编制地方政府性债务预算（计划），防范地方政府债务风险；推广</w:t>
      </w:r>
      <w:r>
        <w:rPr>
          <w:rFonts w:ascii="仿宋" w:hAnsi="仿宋" w:eastAsia="仿宋" w:cs="仿宋"/>
          <w:sz w:val="30"/>
          <w:szCs w:val="30"/>
        </w:rPr>
        <w:t>PPP</w:t>
      </w:r>
      <w:r>
        <w:rPr>
          <w:rFonts w:hint="eastAsia" w:ascii="仿宋" w:hAnsi="仿宋" w:eastAsia="仿宋" w:cs="仿宋"/>
          <w:sz w:val="30"/>
          <w:szCs w:val="30"/>
        </w:rPr>
        <w:t>模式，完善政府投融资体制，吸引社会资本参与政府公共产品和服务项目建设，完善财政投入及管理方式，提高政府投资的效率；负责统一管理区政府外债，制定基本管理制度；按规定管理外国政府和国际金融组织贷（赠）款；承担财税领域交流与合作的具体工作。</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（十二）负责预算绩效管理；承担财政投资的评审工作；推进政府向社会购买服务。</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（十三）负责管理全区的会计工作，监督和规范会计行为，组织实施国家统一的会计制度，组织实施会计行政法规、规章，指导和管理社会审计。</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（十四）监督检查财税法规、政策的执行情况，反映财政收支管理中的重大问题，提出加强财政管理的意见建议。</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（十五）负责制订全区财政教育规划，组织全区财政人员的培训，管理全区财政干部人员编制和人员异动工作。</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（十六）完成区委、区人民政府交办的其他任务。</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（十七）职能转变。划出区农业综合开发项目管理职责和区农业开发办公室的职责；划出预算执行情况、其他财政收支情况的监督检查职责以及国有企业监事会和国有企业领导干部经济责任审计的职责。</w:t>
      </w:r>
    </w:p>
    <w:p>
      <w:pPr>
        <w:pStyle w:val="4"/>
        <w:shd w:val="clear" w:color="auto" w:fill="FFFFFF"/>
        <w:spacing w:before="0" w:beforeAutospacing="0" w:after="0" w:afterAutospacing="0" w:line="600" w:lineRule="exact"/>
        <w:ind w:firstLine="600" w:firstLineChars="200"/>
        <w:rPr>
          <w:rFonts w:ascii="黑体" w:hAnsi="黑体" w:eastAsia="黑体" w:cs="Times New Roman"/>
          <w:sz w:val="30"/>
          <w:szCs w:val="30"/>
        </w:rPr>
      </w:pPr>
      <w:r>
        <w:rPr>
          <w:rFonts w:hint="eastAsia" w:ascii="黑体" w:hAnsi="黑体" w:eastAsia="黑体" w:cs="黑体"/>
          <w:sz w:val="30"/>
          <w:szCs w:val="30"/>
        </w:rPr>
        <w:t>二、部门概况</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赫山区财政局系一级预算行政单位，有</w:t>
      </w:r>
      <w:r>
        <w:rPr>
          <w:rFonts w:ascii="仿宋" w:hAnsi="仿宋" w:eastAsia="仿宋" w:cs="仿宋"/>
          <w:sz w:val="30"/>
          <w:szCs w:val="30"/>
        </w:rPr>
        <w:t>17</w:t>
      </w:r>
      <w:r>
        <w:rPr>
          <w:rFonts w:hint="eastAsia" w:ascii="仿宋" w:hAnsi="仿宋" w:eastAsia="仿宋" w:cs="仿宋"/>
          <w:sz w:val="30"/>
          <w:szCs w:val="30"/>
        </w:rPr>
        <w:t>个内设股室，分别是：办公室、综合规划股、政策法规股（政务服务股）、预算股、国库股、行政政法教科文股、经济建设股、农业股、社会保障股、企业股（对外经济贸易股）、资产管理股（对外称“国有资产管理局”）、金融与债务股（政府性债务领导小组办公室）、政府采购股、信息股、财政监督股、人事股、财源办、乡镇财政管理股。下设</w:t>
      </w:r>
      <w:r>
        <w:rPr>
          <w:rFonts w:ascii="仿宋" w:hAnsi="仿宋" w:eastAsia="仿宋" w:cs="仿宋"/>
          <w:sz w:val="30"/>
          <w:szCs w:val="30"/>
        </w:rPr>
        <w:t>3</w:t>
      </w:r>
      <w:r>
        <w:rPr>
          <w:rFonts w:hint="eastAsia" w:ascii="仿宋" w:hAnsi="仿宋" w:eastAsia="仿宋" w:cs="仿宋"/>
          <w:sz w:val="30"/>
          <w:szCs w:val="30"/>
        </w:rPr>
        <w:t>个二级机构，分别是益阳市赫山区国库集中支付核算中心、益阳市赫山区财政投资评审中心、益阳市赫山区财政事务管理中心。仅益阳市赫山区国库集中支付核算中心为独立核算单位。</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下设</w:t>
      </w:r>
      <w:r>
        <w:rPr>
          <w:rFonts w:ascii="仿宋" w:hAnsi="仿宋" w:eastAsia="仿宋" w:cs="仿宋"/>
          <w:sz w:val="30"/>
          <w:szCs w:val="30"/>
        </w:rPr>
        <w:t>3</w:t>
      </w:r>
      <w:r>
        <w:rPr>
          <w:rFonts w:hint="eastAsia" w:ascii="仿宋" w:hAnsi="仿宋" w:eastAsia="仿宋" w:cs="仿宋"/>
          <w:sz w:val="30"/>
          <w:szCs w:val="30"/>
        </w:rPr>
        <w:t>个二级机构，分别是益阳市赫山区国库集中支付核算中心、益阳市赫山区财政投资评审中心、益阳市赫山区财政事务中心。仅益阳市赫山区国库集中支付核算中心为独立核算单位。</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全局机关</w:t>
      </w:r>
      <w:r>
        <w:rPr>
          <w:rFonts w:ascii="仿宋" w:hAnsi="仿宋" w:eastAsia="仿宋" w:cs="仿宋"/>
          <w:sz w:val="30"/>
          <w:szCs w:val="30"/>
        </w:rPr>
        <w:t>2021</w:t>
      </w:r>
      <w:r>
        <w:rPr>
          <w:rFonts w:hint="eastAsia" w:ascii="仿宋" w:hAnsi="仿宋" w:eastAsia="仿宋" w:cs="仿宋"/>
          <w:sz w:val="30"/>
          <w:szCs w:val="30"/>
        </w:rPr>
        <w:t>年</w:t>
      </w:r>
      <w:r>
        <w:rPr>
          <w:rFonts w:ascii="仿宋" w:hAnsi="仿宋" w:eastAsia="仿宋" w:cs="仿宋"/>
          <w:sz w:val="30"/>
          <w:szCs w:val="30"/>
        </w:rPr>
        <w:t>12</w:t>
      </w:r>
      <w:r>
        <w:rPr>
          <w:rFonts w:hint="eastAsia" w:ascii="仿宋" w:hAnsi="仿宋" w:eastAsia="仿宋" w:cs="仿宋"/>
          <w:sz w:val="30"/>
          <w:szCs w:val="30"/>
        </w:rPr>
        <w:t>月</w:t>
      </w:r>
      <w:r>
        <w:rPr>
          <w:rFonts w:ascii="仿宋" w:hAnsi="仿宋" w:eastAsia="仿宋" w:cs="仿宋"/>
          <w:sz w:val="30"/>
          <w:szCs w:val="30"/>
        </w:rPr>
        <w:t>31</w:t>
      </w:r>
      <w:r>
        <w:rPr>
          <w:rFonts w:hint="eastAsia" w:ascii="仿宋" w:hAnsi="仿宋" w:eastAsia="仿宋" w:cs="仿宋"/>
          <w:sz w:val="30"/>
          <w:szCs w:val="30"/>
        </w:rPr>
        <w:t>日止共有在职工作人员</w:t>
      </w:r>
      <w:r>
        <w:rPr>
          <w:rFonts w:ascii="仿宋" w:hAnsi="仿宋" w:eastAsia="仿宋" w:cs="仿宋"/>
          <w:sz w:val="30"/>
          <w:szCs w:val="30"/>
        </w:rPr>
        <w:t>88</w:t>
      </w:r>
      <w:r>
        <w:rPr>
          <w:rFonts w:hint="eastAsia" w:ascii="仿宋" w:hAnsi="仿宋" w:eastAsia="仿宋" w:cs="仿宋"/>
          <w:sz w:val="30"/>
          <w:szCs w:val="30"/>
        </w:rPr>
        <w:t>人，离休干部</w:t>
      </w:r>
      <w:r>
        <w:rPr>
          <w:rFonts w:ascii="仿宋" w:hAnsi="仿宋" w:eastAsia="仿宋" w:cs="仿宋"/>
          <w:sz w:val="30"/>
          <w:szCs w:val="30"/>
        </w:rPr>
        <w:t>1</w:t>
      </w:r>
      <w:r>
        <w:rPr>
          <w:rFonts w:hint="eastAsia" w:ascii="仿宋" w:hAnsi="仿宋" w:eastAsia="仿宋" w:cs="仿宋"/>
          <w:sz w:val="30"/>
          <w:szCs w:val="30"/>
        </w:rPr>
        <w:t>人，社保发退休工资人员</w:t>
      </w:r>
      <w:r>
        <w:rPr>
          <w:rFonts w:ascii="仿宋" w:hAnsi="仿宋" w:eastAsia="仿宋" w:cs="仿宋"/>
          <w:sz w:val="30"/>
          <w:szCs w:val="30"/>
        </w:rPr>
        <w:t>48</w:t>
      </w:r>
      <w:r>
        <w:rPr>
          <w:rFonts w:hint="eastAsia" w:ascii="仿宋" w:hAnsi="仿宋" w:eastAsia="仿宋" w:cs="仿宋"/>
          <w:sz w:val="30"/>
          <w:szCs w:val="30"/>
        </w:rPr>
        <w:t>人。</w:t>
      </w:r>
    </w:p>
    <w:p>
      <w:pPr>
        <w:pStyle w:val="4"/>
        <w:shd w:val="clear" w:color="auto" w:fill="FFFFFF"/>
        <w:spacing w:before="0" w:beforeAutospacing="0" w:after="0" w:afterAutospacing="0" w:line="600" w:lineRule="exact"/>
        <w:ind w:firstLine="600" w:firstLineChars="200"/>
        <w:rPr>
          <w:rFonts w:ascii="黑体" w:hAnsi="黑体" w:eastAsia="黑体" w:cs="Times New Roman"/>
          <w:sz w:val="30"/>
          <w:szCs w:val="30"/>
        </w:rPr>
      </w:pPr>
      <w:r>
        <w:rPr>
          <w:rFonts w:hint="eastAsia" w:ascii="黑体" w:hAnsi="黑体" w:eastAsia="黑体" w:cs="黑体"/>
          <w:sz w:val="30"/>
          <w:szCs w:val="30"/>
        </w:rPr>
        <w:t>三、一般公共预算支出情况</w:t>
      </w:r>
    </w:p>
    <w:p>
      <w:pPr>
        <w:pStyle w:val="4"/>
        <w:shd w:val="clear" w:color="auto" w:fill="FFFFFF"/>
        <w:spacing w:before="0" w:beforeAutospacing="0" w:after="0" w:afterAutospacing="0" w:line="600" w:lineRule="exact"/>
        <w:ind w:firstLine="602" w:firstLineChars="200"/>
        <w:rPr>
          <w:rFonts w:ascii="仿宋" w:hAnsi="仿宋" w:eastAsia="仿宋" w:cs="Times New Roman"/>
          <w:b/>
          <w:bCs/>
          <w:sz w:val="30"/>
          <w:szCs w:val="30"/>
        </w:rPr>
      </w:pPr>
      <w:r>
        <w:rPr>
          <w:rFonts w:hint="eastAsia" w:ascii="仿宋" w:hAnsi="仿宋" w:eastAsia="仿宋" w:cs="仿宋"/>
          <w:b/>
          <w:bCs/>
          <w:sz w:val="30"/>
          <w:szCs w:val="30"/>
        </w:rPr>
        <w:t>（一）基本支出情况</w:t>
      </w:r>
    </w:p>
    <w:p>
      <w:pPr>
        <w:spacing w:line="600" w:lineRule="exact"/>
        <w:ind w:firstLine="600" w:firstLineChars="200"/>
        <w:rPr>
          <w:rFonts w:ascii="仿宋" w:hAnsi="仿宋" w:eastAsia="仿宋" w:cs="Times New Roman"/>
          <w:sz w:val="30"/>
          <w:szCs w:val="30"/>
        </w:rPr>
      </w:pPr>
      <w:r>
        <w:rPr>
          <w:rFonts w:ascii="仿宋" w:hAnsi="仿宋" w:eastAsia="仿宋" w:cs="仿宋"/>
          <w:sz w:val="30"/>
          <w:szCs w:val="30"/>
        </w:rPr>
        <w:t>2021</w:t>
      </w:r>
      <w:r>
        <w:rPr>
          <w:rFonts w:hint="eastAsia" w:ascii="仿宋" w:hAnsi="仿宋" w:eastAsia="仿宋" w:cs="仿宋"/>
          <w:sz w:val="30"/>
          <w:szCs w:val="30"/>
        </w:rPr>
        <w:t>收入一般公共预算财政拨款支出决算数</w:t>
      </w:r>
      <w:r>
        <w:rPr>
          <w:rFonts w:ascii="仿宋" w:hAnsi="仿宋" w:eastAsia="仿宋" w:cs="仿宋"/>
          <w:sz w:val="30"/>
          <w:szCs w:val="30"/>
        </w:rPr>
        <w:t>1931.08</w:t>
      </w:r>
      <w:r>
        <w:rPr>
          <w:rFonts w:hint="eastAsia" w:ascii="仿宋" w:hAnsi="仿宋" w:eastAsia="仿宋" w:cs="仿宋"/>
          <w:sz w:val="30"/>
          <w:szCs w:val="30"/>
        </w:rPr>
        <w:t>万元，其中：基本支出</w:t>
      </w:r>
      <w:r>
        <w:rPr>
          <w:rFonts w:ascii="仿宋" w:hAnsi="仿宋" w:eastAsia="仿宋" w:cs="仿宋"/>
          <w:sz w:val="30"/>
          <w:szCs w:val="30"/>
        </w:rPr>
        <w:t>1624.92</w:t>
      </w:r>
      <w:r>
        <w:rPr>
          <w:rFonts w:hint="eastAsia" w:ascii="仿宋" w:hAnsi="仿宋" w:eastAsia="仿宋" w:cs="仿宋"/>
          <w:sz w:val="30"/>
          <w:szCs w:val="30"/>
        </w:rPr>
        <w:t>万元，与上年相比减少了</w:t>
      </w:r>
      <w:r>
        <w:rPr>
          <w:rFonts w:ascii="仿宋" w:hAnsi="仿宋" w:eastAsia="仿宋" w:cs="仿宋"/>
          <w:sz w:val="30"/>
          <w:szCs w:val="30"/>
        </w:rPr>
        <w:t>140.01</w:t>
      </w:r>
      <w:r>
        <w:rPr>
          <w:rFonts w:hint="eastAsia" w:ascii="仿宋" w:hAnsi="仿宋" w:eastAsia="仿宋" w:cs="仿宋"/>
          <w:sz w:val="30"/>
          <w:szCs w:val="30"/>
        </w:rPr>
        <w:t>万元，减少的原因</w:t>
      </w:r>
      <w:r>
        <w:rPr>
          <w:rFonts w:hint="eastAsia" w:ascii="仿宋" w:hAnsi="仿宋" w:eastAsia="仿宋" w:cs="仿宋"/>
          <w:sz w:val="30"/>
          <w:szCs w:val="30"/>
          <w:lang w:val="en-US" w:eastAsia="zh-CN"/>
        </w:rPr>
        <w:t>是减少</w:t>
      </w:r>
      <w:r>
        <w:rPr>
          <w:rFonts w:hint="eastAsia" w:ascii="仿宋" w:hAnsi="仿宋" w:eastAsia="仿宋" w:cs="仿宋"/>
          <w:sz w:val="30"/>
          <w:szCs w:val="30"/>
          <w:lang w:eastAsia="zh-CN"/>
        </w:rPr>
        <w:t>了财税目标考核奖励资金</w:t>
      </w:r>
      <w:r>
        <w:rPr>
          <w:rFonts w:hint="eastAsia" w:ascii="仿宋" w:hAnsi="仿宋" w:eastAsia="仿宋" w:cs="仿宋"/>
          <w:sz w:val="30"/>
          <w:szCs w:val="30"/>
          <w:lang w:val="en-US" w:eastAsia="zh-CN"/>
        </w:rPr>
        <w:t>等</w:t>
      </w:r>
      <w:r>
        <w:rPr>
          <w:rFonts w:hint="eastAsia" w:ascii="仿宋" w:hAnsi="仿宋" w:eastAsia="仿宋" w:cs="仿宋"/>
          <w:sz w:val="30"/>
          <w:szCs w:val="30"/>
        </w:rPr>
        <w:t>。</w:t>
      </w:r>
    </w:p>
    <w:p>
      <w:pPr>
        <w:pStyle w:val="4"/>
        <w:shd w:val="clear" w:color="auto" w:fill="FFFFFF"/>
        <w:spacing w:before="0" w:beforeAutospacing="0" w:after="0" w:afterAutospacing="0" w:line="600" w:lineRule="exact"/>
        <w:ind w:firstLine="602" w:firstLineChars="200"/>
        <w:rPr>
          <w:rFonts w:ascii="仿宋" w:hAnsi="仿宋" w:eastAsia="仿宋" w:cs="Times New Roman"/>
          <w:b/>
          <w:bCs/>
          <w:sz w:val="30"/>
          <w:szCs w:val="30"/>
        </w:rPr>
      </w:pPr>
      <w:r>
        <w:rPr>
          <w:rFonts w:hint="eastAsia" w:ascii="仿宋" w:hAnsi="仿宋" w:eastAsia="仿宋" w:cs="仿宋"/>
          <w:b/>
          <w:bCs/>
          <w:sz w:val="30"/>
          <w:szCs w:val="30"/>
        </w:rPr>
        <w:t>（二）项目支出情况</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ascii="仿宋" w:hAnsi="仿宋" w:eastAsia="仿宋" w:cs="仿宋"/>
          <w:sz w:val="30"/>
          <w:szCs w:val="30"/>
        </w:rPr>
        <w:t>2021</w:t>
      </w:r>
      <w:r>
        <w:rPr>
          <w:rFonts w:hint="eastAsia" w:ascii="仿宋" w:hAnsi="仿宋" w:eastAsia="仿宋" w:cs="仿宋"/>
          <w:sz w:val="30"/>
          <w:szCs w:val="30"/>
        </w:rPr>
        <w:t>年度项目支出总计</w:t>
      </w:r>
      <w:r>
        <w:rPr>
          <w:rFonts w:ascii="仿宋" w:hAnsi="仿宋" w:eastAsia="仿宋" w:cs="仿宋"/>
          <w:sz w:val="30"/>
          <w:szCs w:val="30"/>
        </w:rPr>
        <w:t>306.16</w:t>
      </w:r>
      <w:r>
        <w:rPr>
          <w:rFonts w:hint="eastAsia" w:ascii="仿宋" w:hAnsi="仿宋" w:eastAsia="仿宋" w:cs="仿宋"/>
          <w:sz w:val="30"/>
          <w:szCs w:val="30"/>
        </w:rPr>
        <w:t>万元，比上年相比增加</w:t>
      </w:r>
      <w:r>
        <w:rPr>
          <w:rFonts w:ascii="仿宋" w:hAnsi="仿宋" w:eastAsia="仿宋" w:cs="仿宋"/>
          <w:sz w:val="30"/>
          <w:szCs w:val="30"/>
        </w:rPr>
        <w:t>217.01</w:t>
      </w:r>
      <w:r>
        <w:rPr>
          <w:rFonts w:hint="eastAsia" w:ascii="仿宋" w:hAnsi="仿宋" w:eastAsia="仿宋" w:cs="仿宋"/>
          <w:sz w:val="30"/>
          <w:szCs w:val="30"/>
        </w:rPr>
        <w:t>万元，主要原因是新增全区电子财政网络安全整改项目等支出。</w:t>
      </w:r>
    </w:p>
    <w:p>
      <w:pPr>
        <w:pStyle w:val="4"/>
        <w:shd w:val="clear" w:color="auto" w:fill="FFFFFF"/>
        <w:spacing w:before="0" w:beforeAutospacing="0" w:after="0" w:afterAutospacing="0" w:line="600" w:lineRule="exact"/>
        <w:ind w:firstLine="600" w:firstLineChars="200"/>
        <w:rPr>
          <w:rFonts w:ascii="黑体" w:hAnsi="黑体" w:eastAsia="黑体" w:cs="Times New Roman"/>
          <w:sz w:val="30"/>
          <w:szCs w:val="30"/>
        </w:rPr>
      </w:pPr>
      <w:r>
        <w:rPr>
          <w:rFonts w:hint="eastAsia" w:ascii="黑体" w:hAnsi="黑体" w:eastAsia="黑体" w:cs="黑体"/>
          <w:sz w:val="30"/>
          <w:szCs w:val="30"/>
        </w:rPr>
        <w:t>四、政府性基金预算支出情况</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赫山区财政局</w:t>
      </w:r>
      <w:r>
        <w:rPr>
          <w:rFonts w:ascii="仿宋" w:hAnsi="仿宋" w:eastAsia="仿宋" w:cs="仿宋"/>
          <w:sz w:val="30"/>
          <w:szCs w:val="30"/>
        </w:rPr>
        <w:t>2021</w:t>
      </w:r>
      <w:r>
        <w:rPr>
          <w:rFonts w:hint="eastAsia" w:ascii="仿宋" w:hAnsi="仿宋" w:eastAsia="仿宋" w:cs="仿宋"/>
          <w:sz w:val="30"/>
          <w:szCs w:val="30"/>
        </w:rPr>
        <w:t>年度政府性基金预算支出为零。</w:t>
      </w:r>
    </w:p>
    <w:p>
      <w:pPr>
        <w:pStyle w:val="4"/>
        <w:shd w:val="clear" w:color="auto" w:fill="FFFFFF"/>
        <w:spacing w:before="0" w:beforeAutospacing="0" w:after="0" w:afterAutospacing="0" w:line="600" w:lineRule="exact"/>
        <w:ind w:firstLine="600" w:firstLineChars="200"/>
        <w:rPr>
          <w:rFonts w:ascii="黑体" w:hAnsi="黑体" w:eastAsia="黑体" w:cs="Times New Roman"/>
          <w:sz w:val="30"/>
          <w:szCs w:val="30"/>
        </w:rPr>
      </w:pPr>
      <w:r>
        <w:rPr>
          <w:rFonts w:hint="eastAsia" w:ascii="黑体" w:hAnsi="黑体" w:eastAsia="黑体" w:cs="黑体"/>
          <w:sz w:val="30"/>
          <w:szCs w:val="30"/>
        </w:rPr>
        <w:t>五、国有资本经营预算支出情况</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赫山区财政局</w:t>
      </w:r>
      <w:r>
        <w:rPr>
          <w:rFonts w:ascii="仿宋" w:hAnsi="仿宋" w:eastAsia="仿宋" w:cs="仿宋"/>
          <w:sz w:val="30"/>
          <w:szCs w:val="30"/>
        </w:rPr>
        <w:t>2021</w:t>
      </w:r>
      <w:r>
        <w:rPr>
          <w:rFonts w:hint="eastAsia" w:ascii="仿宋" w:hAnsi="仿宋" w:eastAsia="仿宋" w:cs="仿宋"/>
          <w:sz w:val="30"/>
          <w:szCs w:val="30"/>
        </w:rPr>
        <w:t>年度国有资本经营预算支出为零。</w:t>
      </w:r>
    </w:p>
    <w:p>
      <w:pPr>
        <w:pStyle w:val="4"/>
        <w:shd w:val="clear" w:color="auto" w:fill="FFFFFF"/>
        <w:spacing w:before="0" w:beforeAutospacing="0" w:after="0" w:afterAutospacing="0" w:line="600" w:lineRule="exact"/>
        <w:ind w:firstLine="600" w:firstLineChars="200"/>
        <w:rPr>
          <w:rFonts w:ascii="黑体" w:hAnsi="黑体" w:eastAsia="黑体" w:cs="Times New Roman"/>
          <w:sz w:val="30"/>
          <w:szCs w:val="30"/>
        </w:rPr>
      </w:pPr>
      <w:r>
        <w:rPr>
          <w:rFonts w:hint="eastAsia" w:ascii="黑体" w:hAnsi="黑体" w:eastAsia="黑体" w:cs="黑体"/>
          <w:sz w:val="30"/>
          <w:szCs w:val="30"/>
        </w:rPr>
        <w:t>六、社会保险基金预算支出情况</w:t>
      </w:r>
    </w:p>
    <w:p>
      <w:pPr>
        <w:pStyle w:val="4"/>
        <w:shd w:val="clear" w:color="auto" w:fill="FFFFFF"/>
        <w:spacing w:before="0" w:beforeAutospacing="0" w:after="0" w:afterAutospacing="0" w:line="600" w:lineRule="exact"/>
        <w:ind w:firstLine="600" w:firstLineChars="200"/>
        <w:rPr>
          <w:rFonts w:ascii="仿宋" w:hAnsi="仿宋" w:eastAsia="仿宋" w:cs="Times New Roman"/>
          <w:sz w:val="30"/>
          <w:szCs w:val="30"/>
        </w:rPr>
      </w:pPr>
      <w:r>
        <w:rPr>
          <w:rFonts w:hint="eastAsia" w:ascii="仿宋" w:hAnsi="仿宋" w:eastAsia="仿宋" w:cs="仿宋"/>
          <w:sz w:val="30"/>
          <w:szCs w:val="30"/>
        </w:rPr>
        <w:t>赫山区财政局</w:t>
      </w:r>
      <w:r>
        <w:rPr>
          <w:rFonts w:ascii="仿宋" w:hAnsi="仿宋" w:eastAsia="仿宋" w:cs="仿宋"/>
          <w:sz w:val="30"/>
          <w:szCs w:val="30"/>
        </w:rPr>
        <w:t>2021</w:t>
      </w:r>
      <w:r>
        <w:rPr>
          <w:rFonts w:hint="eastAsia" w:ascii="仿宋" w:hAnsi="仿宋" w:eastAsia="仿宋" w:cs="仿宋"/>
          <w:sz w:val="30"/>
          <w:szCs w:val="30"/>
        </w:rPr>
        <w:t>年度社会保险基金预算支出为零。</w:t>
      </w:r>
    </w:p>
    <w:p>
      <w:pPr>
        <w:pStyle w:val="4"/>
        <w:shd w:val="clear" w:color="auto" w:fill="FFFFFF"/>
        <w:spacing w:before="0" w:beforeAutospacing="0" w:after="0" w:afterAutospacing="0" w:line="600" w:lineRule="exact"/>
        <w:ind w:firstLine="600" w:firstLineChars="200"/>
        <w:rPr>
          <w:rFonts w:ascii="黑体" w:hAnsi="黑体" w:eastAsia="黑体" w:cs="Times New Roman"/>
          <w:sz w:val="30"/>
          <w:szCs w:val="30"/>
        </w:rPr>
      </w:pPr>
      <w:r>
        <w:rPr>
          <w:rFonts w:hint="eastAsia" w:ascii="黑体" w:hAnsi="黑体" w:eastAsia="黑体" w:cs="黑体"/>
          <w:sz w:val="30"/>
          <w:szCs w:val="30"/>
        </w:rPr>
        <w:t>七、部门整体支出绩效情况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仿宋" w:hAnsi="仿宋" w:eastAsia="仿宋" w:cs="Times New Roman"/>
          <w:sz w:val="30"/>
          <w:szCs w:val="30"/>
        </w:rPr>
      </w:pPr>
      <w:r>
        <w:rPr>
          <w:rFonts w:hint="eastAsia" w:ascii="仿宋" w:hAnsi="仿宋" w:eastAsia="仿宋" w:cs="仿宋"/>
          <w:sz w:val="30"/>
          <w:szCs w:val="30"/>
        </w:rPr>
        <w:t>赫山区财政局</w:t>
      </w:r>
      <w:r>
        <w:rPr>
          <w:rFonts w:ascii="仿宋" w:hAnsi="仿宋" w:eastAsia="仿宋" w:cs="仿宋"/>
          <w:sz w:val="30"/>
          <w:szCs w:val="30"/>
        </w:rPr>
        <w:t>2021</w:t>
      </w:r>
      <w:r>
        <w:rPr>
          <w:rFonts w:hint="eastAsia" w:ascii="仿宋" w:hAnsi="仿宋" w:eastAsia="仿宋" w:cs="仿宋"/>
          <w:sz w:val="30"/>
          <w:szCs w:val="30"/>
        </w:rPr>
        <w:t>年度所有支出全部为一般公共预算支出，紧紧围绕部门职责、行业发展规划，以预算资金管理为主线，严格按照国家财经法规、预算资金管理办法、财务管理制度以及专项资金管理办法的规定，把预算资金的审批分配与监督检查结合起来，遵循先预算、再审批、后支出的原则，确保了财政资金分配和财政审批程序合法，保证了预算资金的合理使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仿宋" w:hAnsi="仿宋" w:eastAsia="仿宋" w:cs="Times New Roman"/>
          <w:sz w:val="30"/>
          <w:szCs w:val="30"/>
        </w:rPr>
      </w:pPr>
      <w:r>
        <w:rPr>
          <w:rFonts w:hint="eastAsia" w:ascii="仿宋" w:hAnsi="仿宋" w:eastAsia="仿宋" w:cs="仿宋"/>
          <w:sz w:val="30"/>
          <w:szCs w:val="30"/>
        </w:rPr>
        <w:t>（一）认真执行年初部门预算和财政政策要求。赫山区财政局经费安排严格按照年初预算来执行，有效防止超预算；在资金使用上，严格遵守各项财经法规和财务管理制度规定，资金拨付有完整的审批程序和手续，支出符合部门预算批复的用途，无截留、挤占、挪用、虚列支出等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仿宋" w:hAnsi="仿宋" w:eastAsia="仿宋" w:cs="Times New Roman"/>
          <w:sz w:val="30"/>
          <w:szCs w:val="30"/>
        </w:rPr>
      </w:pPr>
      <w:r>
        <w:rPr>
          <w:rFonts w:hint="eastAsia" w:ascii="仿宋" w:hAnsi="仿宋" w:eastAsia="仿宋" w:cs="仿宋"/>
          <w:sz w:val="30"/>
          <w:szCs w:val="30"/>
        </w:rPr>
        <w:t>（二）保障了机关有效运转。严格按照厉行节约的要求，精打细算，规范机关事务管理工作，进一步在机关财务、公务用车、公务接待、物业等方面加强集中管理，提高服务质量，降低运行成本，合理配置，提高保障能力。保障干部待遇按政策发放落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八、存在的问题及原因分析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仿宋" w:hAnsi="仿宋" w:eastAsia="仿宋" w:cs="Times New Roman"/>
          <w:sz w:val="30"/>
          <w:szCs w:val="30"/>
        </w:rPr>
      </w:pPr>
      <w:r>
        <w:rPr>
          <w:rFonts w:hint="eastAsia" w:ascii="仿宋" w:hAnsi="仿宋" w:eastAsia="仿宋" w:cs="仿宋"/>
          <w:sz w:val="30"/>
          <w:szCs w:val="30"/>
        </w:rPr>
        <w:t>财政收支矛盾仍然突出，地方财政风险加大。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黑体" w:hAnsi="黑体" w:eastAsia="黑体" w:cs="Times New Roman"/>
          <w:sz w:val="30"/>
          <w:szCs w:val="30"/>
        </w:rPr>
      </w:pPr>
      <w:r>
        <w:rPr>
          <w:rFonts w:hint="eastAsia" w:ascii="黑体" w:hAnsi="黑体" w:eastAsia="黑体" w:cs="黑体"/>
          <w:sz w:val="30"/>
          <w:szCs w:val="30"/>
        </w:rPr>
        <w:t>九、下一步改进措施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仿宋" w:hAnsi="仿宋" w:eastAsia="仿宋" w:cs="Times New Roman"/>
          <w:sz w:val="30"/>
          <w:szCs w:val="30"/>
        </w:rPr>
      </w:pPr>
      <w:r>
        <w:rPr>
          <w:rFonts w:hint="eastAsia" w:ascii="仿宋" w:hAnsi="仿宋" w:eastAsia="仿宋" w:cs="仿宋"/>
          <w:sz w:val="30"/>
          <w:szCs w:val="30"/>
        </w:rPr>
        <w:t>（一）加强管理，严控行政支出。目前赫山区财政局三公经费的预算执行情况较好，但仍需进一步严控三公经费支出，严格三公经费支出的审批流程，进一步细化三公经费的管理。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仿宋" w:hAnsi="仿宋" w:eastAsia="仿宋" w:cs="Times New Roman"/>
          <w:sz w:val="30"/>
          <w:szCs w:val="30"/>
        </w:rPr>
      </w:pPr>
      <w:r>
        <w:rPr>
          <w:rFonts w:hint="eastAsia" w:ascii="仿宋" w:hAnsi="仿宋" w:eastAsia="仿宋" w:cs="仿宋"/>
          <w:sz w:val="30"/>
          <w:szCs w:val="30"/>
        </w:rPr>
        <w:t>（二）科学理财，强化财政职能作用。按照中央和省、市部署，进一步强化财政监督，积极推进财政预算、财政决算公开，不断提高财政透明度。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黑体" w:hAnsi="黑体" w:eastAsia="黑体" w:cs="Times New Roman"/>
          <w:sz w:val="30"/>
          <w:szCs w:val="30"/>
        </w:rPr>
      </w:pPr>
      <w:r>
        <w:rPr>
          <w:rFonts w:ascii="黑体" w:hAnsi="黑体" w:eastAsia="黑体" w:cs="Times New Roman"/>
          <w:sz w:val="30"/>
          <w:szCs w:val="30"/>
        </w:rPr>
        <w:t> </w:t>
      </w:r>
      <w:r>
        <w:rPr>
          <w:rFonts w:hint="eastAsia" w:ascii="黑体" w:hAnsi="黑体" w:eastAsia="黑体" w:cs="黑体"/>
          <w:sz w:val="30"/>
          <w:szCs w:val="30"/>
        </w:rPr>
        <w:t>十、其他需要说明的情况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00" w:firstLineChars="200"/>
        <w:textAlignment w:val="auto"/>
        <w:rPr>
          <w:rFonts w:ascii="仿宋" w:hAnsi="仿宋" w:eastAsia="仿宋" w:cs="Times New Roman"/>
          <w:sz w:val="30"/>
          <w:szCs w:val="30"/>
        </w:rPr>
      </w:pPr>
      <w:r>
        <w:rPr>
          <w:rFonts w:hint="eastAsia" w:ascii="仿宋" w:hAnsi="仿宋" w:eastAsia="仿宋" w:cs="仿宋"/>
          <w:sz w:val="30"/>
          <w:szCs w:val="30"/>
        </w:rPr>
        <w:t>无其他需要说明的情况。</w:t>
      </w:r>
    </w:p>
    <w:p>
      <w:pPr>
        <w:spacing w:beforeLines="50" w:afterLines="50"/>
        <w:jc w:val="center"/>
        <w:rPr>
          <w:rFonts w:ascii="方正小标宋简体" w:eastAsia="方正小标宋简体" w:cs="方正小标宋简体"/>
          <w:sz w:val="36"/>
          <w:szCs w:val="36"/>
        </w:rPr>
      </w:pPr>
    </w:p>
    <w:p>
      <w:pPr>
        <w:spacing w:beforeLines="50" w:afterLines="50"/>
        <w:jc w:val="center"/>
        <w:rPr>
          <w:rFonts w:ascii="方正小标宋简体" w:eastAsia="方正小标宋简体" w:cs="方正小标宋简体"/>
          <w:sz w:val="36"/>
          <w:szCs w:val="36"/>
        </w:rPr>
      </w:pPr>
    </w:p>
    <w:p>
      <w:pPr>
        <w:spacing w:beforeLines="50" w:afterLines="50"/>
        <w:jc w:val="center"/>
        <w:rPr>
          <w:rFonts w:ascii="方正小标宋简体" w:eastAsia="方正小标宋简体" w:cs="方正小标宋简体"/>
          <w:sz w:val="36"/>
          <w:szCs w:val="36"/>
        </w:rPr>
      </w:pPr>
    </w:p>
    <w:p>
      <w:pPr>
        <w:spacing w:beforeLines="50" w:afterLines="50"/>
        <w:jc w:val="center"/>
        <w:rPr>
          <w:rFonts w:ascii="方正小标宋简体" w:eastAsia="方正小标宋简体" w:cs="方正小标宋简体"/>
          <w:sz w:val="36"/>
          <w:szCs w:val="36"/>
        </w:rPr>
      </w:pPr>
    </w:p>
    <w:p>
      <w:pPr>
        <w:spacing w:beforeLines="50" w:afterLines="50"/>
        <w:jc w:val="center"/>
        <w:rPr>
          <w:rFonts w:ascii="方正小标宋简体" w:eastAsia="方正小标宋简体" w:cs="Times New Roman"/>
          <w:sz w:val="36"/>
          <w:szCs w:val="36"/>
        </w:rPr>
      </w:pPr>
      <w:bookmarkStart w:id="0" w:name="_GoBack"/>
      <w:bookmarkEnd w:id="0"/>
      <w:r>
        <w:rPr>
          <w:rFonts w:ascii="方正小标宋简体" w:eastAsia="方正小标宋简体" w:cs="方正小标宋简体"/>
          <w:sz w:val="36"/>
          <w:szCs w:val="36"/>
        </w:rPr>
        <w:t>2021</w:t>
      </w:r>
      <w:r>
        <w:rPr>
          <w:rFonts w:hint="eastAsia" w:ascii="方正小标宋简体" w:eastAsia="方正小标宋简体" w:cs="方正小标宋简体"/>
          <w:sz w:val="36"/>
          <w:szCs w:val="36"/>
        </w:rPr>
        <w:t>年度部门整体支出绩效自评指标计分表</w:t>
      </w:r>
    </w:p>
    <w:tbl>
      <w:tblPr>
        <w:tblStyle w:val="5"/>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1"/>
        <w:gridCol w:w="632"/>
        <w:gridCol w:w="854"/>
        <w:gridCol w:w="632"/>
        <w:gridCol w:w="297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Times New Roman"/>
                <w:b/>
                <w:bCs/>
              </w:rPr>
            </w:pPr>
            <w:r>
              <w:rPr>
                <w:rFonts w:hint="eastAsia" w:ascii="宋体" w:hAnsi="宋体" w:cs="宋体"/>
                <w:b/>
                <w:bCs/>
              </w:rPr>
              <w:t>一级</w:t>
            </w:r>
            <w:r>
              <w:rPr>
                <w:rFonts w:ascii="宋体" w:cs="Times New Roman"/>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Times New Roman"/>
                <w:b/>
                <w:bCs/>
              </w:rPr>
            </w:pPr>
            <w:r>
              <w:rPr>
                <w:rFonts w:hint="eastAsia" w:ascii="宋体" w:hAnsi="宋体" w:cs="宋体"/>
                <w:b/>
                <w:bCs/>
              </w:rPr>
              <w:t>二级</w:t>
            </w:r>
          </w:p>
          <w:p>
            <w:pPr>
              <w:spacing w:line="240" w:lineRule="exact"/>
              <w:ind w:right="-174" w:rightChars="-83"/>
              <w:jc w:val="center"/>
              <w:rPr>
                <w:rFonts w:ascii="宋体" w:cs="Times New Roman"/>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Times New Roman"/>
                <w:b/>
                <w:bCs/>
              </w:rPr>
            </w:pPr>
            <w:r>
              <w:rPr>
                <w:rFonts w:hint="eastAsia" w:ascii="宋体" w:hAnsi="宋体" w:cs="宋体"/>
                <w:b/>
                <w:bCs/>
              </w:rPr>
              <w:t>三级</w:t>
            </w:r>
          </w:p>
          <w:p>
            <w:pPr>
              <w:spacing w:line="240" w:lineRule="exact"/>
              <w:jc w:val="center"/>
              <w:rPr>
                <w:rFonts w:ascii="宋体" w:cs="Times New Roman"/>
                <w:b/>
                <w:bCs/>
              </w:rPr>
            </w:pPr>
            <w:r>
              <w:rPr>
                <w:rFonts w:hint="eastAsia" w:ascii="宋体" w:hAnsi="宋体" w:cs="宋体"/>
                <w:b/>
                <w:bCs/>
              </w:rPr>
              <w:t>指标</w:t>
            </w:r>
          </w:p>
        </w:tc>
        <w:tc>
          <w:tcPr>
            <w:tcW w:w="258" w:type="pct"/>
            <w:vAlign w:val="center"/>
          </w:tcPr>
          <w:p>
            <w:pPr>
              <w:spacing w:line="240" w:lineRule="exact"/>
              <w:ind w:left="105" w:leftChars="50" w:right="105" w:rightChars="50"/>
              <w:jc w:val="center"/>
              <w:rPr>
                <w:rFonts w:ascii="宋体" w:cs="Times New Roman"/>
                <w:b/>
                <w:bCs/>
              </w:rPr>
            </w:pPr>
            <w:r>
              <w:rPr>
                <w:rFonts w:hint="eastAsia" w:ascii="宋体" w:hAnsi="宋体" w:cs="宋体"/>
                <w:b/>
                <w:bCs/>
              </w:rPr>
              <w:t>自评分</w:t>
            </w:r>
          </w:p>
        </w:tc>
        <w:tc>
          <w:tcPr>
            <w:tcW w:w="1693" w:type="pct"/>
            <w:tcMar>
              <w:top w:w="10" w:type="dxa"/>
              <w:left w:w="10" w:type="dxa"/>
              <w:bottom w:w="0" w:type="dxa"/>
              <w:right w:w="10" w:type="dxa"/>
            </w:tcMar>
            <w:vAlign w:val="center"/>
          </w:tcPr>
          <w:p>
            <w:pPr>
              <w:spacing w:line="240" w:lineRule="exact"/>
              <w:ind w:left="105" w:leftChars="50" w:right="105" w:rightChars="50"/>
              <w:jc w:val="center"/>
              <w:rPr>
                <w:rFonts w:ascii="宋体" w:cs="Times New Roman"/>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Times New Roman"/>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Times New Roman"/>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目标</w:t>
            </w:r>
            <w:r>
              <w:rPr>
                <w:rFonts w:ascii="宋体" w:cs="Times New Roman"/>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绩效目标</w:t>
            </w:r>
          </w:p>
          <w:p>
            <w:pPr>
              <w:spacing w:line="240" w:lineRule="exact"/>
              <w:jc w:val="center"/>
              <w:rPr>
                <w:rFonts w:ascii="宋体" w:cs="Times New Roman"/>
              </w:rPr>
            </w:pPr>
            <w:r>
              <w:rPr>
                <w:rFonts w:hint="eastAsia" w:ascii="宋体" w:hAnsi="宋体" w:cs="宋体"/>
              </w:rPr>
              <w:t>合理性（</w:t>
            </w:r>
            <w:r>
              <w:rPr>
                <w:rFonts w:ascii="宋体" w:hAnsi="宋体" w:cs="宋体"/>
              </w:rPr>
              <w:t>2</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评价要点：</w:t>
            </w:r>
            <w:r>
              <w:rPr>
                <w:rFonts w:ascii="宋体" w:cs="Times New Roman"/>
              </w:rPr>
              <w:br w:type="textWrapping"/>
            </w:r>
            <w:r>
              <w:rPr>
                <w:rFonts w:hint="eastAsia" w:ascii="宋体" w:hAnsi="宋体" w:cs="宋体"/>
              </w:rPr>
              <w:t>①是否符合国家法律法规、国民经济和社会发展总体规划；</w:t>
            </w:r>
            <w:r>
              <w:rPr>
                <w:rFonts w:ascii="宋体" w:cs="Times New Roman"/>
              </w:rPr>
              <w:br w:type="textWrapping"/>
            </w:r>
            <w:r>
              <w:rPr>
                <w:rFonts w:hint="eastAsia" w:ascii="宋体" w:hAnsi="宋体" w:cs="宋体"/>
              </w:rPr>
              <w:t>②是否符合部门“三定”方案确定的职责；</w:t>
            </w:r>
            <w:r>
              <w:rPr>
                <w:rFonts w:ascii="宋体" w:cs="Times New Roman"/>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绩效指标</w:t>
            </w:r>
          </w:p>
          <w:p>
            <w:pPr>
              <w:spacing w:line="240" w:lineRule="exact"/>
              <w:jc w:val="center"/>
              <w:rPr>
                <w:rFonts w:ascii="宋体" w:cs="Times New Roman"/>
              </w:rPr>
            </w:pPr>
            <w:r>
              <w:rPr>
                <w:rFonts w:hint="eastAsia" w:ascii="宋体" w:hAnsi="宋体" w:cs="宋体"/>
              </w:rPr>
              <w:t>明确性（</w:t>
            </w:r>
            <w:r>
              <w:rPr>
                <w:rFonts w:ascii="宋体" w:hAnsi="宋体" w:cs="宋体"/>
              </w:rPr>
              <w:t>3</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3</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评价要点：</w:t>
            </w:r>
            <w:r>
              <w:rPr>
                <w:rFonts w:ascii="宋体" w:cs="Times New Roman"/>
              </w:rPr>
              <w:br w:type="textWrapping"/>
            </w:r>
            <w:r>
              <w:rPr>
                <w:rFonts w:hint="eastAsia" w:ascii="宋体" w:hAnsi="宋体" w:cs="宋体"/>
              </w:rPr>
              <w:t>①是否将部门整体的绩效目标细化分解为具体的工作任务；</w:t>
            </w:r>
            <w:r>
              <w:rPr>
                <w:rFonts w:ascii="宋体" w:cs="Times New Roman"/>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Times New Roman"/>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Times New Roman"/>
              </w:rPr>
            </w:pPr>
          </w:p>
        </w:tc>
        <w:tc>
          <w:tcPr>
            <w:tcW w:w="375" w:type="pct"/>
            <w:vMerge w:val="restar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预算</w:t>
            </w:r>
            <w:r>
              <w:rPr>
                <w:rFonts w:ascii="宋体" w:cs="Times New Roman"/>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在职人员</w:t>
            </w:r>
          </w:p>
          <w:p>
            <w:pPr>
              <w:spacing w:line="240" w:lineRule="exact"/>
              <w:jc w:val="center"/>
              <w:rPr>
                <w:rFonts w:ascii="宋体" w:cs="Times New Roman"/>
              </w:rPr>
            </w:pPr>
            <w:r>
              <w:rPr>
                <w:rFonts w:hint="eastAsia" w:ascii="宋体" w:hAnsi="宋体" w:cs="宋体"/>
              </w:rPr>
              <w:t>控制率（</w:t>
            </w:r>
            <w:r>
              <w:rPr>
                <w:rFonts w:ascii="宋体" w:hAnsi="宋体" w:cs="宋体"/>
              </w:rPr>
              <w:t>5</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4.5</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在职人员数：部门实际在职人数，以财政部确定的部门决算编制口径为准。</w:t>
            </w:r>
            <w:r>
              <w:rPr>
                <w:rFonts w:ascii="宋体" w:cs="Times New Roman"/>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“三公经费”</w:t>
            </w:r>
          </w:p>
          <w:p>
            <w:pPr>
              <w:spacing w:line="240" w:lineRule="exact"/>
              <w:jc w:val="center"/>
              <w:rPr>
                <w:rFonts w:ascii="宋体" w:cs="Times New Roman"/>
              </w:rPr>
            </w:pPr>
            <w:r>
              <w:rPr>
                <w:rFonts w:hint="eastAsia" w:ascii="宋体" w:hAnsi="宋体" w:cs="宋体"/>
              </w:rPr>
              <w:t>变动率（</w:t>
            </w:r>
            <w:r>
              <w:rPr>
                <w:rFonts w:ascii="宋体" w:hAnsi="宋体" w:cs="宋体"/>
              </w:rPr>
              <w:t>5</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5</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重点支出</w:t>
            </w:r>
          </w:p>
          <w:p>
            <w:pPr>
              <w:spacing w:line="240" w:lineRule="exact"/>
              <w:jc w:val="center"/>
              <w:rPr>
                <w:rFonts w:ascii="宋体" w:cs="Times New Roman"/>
              </w:rPr>
            </w:pPr>
            <w:r>
              <w:rPr>
                <w:rFonts w:hint="eastAsia" w:ascii="宋体" w:hAnsi="宋体" w:cs="宋体"/>
              </w:rPr>
              <w:t>安排率（</w:t>
            </w:r>
            <w:r>
              <w:rPr>
                <w:rFonts w:ascii="宋体" w:hAnsi="宋体" w:cs="宋体"/>
              </w:rPr>
              <w:t>5</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5</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Times New Roman"/>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Times New Roman"/>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预算</w:t>
            </w:r>
            <w:r>
              <w:rPr>
                <w:rFonts w:ascii="宋体" w:cs="Times New Roman"/>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预算</w:t>
            </w:r>
          </w:p>
          <w:p>
            <w:pPr>
              <w:spacing w:line="240" w:lineRule="exact"/>
              <w:jc w:val="center"/>
              <w:rPr>
                <w:rFonts w:ascii="宋体" w:cs="Times New Roman"/>
              </w:rPr>
            </w:pPr>
            <w:r>
              <w:rPr>
                <w:rFonts w:hint="eastAsia" w:ascii="宋体" w:hAnsi="宋体" w:cs="宋体"/>
              </w:rPr>
              <w:t>执行率（</w:t>
            </w:r>
            <w:r>
              <w:rPr>
                <w:rFonts w:ascii="宋体" w:hAnsi="宋体" w:cs="宋体"/>
              </w:rPr>
              <w:t>4</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4</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预算执行数：部门本年度实际完成的预算数。</w:t>
            </w:r>
            <w:r>
              <w:rPr>
                <w:rFonts w:ascii="宋体" w:cs="Times New Roman"/>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jc w:val="center"/>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预算</w:t>
            </w:r>
          </w:p>
          <w:p>
            <w:pPr>
              <w:spacing w:line="240" w:lineRule="exact"/>
              <w:jc w:val="center"/>
              <w:rPr>
                <w:rFonts w:ascii="宋体" w:cs="Times New Roman"/>
              </w:rPr>
            </w:pPr>
            <w:r>
              <w:rPr>
                <w:rFonts w:hint="eastAsia" w:ascii="宋体" w:hAnsi="宋体" w:cs="宋体"/>
              </w:rPr>
              <w:t>调整率（</w:t>
            </w:r>
            <w:r>
              <w:rPr>
                <w:rFonts w:ascii="宋体" w:hAnsi="宋体" w:cs="宋体"/>
              </w:rPr>
              <w:t>2</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jc w:val="center"/>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支付</w:t>
            </w:r>
          </w:p>
          <w:p>
            <w:pPr>
              <w:spacing w:line="240" w:lineRule="exact"/>
              <w:jc w:val="center"/>
              <w:rPr>
                <w:rFonts w:ascii="宋体" w:cs="Times New Roman"/>
              </w:rPr>
            </w:pPr>
            <w:r>
              <w:rPr>
                <w:rFonts w:hint="eastAsia" w:ascii="宋体" w:hAnsi="宋体" w:cs="宋体"/>
              </w:rPr>
              <w:t>进度率（</w:t>
            </w:r>
            <w:r>
              <w:rPr>
                <w:rFonts w:ascii="宋体" w:hAnsi="宋体" w:cs="宋体"/>
              </w:rPr>
              <w:t>1.5</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1</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实际支付进度：部门在某一时点的支出预算执行总数与年度支出预算数的比率。</w:t>
            </w:r>
            <w:r>
              <w:rPr>
                <w:rFonts w:ascii="宋体" w:cs="Times New Roman"/>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Times New Roman"/>
              </w:rPr>
            </w:pPr>
          </w:p>
        </w:tc>
        <w:tc>
          <w:tcPr>
            <w:tcW w:w="375" w:type="pct"/>
            <w:vMerge w:val="continue"/>
            <w:tcMar>
              <w:top w:w="10" w:type="dxa"/>
              <w:left w:w="10" w:type="dxa"/>
              <w:bottom w:w="0" w:type="dxa"/>
              <w:right w:w="10" w:type="dxa"/>
            </w:tcMar>
            <w:vAlign w:val="center"/>
          </w:tcPr>
          <w:p>
            <w:pPr>
              <w:spacing w:line="240" w:lineRule="exact"/>
              <w:jc w:val="center"/>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结转</w:t>
            </w:r>
          </w:p>
          <w:p>
            <w:pPr>
              <w:spacing w:line="240" w:lineRule="exact"/>
              <w:jc w:val="center"/>
              <w:rPr>
                <w:rFonts w:ascii="宋体" w:cs="Times New Roman"/>
              </w:rPr>
            </w:pPr>
            <w:r>
              <w:rPr>
                <w:rFonts w:hint="eastAsia" w:ascii="宋体" w:hAnsi="宋体" w:cs="宋体"/>
              </w:rPr>
              <w:t>结余率（</w:t>
            </w:r>
            <w:r>
              <w:rPr>
                <w:rFonts w:ascii="宋体" w:hAnsi="宋体" w:cs="宋体"/>
              </w:rPr>
              <w:t>2</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结转结余</w:t>
            </w:r>
          </w:p>
          <w:p>
            <w:pPr>
              <w:spacing w:line="240" w:lineRule="exact"/>
              <w:jc w:val="center"/>
              <w:rPr>
                <w:rFonts w:ascii="宋体" w:cs="Times New Roman"/>
              </w:rPr>
            </w:pPr>
            <w:r>
              <w:rPr>
                <w:rFonts w:hint="eastAsia" w:ascii="宋体" w:hAnsi="宋体" w:cs="宋体"/>
              </w:rPr>
              <w:t>变动率（</w:t>
            </w:r>
            <w:r>
              <w:rPr>
                <w:rFonts w:ascii="宋体" w:hAnsi="宋体" w:cs="宋体"/>
              </w:rPr>
              <w:t>2</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公用经费</w:t>
            </w:r>
          </w:p>
          <w:p>
            <w:pPr>
              <w:spacing w:line="240" w:lineRule="exact"/>
              <w:jc w:val="center"/>
              <w:rPr>
                <w:rFonts w:ascii="宋体" w:cs="Times New Roman"/>
              </w:rPr>
            </w:pPr>
            <w:r>
              <w:rPr>
                <w:rFonts w:hint="eastAsia" w:ascii="宋体" w:hAnsi="宋体" w:cs="宋体"/>
              </w:rPr>
              <w:t>控制率（</w:t>
            </w:r>
            <w:r>
              <w:rPr>
                <w:rFonts w:ascii="宋体" w:hAnsi="宋体" w:cs="宋体"/>
              </w:rPr>
              <w:t>2</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jc w:val="center"/>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政府采购</w:t>
            </w:r>
          </w:p>
          <w:p>
            <w:pPr>
              <w:spacing w:line="240" w:lineRule="exact"/>
              <w:jc w:val="center"/>
              <w:rPr>
                <w:rFonts w:ascii="宋体" w:cs="Times New Roman"/>
              </w:rPr>
            </w:pPr>
            <w:r>
              <w:rPr>
                <w:rFonts w:hint="eastAsia" w:ascii="宋体" w:hAnsi="宋体" w:cs="宋体"/>
              </w:rPr>
              <w:t>执行率（</w:t>
            </w:r>
            <w:r>
              <w:rPr>
                <w:rFonts w:ascii="宋体" w:hAnsi="宋体" w:cs="宋体"/>
              </w:rPr>
              <w:t>4</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4</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Times New Roman"/>
              </w:rPr>
            </w:pPr>
            <w:r>
              <w:rPr>
                <w:rFonts w:hint="eastAsia" w:ascii="宋体" w:hAnsi="宋体" w:cs="宋体"/>
              </w:rPr>
              <w:t>过</w:t>
            </w:r>
          </w:p>
          <w:p>
            <w:pPr>
              <w:spacing w:line="240" w:lineRule="exact"/>
              <w:jc w:val="center"/>
              <w:rPr>
                <w:rFonts w:ascii="宋体" w:cs="Times New Roman"/>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预算</w:t>
            </w:r>
            <w:r>
              <w:rPr>
                <w:rFonts w:ascii="宋体" w:cs="Times New Roman"/>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Times New Roman"/>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管理制度</w:t>
            </w:r>
          </w:p>
          <w:p>
            <w:pPr>
              <w:spacing w:line="240" w:lineRule="exact"/>
              <w:jc w:val="center"/>
              <w:rPr>
                <w:rFonts w:ascii="宋体" w:cs="Times New Roman"/>
              </w:rPr>
            </w:pPr>
            <w:r>
              <w:rPr>
                <w:rFonts w:hint="eastAsia" w:ascii="宋体" w:hAnsi="宋体" w:cs="宋体"/>
              </w:rPr>
              <w:t>健全性（</w:t>
            </w:r>
            <w:r>
              <w:rPr>
                <w:rFonts w:ascii="宋体" w:hAnsi="宋体" w:cs="宋体"/>
              </w:rPr>
              <w:t>2</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评价要点：</w:t>
            </w:r>
            <w:r>
              <w:rPr>
                <w:rFonts w:ascii="宋体" w:cs="Times New Roman"/>
              </w:rPr>
              <w:br w:type="textWrapping"/>
            </w:r>
            <w:r>
              <w:rPr>
                <w:rFonts w:hint="eastAsia" w:ascii="宋体" w:hAnsi="宋体" w:cs="宋体"/>
              </w:rPr>
              <w:t>①是否已制定或具有预算资金管理办法、内部财务管理制度、会计核算制度等管理制度；</w:t>
            </w:r>
            <w:r>
              <w:rPr>
                <w:rFonts w:ascii="宋体" w:cs="Times New Roman"/>
              </w:rPr>
              <w:br w:type="textWrapping"/>
            </w:r>
            <w:r>
              <w:rPr>
                <w:rFonts w:hint="eastAsia" w:ascii="宋体" w:hAnsi="宋体" w:cs="宋体"/>
              </w:rPr>
              <w:t>②相关管理制度是否合法、合规、完整；</w:t>
            </w:r>
            <w:r>
              <w:rPr>
                <w:rFonts w:ascii="宋体" w:cs="Times New Roman"/>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jc w:val="center"/>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资金使用</w:t>
            </w:r>
          </w:p>
          <w:p>
            <w:pPr>
              <w:spacing w:line="240" w:lineRule="exact"/>
              <w:jc w:val="center"/>
              <w:rPr>
                <w:rFonts w:ascii="宋体" w:cs="Times New Roman"/>
              </w:rPr>
            </w:pPr>
            <w:r>
              <w:rPr>
                <w:rFonts w:hint="eastAsia" w:ascii="宋体" w:hAnsi="宋体" w:cs="宋体"/>
              </w:rPr>
              <w:t>合规性（</w:t>
            </w:r>
            <w:r>
              <w:rPr>
                <w:rFonts w:ascii="宋体" w:hAnsi="宋体" w:cs="宋体"/>
              </w:rPr>
              <w:t>1</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1</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评价要点：</w:t>
            </w:r>
            <w:r>
              <w:rPr>
                <w:rFonts w:ascii="宋体" w:cs="Times New Roman"/>
              </w:rPr>
              <w:br w:type="textWrapping"/>
            </w:r>
            <w:r>
              <w:rPr>
                <w:rFonts w:hint="eastAsia" w:ascii="宋体" w:hAnsi="宋体" w:cs="宋体"/>
              </w:rPr>
              <w:t>①是否符合国家财经法规和财务管理制度规定以及有关预算支出管理办法的规定；</w:t>
            </w:r>
            <w:r>
              <w:rPr>
                <w:rFonts w:ascii="宋体" w:cs="Times New Roman"/>
              </w:rPr>
              <w:br w:type="textWrapping"/>
            </w:r>
            <w:r>
              <w:rPr>
                <w:rFonts w:hint="eastAsia" w:ascii="宋体" w:hAnsi="宋体" w:cs="宋体"/>
              </w:rPr>
              <w:t>②资金的拨付是否有完整的审批程序和手续；</w:t>
            </w:r>
            <w:r>
              <w:rPr>
                <w:rFonts w:ascii="宋体" w:cs="Times New Roman"/>
              </w:rPr>
              <w:br w:type="textWrapping"/>
            </w:r>
            <w:r>
              <w:rPr>
                <w:rFonts w:hint="eastAsia" w:ascii="宋体" w:hAnsi="宋体" w:cs="宋体"/>
              </w:rPr>
              <w:t>③预算支出的重大开支是否经过评估论证；</w:t>
            </w:r>
            <w:r>
              <w:rPr>
                <w:rFonts w:ascii="宋体" w:cs="Times New Roman"/>
              </w:rPr>
              <w:br w:type="textWrapping"/>
            </w:r>
            <w:r>
              <w:rPr>
                <w:rFonts w:hint="eastAsia" w:ascii="宋体" w:hAnsi="宋体" w:cs="宋体"/>
              </w:rPr>
              <w:t>④是否符合部门预算批复的用途；</w:t>
            </w:r>
            <w:r>
              <w:rPr>
                <w:rFonts w:ascii="宋体" w:cs="Times New Roman"/>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预决算信</w:t>
            </w:r>
          </w:p>
          <w:p>
            <w:pPr>
              <w:spacing w:line="240" w:lineRule="exact"/>
              <w:jc w:val="center"/>
              <w:rPr>
                <w:rFonts w:ascii="宋体" w:cs="Times New Roman"/>
              </w:rPr>
            </w:pPr>
            <w:r>
              <w:rPr>
                <w:rFonts w:hint="eastAsia" w:ascii="宋体" w:hAnsi="宋体" w:cs="宋体"/>
              </w:rPr>
              <w:t>息公开性（</w:t>
            </w:r>
            <w:r>
              <w:rPr>
                <w:rFonts w:ascii="宋体" w:hAnsi="宋体" w:cs="宋体"/>
              </w:rPr>
              <w:t>1</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1</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评价要点：</w:t>
            </w:r>
            <w:r>
              <w:rPr>
                <w:rFonts w:ascii="宋体" w:cs="Times New Roman"/>
              </w:rPr>
              <w:br w:type="textWrapping"/>
            </w:r>
            <w:r>
              <w:rPr>
                <w:rFonts w:hint="eastAsia" w:ascii="宋体" w:hAnsi="宋体" w:cs="宋体"/>
              </w:rPr>
              <w:t>①是否按规定内容公开预决算信息；</w:t>
            </w:r>
            <w:r>
              <w:rPr>
                <w:rFonts w:ascii="宋体" w:cs="Times New Roman"/>
              </w:rPr>
              <w:br w:type="textWrapping"/>
            </w:r>
            <w:r>
              <w:rPr>
                <w:rFonts w:hint="eastAsia" w:ascii="宋体" w:hAnsi="宋体" w:cs="宋体"/>
              </w:rPr>
              <w:t>②是否按规定时限公开预决算信息。</w:t>
            </w:r>
            <w:r>
              <w:rPr>
                <w:rFonts w:ascii="宋体" w:cs="Times New Roman"/>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jc w:val="center"/>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基础信息</w:t>
            </w:r>
          </w:p>
          <w:p>
            <w:pPr>
              <w:spacing w:line="240" w:lineRule="exact"/>
              <w:jc w:val="center"/>
              <w:rPr>
                <w:rFonts w:ascii="宋体" w:cs="Times New Roman"/>
              </w:rPr>
            </w:pPr>
            <w:r>
              <w:rPr>
                <w:rFonts w:hint="eastAsia" w:ascii="宋体" w:hAnsi="宋体" w:cs="宋体"/>
              </w:rPr>
              <w:t>完善性（</w:t>
            </w:r>
            <w:r>
              <w:rPr>
                <w:rFonts w:ascii="宋体" w:hAnsi="宋体" w:cs="宋体"/>
              </w:rPr>
              <w:t>1</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1</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评价要点：</w:t>
            </w:r>
            <w:r>
              <w:rPr>
                <w:rFonts w:ascii="宋体" w:cs="Times New Roman"/>
              </w:rPr>
              <w:br w:type="textWrapping"/>
            </w:r>
            <w:r>
              <w:rPr>
                <w:rFonts w:hint="eastAsia" w:ascii="宋体" w:hAnsi="宋体" w:cs="宋体"/>
              </w:rPr>
              <w:t>①基础数据信息和会计信息资料是否真实；</w:t>
            </w:r>
            <w:r>
              <w:rPr>
                <w:rFonts w:ascii="宋体" w:cs="Times New Roman"/>
              </w:rPr>
              <w:br w:type="textWrapping"/>
            </w:r>
            <w:r>
              <w:rPr>
                <w:rFonts w:hint="eastAsia" w:ascii="宋体" w:hAnsi="宋体" w:cs="宋体"/>
              </w:rPr>
              <w:t>②基础数据信息和会计信息资料是否完整；</w:t>
            </w:r>
            <w:r>
              <w:rPr>
                <w:rFonts w:ascii="宋体" w:cs="Times New Roman"/>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Times New Roman"/>
              </w:rPr>
            </w:pPr>
          </w:p>
        </w:tc>
        <w:tc>
          <w:tcPr>
            <w:tcW w:w="375" w:type="pct"/>
            <w:vMerge w:val="restar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资产</w:t>
            </w:r>
            <w:r>
              <w:rPr>
                <w:rFonts w:ascii="宋体" w:cs="Times New Roman"/>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管理制度</w:t>
            </w:r>
          </w:p>
          <w:p>
            <w:pPr>
              <w:spacing w:line="240" w:lineRule="exact"/>
              <w:jc w:val="center"/>
              <w:rPr>
                <w:rFonts w:ascii="宋体" w:cs="Times New Roman"/>
              </w:rPr>
            </w:pPr>
            <w:r>
              <w:rPr>
                <w:rFonts w:hint="eastAsia" w:ascii="宋体" w:hAnsi="宋体" w:cs="宋体"/>
              </w:rPr>
              <w:t>健全性（</w:t>
            </w:r>
            <w:r>
              <w:rPr>
                <w:rFonts w:ascii="宋体" w:hAnsi="宋体" w:cs="宋体"/>
              </w:rPr>
              <w:t>2</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评价要点：</w:t>
            </w:r>
            <w:r>
              <w:rPr>
                <w:rFonts w:ascii="宋体" w:cs="Times New Roman"/>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Times New Roman"/>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Times New Roman"/>
              </w:rPr>
            </w:pPr>
          </w:p>
        </w:tc>
        <w:tc>
          <w:tcPr>
            <w:tcW w:w="375" w:type="pct"/>
            <w:vMerge w:val="continue"/>
            <w:vAlign w:val="center"/>
          </w:tcPr>
          <w:p>
            <w:pPr>
              <w:spacing w:line="240" w:lineRule="exact"/>
              <w:jc w:val="center"/>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资产管理</w:t>
            </w:r>
          </w:p>
          <w:p>
            <w:pPr>
              <w:spacing w:line="240" w:lineRule="exact"/>
              <w:jc w:val="center"/>
              <w:rPr>
                <w:rFonts w:ascii="宋体" w:cs="Times New Roman"/>
              </w:rPr>
            </w:pPr>
            <w:r>
              <w:rPr>
                <w:rFonts w:hint="eastAsia" w:ascii="宋体" w:hAnsi="宋体" w:cs="宋体"/>
              </w:rPr>
              <w:t>安全性（</w:t>
            </w:r>
            <w:r>
              <w:rPr>
                <w:rFonts w:ascii="宋体" w:hAnsi="宋体" w:cs="宋体"/>
              </w:rPr>
              <w:t>2</w:t>
            </w:r>
            <w:r>
              <w:rPr>
                <w:rFonts w:hint="eastAsia" w:ascii="宋体" w:hAnsi="宋体" w:cs="宋体"/>
              </w:rPr>
              <w:t>分）</w:t>
            </w:r>
          </w:p>
        </w:tc>
        <w:tc>
          <w:tcPr>
            <w:tcW w:w="258" w:type="pct"/>
          </w:tcPr>
          <w:p>
            <w:pPr>
              <w:tabs>
                <w:tab w:val="left" w:pos="761"/>
                <w:tab w:val="left" w:pos="2604"/>
              </w:tabs>
              <w:spacing w:line="240" w:lineRule="exact"/>
              <w:ind w:left="105" w:leftChars="50" w:right="105" w:rightChars="50" w:firstLine="96" w:firstLineChars="46"/>
              <w:rPr>
                <w:rFonts w:ascii="宋体" w:cs="宋体"/>
              </w:rPr>
            </w:pPr>
            <w:r>
              <w:rPr>
                <w:rFonts w:ascii="宋体" w:cs="宋体"/>
              </w:rPr>
              <w:t>2</w:t>
            </w:r>
          </w:p>
        </w:tc>
        <w:tc>
          <w:tcPr>
            <w:tcW w:w="1693"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Times New Roman"/>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评价要点：</w:t>
            </w:r>
            <w:r>
              <w:rPr>
                <w:rFonts w:ascii="宋体" w:cs="Times New Roman"/>
              </w:rPr>
              <w:br w:type="textWrapping"/>
            </w:r>
            <w:r>
              <w:rPr>
                <w:rFonts w:hint="eastAsia" w:ascii="宋体" w:hAnsi="宋体" w:cs="宋体"/>
              </w:rPr>
              <w:t>①资产保存是否完整；</w:t>
            </w:r>
            <w:r>
              <w:rPr>
                <w:rFonts w:ascii="宋体" w:cs="Times New Roman"/>
              </w:rPr>
              <w:br w:type="textWrapping"/>
            </w:r>
            <w:r>
              <w:rPr>
                <w:rFonts w:hint="eastAsia" w:ascii="宋体" w:hAnsi="宋体" w:cs="宋体"/>
              </w:rPr>
              <w:t>②资产配置是否合理；</w:t>
            </w:r>
            <w:r>
              <w:rPr>
                <w:rFonts w:ascii="宋体" w:cs="Times New Roman"/>
              </w:rPr>
              <w:br w:type="textWrapping"/>
            </w:r>
            <w:r>
              <w:rPr>
                <w:rFonts w:hint="eastAsia" w:ascii="宋体" w:hAnsi="宋体" w:cs="宋体"/>
              </w:rPr>
              <w:t>③资产处置是否规范；</w:t>
            </w:r>
            <w:r>
              <w:rPr>
                <w:rFonts w:ascii="宋体" w:cs="Times New Roman"/>
              </w:rPr>
              <w:br w:type="textWrapping"/>
            </w:r>
            <w:r>
              <w:rPr>
                <w:rFonts w:hint="eastAsia" w:ascii="宋体" w:hAnsi="宋体" w:cs="宋体"/>
              </w:rPr>
              <w:t>④资产账务管理是否合规，是否帐实相符；</w:t>
            </w:r>
            <w:r>
              <w:rPr>
                <w:rFonts w:ascii="宋体" w:cs="Times New Roman"/>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固定资产</w:t>
            </w:r>
          </w:p>
          <w:p>
            <w:pPr>
              <w:spacing w:line="240" w:lineRule="exact"/>
              <w:jc w:val="center"/>
              <w:rPr>
                <w:rFonts w:ascii="宋体" w:cs="Times New Roman"/>
              </w:rPr>
            </w:pPr>
            <w:r>
              <w:rPr>
                <w:rFonts w:hint="eastAsia" w:ascii="宋体" w:hAnsi="宋体" w:cs="宋体"/>
              </w:rPr>
              <w:t>利用率（</w:t>
            </w:r>
            <w:r>
              <w:rPr>
                <w:rFonts w:ascii="宋体" w:hAnsi="宋体" w:cs="宋体"/>
              </w:rPr>
              <w:t>1</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1</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Times New Roman"/>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职责</w:t>
            </w:r>
            <w:r>
              <w:rPr>
                <w:rFonts w:ascii="宋体" w:cs="Times New Roman"/>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实际</w:t>
            </w:r>
          </w:p>
          <w:p>
            <w:pPr>
              <w:spacing w:line="240" w:lineRule="exact"/>
              <w:jc w:val="center"/>
              <w:rPr>
                <w:rFonts w:ascii="宋体" w:cs="Times New Roman"/>
              </w:rPr>
            </w:pPr>
            <w:r>
              <w:rPr>
                <w:rFonts w:hint="eastAsia" w:ascii="宋体" w:hAnsi="宋体" w:cs="宋体"/>
              </w:rPr>
              <w:t>完成率（</w:t>
            </w:r>
            <w:r>
              <w:rPr>
                <w:rFonts w:ascii="宋体" w:hAnsi="宋体" w:cs="宋体"/>
              </w:rPr>
              <w:t>8</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8</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实际完成工作数：一定时期（年度或规划期）内部门实际完成工作任务的数量。</w:t>
            </w:r>
            <w:r>
              <w:rPr>
                <w:rFonts w:ascii="宋体" w:cs="Times New Roman"/>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Times New Roman"/>
              </w:rPr>
            </w:pPr>
          </w:p>
        </w:tc>
        <w:tc>
          <w:tcPr>
            <w:tcW w:w="375" w:type="pct"/>
            <w:vMerge w:val="continue"/>
            <w:vAlign w:val="center"/>
          </w:tcPr>
          <w:p>
            <w:pPr>
              <w:spacing w:line="240" w:lineRule="exact"/>
              <w:jc w:val="center"/>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完成</w:t>
            </w:r>
          </w:p>
          <w:p>
            <w:pPr>
              <w:spacing w:line="240" w:lineRule="exact"/>
              <w:jc w:val="center"/>
              <w:rPr>
                <w:rFonts w:ascii="宋体" w:cs="Times New Roman"/>
              </w:rPr>
            </w:pPr>
            <w:r>
              <w:rPr>
                <w:rFonts w:hint="eastAsia" w:ascii="宋体" w:hAnsi="宋体" w:cs="宋体"/>
              </w:rPr>
              <w:t>及时率（</w:t>
            </w:r>
            <w:r>
              <w:rPr>
                <w:rFonts w:ascii="宋体" w:hAnsi="宋体" w:cs="宋体"/>
              </w:rPr>
              <w:t>4</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4</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质量</w:t>
            </w:r>
          </w:p>
          <w:p>
            <w:pPr>
              <w:spacing w:line="240" w:lineRule="exact"/>
              <w:jc w:val="center"/>
              <w:rPr>
                <w:rFonts w:ascii="宋体" w:cs="Times New Roman"/>
              </w:rPr>
            </w:pPr>
            <w:r>
              <w:rPr>
                <w:rFonts w:hint="eastAsia" w:ascii="宋体" w:hAnsi="宋体" w:cs="宋体"/>
              </w:rPr>
              <w:t>达标率（</w:t>
            </w:r>
            <w:r>
              <w:rPr>
                <w:rFonts w:ascii="宋体" w:hAnsi="宋体" w:cs="宋体"/>
              </w:rPr>
              <w:t>8</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8</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重点工作</w:t>
            </w:r>
          </w:p>
          <w:p>
            <w:pPr>
              <w:spacing w:line="240" w:lineRule="exact"/>
              <w:jc w:val="center"/>
              <w:rPr>
                <w:rFonts w:ascii="宋体" w:cs="Times New Roman"/>
              </w:rPr>
            </w:pPr>
            <w:r>
              <w:rPr>
                <w:rFonts w:hint="eastAsia" w:ascii="宋体" w:hAnsi="宋体" w:cs="宋体"/>
              </w:rPr>
              <w:t>办结率（</w:t>
            </w:r>
            <w:r>
              <w:rPr>
                <w:rFonts w:ascii="宋体" w:hAnsi="宋体" w:cs="宋体"/>
              </w:rPr>
              <w:t>10</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10</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Times New Roman"/>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Times New Roman"/>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履职</w:t>
            </w:r>
            <w:r>
              <w:rPr>
                <w:rFonts w:ascii="宋体" w:cs="Times New Roman"/>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经济效益（</w:t>
            </w:r>
            <w:r>
              <w:rPr>
                <w:rFonts w:ascii="宋体" w:hAnsi="宋体" w:cs="宋体"/>
              </w:rPr>
              <w:t>5</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5</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社会效益（</w:t>
            </w:r>
            <w:r>
              <w:rPr>
                <w:rFonts w:ascii="宋体" w:hAnsi="宋体" w:cs="宋体"/>
              </w:rPr>
              <w:t>5</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5</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生态效益（</w:t>
            </w:r>
            <w:r>
              <w:rPr>
                <w:rFonts w:ascii="宋体" w:hAnsi="宋体" w:cs="宋体"/>
              </w:rPr>
              <w:t>5</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5</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Times New Roman"/>
              </w:rPr>
            </w:pPr>
          </w:p>
        </w:tc>
        <w:tc>
          <w:tcPr>
            <w:tcW w:w="375" w:type="pct"/>
            <w:vMerge w:val="continue"/>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r>
              <w:rPr>
                <w:rFonts w:hint="eastAsia" w:ascii="宋体" w:hAnsi="宋体" w:cs="宋体"/>
              </w:rPr>
              <w:t>社会公众</w:t>
            </w:r>
          </w:p>
          <w:p>
            <w:pPr>
              <w:spacing w:line="240" w:lineRule="exact"/>
              <w:jc w:val="center"/>
              <w:rPr>
                <w:rFonts w:ascii="宋体" w:cs="Times New Roman"/>
              </w:rPr>
            </w:pPr>
            <w:r>
              <w:rPr>
                <w:rFonts w:hint="eastAsia" w:ascii="宋体" w:hAnsi="宋体" w:cs="宋体"/>
              </w:rPr>
              <w:t>或服务对</w:t>
            </w:r>
          </w:p>
          <w:p>
            <w:pPr>
              <w:spacing w:line="240" w:lineRule="exact"/>
              <w:jc w:val="center"/>
              <w:rPr>
                <w:rFonts w:ascii="宋体" w:cs="Times New Roman"/>
              </w:rPr>
            </w:pPr>
            <w:r>
              <w:rPr>
                <w:rFonts w:hint="eastAsia" w:ascii="宋体" w:hAnsi="宋体" w:cs="宋体"/>
              </w:rPr>
              <w:t>象满意度（</w:t>
            </w:r>
            <w:r>
              <w:rPr>
                <w:rFonts w:ascii="宋体" w:hAnsi="宋体" w:cs="宋体"/>
              </w:rPr>
              <w:t>4</w:t>
            </w:r>
            <w:r>
              <w:rPr>
                <w:rFonts w:hint="eastAsia" w:ascii="宋体" w:hAnsi="宋体" w:cs="宋体"/>
              </w:rPr>
              <w:t>分）</w:t>
            </w: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3.5</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Times New Roman"/>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Times New Roman"/>
              </w:rPr>
            </w:pPr>
            <w:r>
              <w:rPr>
                <w:rFonts w:hint="eastAsia" w:ascii="宋体" w:hAnsi="宋体" w:cs="宋体"/>
              </w:rPr>
              <w:t>总分</w:t>
            </w:r>
          </w:p>
        </w:tc>
        <w:tc>
          <w:tcPr>
            <w:tcW w:w="375" w:type="pct"/>
            <w:vAlign w:val="center"/>
          </w:tcPr>
          <w:p>
            <w:pPr>
              <w:spacing w:line="240" w:lineRule="exact"/>
              <w:rPr>
                <w:rFonts w:ascii="宋体" w:cs="Times New Roman"/>
              </w:rPr>
            </w:pPr>
          </w:p>
        </w:tc>
        <w:tc>
          <w:tcPr>
            <w:tcW w:w="500" w:type="pct"/>
            <w:tcMar>
              <w:top w:w="10" w:type="dxa"/>
              <w:left w:w="10" w:type="dxa"/>
              <w:bottom w:w="0" w:type="dxa"/>
              <w:right w:w="10" w:type="dxa"/>
            </w:tcMar>
            <w:vAlign w:val="center"/>
          </w:tcPr>
          <w:p>
            <w:pPr>
              <w:spacing w:line="240" w:lineRule="exact"/>
              <w:jc w:val="center"/>
              <w:rPr>
                <w:rFonts w:ascii="宋体" w:cs="Times New Roman"/>
              </w:rPr>
            </w:pPr>
          </w:p>
        </w:tc>
        <w:tc>
          <w:tcPr>
            <w:tcW w:w="258" w:type="pct"/>
          </w:tcPr>
          <w:p>
            <w:pPr>
              <w:tabs>
                <w:tab w:val="left" w:pos="2604"/>
              </w:tabs>
              <w:spacing w:line="240" w:lineRule="exact"/>
              <w:ind w:left="105" w:leftChars="50" w:right="105" w:rightChars="50" w:firstLine="96" w:firstLineChars="46"/>
              <w:rPr>
                <w:rFonts w:ascii="宋体" w:cs="宋体"/>
              </w:rPr>
            </w:pPr>
            <w:r>
              <w:rPr>
                <w:rFonts w:ascii="宋体" w:cs="宋体"/>
              </w:rPr>
              <w:t>99</w:t>
            </w:r>
          </w:p>
        </w:tc>
        <w:tc>
          <w:tcPr>
            <w:tcW w:w="1693"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Times New Roma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691C6AC5"/>
    <w:rsid w:val="7ECA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firstLine="720" w:firstLineChars="257"/>
    </w:pPr>
    <w:rPr>
      <w:kern w:val="0"/>
      <w:sz w:val="20"/>
      <w:szCs w:val="20"/>
    </w:rPr>
  </w:style>
  <w:style w:type="paragraph" w:styleId="4">
    <w:name w:val="Normal (Web)"/>
    <w:basedOn w:val="1"/>
    <w:qFormat/>
    <w:uiPriority w:val="99"/>
    <w:pPr>
      <w:widowControl/>
      <w:spacing w:before="100" w:beforeAutospacing="1" w:after="100" w:afterAutospacing="1"/>
      <w:jc w:val="left"/>
    </w:pPr>
    <w:rPr>
      <w:rFonts w:ascii="宋体" w:hAnsi="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3008</Words>
  <Characters>3075</Characters>
  <Lines>0</Lines>
  <Paragraphs>0</Paragraphs>
  <TotalTime>0</TotalTime>
  <ScaleCrop>false</ScaleCrop>
  <LinksUpToDate>false</LinksUpToDate>
  <CharactersWithSpaces>3076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2023-06-17T13:25:00Z</dcterms:created>
  <dc:creator>admin-3</dc:creator>
  <cp:lastModifiedBy>admin-3</cp:lastModifiedBy>
  <dcterms:modified xsi:type="dcterms:W3CDTF">2023-06-17T13:27:25Z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E5AA010927714B1F8E7E57B7378CCAE1_12</vt:lpwstr>
  </property>
</Properties>
</file>