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 w:firstLineChars="150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</w:p>
    <w:p>
      <w:pPr>
        <w:ind w:firstLine="540" w:firstLineChars="150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益阳市赫山区文学艺术界联合会2021年度部门</w:t>
      </w:r>
    </w:p>
    <w:p>
      <w:pPr>
        <w:ind w:firstLine="540" w:firstLineChars="150"/>
        <w:jc w:val="center"/>
        <w:rPr>
          <w:rFonts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整体支出绩效评价报告</w:t>
      </w:r>
    </w:p>
    <w:p>
      <w:pPr>
        <w:pStyle w:val="3"/>
        <w:shd w:val="clear" w:color="auto" w:fill="FFFFFF"/>
        <w:spacing w:line="520" w:lineRule="exact"/>
        <w:ind w:firstLine="800" w:firstLineChars="250"/>
        <w:jc w:val="both"/>
        <w:rPr>
          <w:rFonts w:ascii="仿宋_GB2312" w:hAnsi="宋体" w:eastAsia="仿宋_GB2312" w:cs="宋体"/>
          <w:color w:val="212121"/>
          <w:sz w:val="32"/>
          <w:szCs w:val="32"/>
        </w:rPr>
      </w:pPr>
    </w:p>
    <w:p>
      <w:pPr>
        <w:pStyle w:val="3"/>
        <w:shd w:val="clear" w:color="auto" w:fill="FFFFFF"/>
        <w:spacing w:line="600" w:lineRule="exact"/>
        <w:ind w:firstLine="600" w:firstLineChars="200"/>
        <w:jc w:val="both"/>
        <w:rPr>
          <w:rFonts w:ascii="仿宋" w:hAnsi="仿宋" w:eastAsia="仿宋" w:cs="仿宋"/>
          <w:color w:val="212121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为进一步规范财政资金管理，牢固树立预算绩效理念，强化支出责任，提高财政资金使用效益，我单位根据财政部门对2021年度整体支出绩效评价工作的要求，认真组织进行了2021年度整体支出绩效评价工作，现将我单位整体支出绩效评价情况报告如下：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一、单位基本情况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赫山区文联为参照公务员管理的全额拨款正科级群团组织，在职在编人员4名，退休1人，所属各文艺协会23个。主要职责是</w:t>
      </w:r>
      <w:r>
        <w:rPr>
          <w:rFonts w:hint="eastAsia" w:ascii="仿宋" w:hAnsi="仿宋" w:eastAsia="仿宋" w:cs="仿宋"/>
          <w:sz w:val="30"/>
          <w:szCs w:val="30"/>
        </w:rPr>
        <w:t>贯彻落实党的文艺方针，开展对区级文学艺术家协会的联络、协调、指导、服务工作，听取和反映文艺界的情况和意见；组织召开全区文学艺术界代表大会，组织和管理全区文联系统的各文艺家协会，组织文艺界的文化交流活动，开展文艺界的联系和交流，推出有地域特色的文艺精品，推动文艺的繁荣；组织团体会员开展文艺创作、文艺评论、学术交流、人才培训和调研工作；主办和协同有关部门组织文艺活动和文艺评奖；主办文艺期刊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二、一般公共预算支出情况</w:t>
      </w:r>
    </w:p>
    <w:p>
      <w:pPr>
        <w:pStyle w:val="3"/>
        <w:widowControl/>
        <w:spacing w:line="600" w:lineRule="exact"/>
        <w:ind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2021年一般公共预算拨款收入123.02万元，具体安排情况如下： </w:t>
      </w:r>
    </w:p>
    <w:p>
      <w:pPr>
        <w:pStyle w:val="6"/>
        <w:spacing w:line="600" w:lineRule="exact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基本支出情况：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2021年基本支出为123.02万元，较上年</w:t>
      </w:r>
      <w:r>
        <w:rPr>
          <w:rFonts w:hint="eastAsia" w:ascii="仿宋" w:hAnsi="仿宋" w:eastAsia="仿宋" w:cs="仿宋"/>
          <w:sz w:val="30"/>
          <w:szCs w:val="30"/>
        </w:rPr>
        <w:t>减少12.15万元，减少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8.99</w:t>
      </w:r>
      <w:r>
        <w:rPr>
          <w:rFonts w:hint="eastAsia" w:ascii="仿宋" w:hAnsi="仿宋" w:eastAsia="仿宋" w:cs="仿宋"/>
          <w:sz w:val="30"/>
          <w:szCs w:val="30"/>
        </w:rPr>
        <w:t>%。其中：（1）人员经费68.41万元，主要包括基本工资、津贴补贴、奖金、伙食补助费、住房公积金、对个人和家庭的补助，占基本支出的55.61%,较上年增加12.94万元，增加18.92%，增加的主要原因是人员异动。公用经费54.61万元，主要包括办公费、印刷费、其他商品和服务支出、办公设备购置劳务费、委托业务费、工会经费等，占基本支出的44.39%，较上年减少25.1万元，减少31.49%。减少的主要原因是认真贯彻落实中央“八项规定”精神和厉行节约要求，减少公用经费开支。</w:t>
      </w:r>
    </w:p>
    <w:p>
      <w:pPr>
        <w:pStyle w:val="6"/>
        <w:spacing w:line="60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项目支出情况</w:t>
      </w:r>
      <w:r>
        <w:rPr>
          <w:rFonts w:hint="eastAsia" w:ascii="仿宋" w:hAnsi="仿宋" w:eastAsia="仿宋" w:cs="仿宋"/>
          <w:sz w:val="30"/>
          <w:szCs w:val="30"/>
        </w:rPr>
        <w:t>：2020年本单位没有项目支出。</w:t>
      </w:r>
    </w:p>
    <w:p>
      <w:pPr>
        <w:pStyle w:val="3"/>
        <w:widowControl/>
        <w:spacing w:line="600" w:lineRule="exact"/>
        <w:ind w:firstLine="600" w:firstLineChars="200"/>
        <w:jc w:val="both"/>
        <w:rPr>
          <w:rFonts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三、政府性基金预算支出情况</w:t>
      </w:r>
    </w:p>
    <w:p>
      <w:pPr>
        <w:pStyle w:val="3"/>
        <w:widowControl/>
        <w:spacing w:line="600" w:lineRule="exact"/>
        <w:ind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2021年本单位无政府性基金预算支出，本表无数据。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四、国有资本经营预算支出情况</w:t>
      </w:r>
    </w:p>
    <w:p>
      <w:pPr>
        <w:pStyle w:val="3"/>
        <w:widowControl/>
        <w:spacing w:line="600" w:lineRule="exact"/>
        <w:ind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2021年本单位无国有资本经营预算支出，本表无数据。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五、社会保险基金预算支出情况</w:t>
      </w:r>
    </w:p>
    <w:p>
      <w:pPr>
        <w:pStyle w:val="3"/>
        <w:widowControl/>
        <w:spacing w:line="600" w:lineRule="exact"/>
        <w:ind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2021年本单位社会保险基金预算支出纳入工资福利一起支出14.1万元，其中，基本养老保险缴费支出7万元，卫生健康支出3.8万元，住房保障支出3.3万元。 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六、部门整体支出绩效情况</w:t>
      </w:r>
    </w:p>
    <w:p>
      <w:pPr>
        <w:pStyle w:val="3"/>
        <w:widowControl/>
        <w:spacing w:line="600" w:lineRule="exact"/>
        <w:ind w:right="181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212121"/>
          <w:sz w:val="30"/>
          <w:szCs w:val="30"/>
        </w:rPr>
        <w:t>（一）部门整体支出概况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color w:val="212121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2021年部门收支完成情况：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1.收入：本年收入72.8万元。其中，财政拨款68.80万元，其他收入4万元。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color w:val="212121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2.支出：本年支出72.8万元。其中，人员经费支出40.76万元，日常公用支出5.51万元，项目支出22.5万元。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color w:val="212121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3.结转：结转下年4.03万元。</w:t>
      </w:r>
    </w:p>
    <w:p>
      <w:pPr>
        <w:pStyle w:val="3"/>
        <w:widowControl/>
        <w:spacing w:line="600" w:lineRule="exact"/>
        <w:ind w:right="181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212121"/>
          <w:sz w:val="30"/>
          <w:szCs w:val="30"/>
        </w:rPr>
        <w:t>（二）整体支出绩效目标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预决算公开：2021年，按照上级的要求，我单位在赫山区门户网站进行了预决算公开。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资产管理：我们进一步加强资产的管理，制定了《益阳市赫山区财务管理制度》，明确了具体责任人，完善了固定资产档案，严格报批、销审等手续，做好资产统计工作，单位无任何资产流失现象。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“三公经费”控制情况：贯彻落实上级有关精神，严格控制“三公经费”支出，取得了良好效果。2021年度在“三公经费”中节约开支从严把关，同比上年经费降低。</w:t>
      </w:r>
    </w:p>
    <w:p>
      <w:pPr>
        <w:pStyle w:val="3"/>
        <w:widowControl/>
        <w:spacing w:line="600" w:lineRule="exact"/>
        <w:ind w:right="181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212121"/>
          <w:sz w:val="30"/>
          <w:szCs w:val="30"/>
        </w:rPr>
        <w:t>（三）部门整体支出情况分析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从整体情况来看，我单位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</w:t>
      </w:r>
    </w:p>
    <w:p>
      <w:pPr>
        <w:pStyle w:val="3"/>
        <w:widowControl/>
        <w:spacing w:line="600" w:lineRule="exact"/>
        <w:ind w:right="181"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212121"/>
          <w:sz w:val="30"/>
          <w:szCs w:val="30"/>
        </w:rPr>
        <w:t>（四）绩效评价工作情况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1.绩效评价目的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此次绩效评价的目是：严格落实《预算法》及省、市、区绩效管理工作的有关规定，进一步规范财政资金的管理，强化财政支出绩效理念，提升部门责任意识，提高资金使用效益。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2.绩效评价的主要过程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根据绩效评价的要求，我们成立了自评工作领导小组，对照自评方案进行研究和部署，按照自评方案的要求，对照各实施项目的内容逐条逐项自评。在自评过程发现问题，查找原因，及时纠正偏差，为下一步工作夯实基础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3.部门重点工作计划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2021年区文联工作的总体要求是：紧密团结在以习近平同志为核心的党中央周围，认真学习和深入贯彻落实党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的十九大和习近平新时代文艺思想，围绕中心，服务大局，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面向基层、服务群众,认真履行联络、协调、服务的基本职能，充分发挥组织、引导、服务和维权作用，团结和带领广大文艺工作者,一手抓文艺创作，一手抓服务提升，为推动赫山文艺事业发展和建设和谐社会作出了应有的贡献。</w:t>
      </w:r>
    </w:p>
    <w:p>
      <w:pPr>
        <w:pStyle w:val="3"/>
        <w:shd w:val="clear" w:color="auto" w:fill="FFFFFF"/>
        <w:spacing w:line="600" w:lineRule="exact"/>
        <w:ind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4.评价结论</w:t>
      </w:r>
    </w:p>
    <w:p>
      <w:pPr>
        <w:pStyle w:val="3"/>
        <w:shd w:val="clear" w:color="auto" w:fill="FFFFFF"/>
        <w:spacing w:line="600" w:lineRule="exact"/>
        <w:ind w:firstLine="60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一是预算执行到位。严格执行《预算法》和各项财经纪律，机关管理制度健全，财务管理规范，预算编制合理;二是资金监管到位。经费开支按用途使用合理，做到专账专管,专款专用。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根据《2021年部门整体支出绩效自评指标计分表》评分，得分94分（详见附表），财政支出绩效自评结果为优。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七、存在的问题及原因分析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本单位人员少，经费少，工作任务重，协会没有活动经费，一些重大活动无法开展；在资金使用效益上有待进一步提高。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八、下一步改进措施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仿宋" w:hAnsi="仿宋" w:eastAsia="仿宋" w:cs="仿宋"/>
          <w:color w:val="212121"/>
          <w:sz w:val="30"/>
          <w:szCs w:val="30"/>
        </w:rPr>
      </w:pPr>
      <w:r>
        <w:rPr>
          <w:rFonts w:hint="eastAsia" w:ascii="仿宋" w:hAnsi="仿宋" w:eastAsia="仿宋" w:cs="仿宋"/>
          <w:color w:val="212121"/>
          <w:sz w:val="30"/>
          <w:szCs w:val="30"/>
        </w:rPr>
        <w:t>增加单位人员力量和预算资金投入，更好的为文艺事业作出新的更大贡献。</w:t>
      </w:r>
    </w:p>
    <w:p>
      <w:pPr>
        <w:pStyle w:val="3"/>
        <w:widowControl/>
        <w:spacing w:line="600" w:lineRule="exact"/>
        <w:ind w:right="181" w:firstLine="600" w:firstLineChars="200"/>
        <w:rPr>
          <w:rFonts w:ascii="黑体" w:hAnsi="黑体" w:eastAsia="黑体" w:cs="黑体"/>
          <w:color w:val="212121"/>
          <w:sz w:val="30"/>
          <w:szCs w:val="30"/>
        </w:rPr>
      </w:pPr>
      <w:r>
        <w:rPr>
          <w:rFonts w:hint="eastAsia" w:ascii="黑体" w:hAnsi="黑体" w:eastAsia="黑体" w:cs="黑体"/>
          <w:color w:val="212121"/>
          <w:sz w:val="30"/>
          <w:szCs w:val="30"/>
        </w:rPr>
        <w:t>九、其他需要说明的情况</w:t>
      </w:r>
    </w:p>
    <w:p>
      <w:pPr>
        <w:pStyle w:val="3"/>
        <w:widowControl/>
        <w:spacing w:line="600" w:lineRule="exact"/>
        <w:ind w:right="181" w:firstLine="600" w:firstLineChars="200"/>
      </w:pPr>
      <w:r>
        <w:rPr>
          <w:rFonts w:hint="eastAsia" w:ascii="仿宋" w:hAnsi="仿宋" w:eastAsia="仿宋" w:cs="仿宋"/>
          <w:color w:val="212121"/>
          <w:sz w:val="30"/>
          <w:szCs w:val="30"/>
        </w:rPr>
        <w:t>无</w:t>
      </w:r>
      <w:r>
        <w:rPr>
          <w:rFonts w:hint="eastAsia" w:ascii="仿宋" w:hAnsi="仿宋" w:eastAsia="仿宋" w:cs="仿宋"/>
          <w:color w:val="212121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040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Normal (Web)"/>
    <w:basedOn w:val="1"/>
    <w:unhideWhenUsed/>
    <w:qFormat/>
    <w:uiPriority w:val="0"/>
    <w:pPr>
      <w:jc w:val="left"/>
    </w:pPr>
    <w:rPr>
      <w:rFonts w:ascii="Calibri" w:hAnsi="Calibri" w:eastAsia="宋体" w:cs="Times New Roman"/>
      <w:sz w:val="24"/>
      <w:szCs w:val="24"/>
    </w:rPr>
  </w:style>
  <w:style w:type="paragraph" w:customStyle="1" w:styleId="6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2023-06-17T14:31:46Z</dcterms:created>
  <dc:creator>admin-3</dc:creator>
  <cp:lastModifiedBy>admin-3</cp:lastModifiedBy>
  <dcterms:modified xsi:type="dcterms:W3CDTF">2023-06-17T14:33:23Z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098E8F94AD184DA8BAE3B8E51AE96EE6_12</vt:lpwstr>
  </property>
</Properties>
</file>