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r>
        <w:rPr>
          <w:rFonts w:hint="eastAsia" w:ascii="黑体" w:hAnsi="黑体" w:eastAsia="黑体" w:cs="黑体"/>
          <w:sz w:val="36"/>
          <w:szCs w:val="36"/>
        </w:rPr>
        <w:t>益阳市赫山区科学技术局2021年度部门</w:t>
      </w:r>
    </w:p>
    <w:p>
      <w:pPr>
        <w:spacing w:line="500" w:lineRule="exact"/>
        <w:jc w:val="center"/>
        <w:rPr>
          <w:rFonts w:hint="eastAsia" w:ascii="黑体" w:hAnsi="黑体" w:eastAsia="黑体" w:cs="黑体"/>
          <w:sz w:val="36"/>
          <w:szCs w:val="36"/>
        </w:rPr>
      </w:pPr>
      <w:r>
        <w:rPr>
          <w:rFonts w:hint="eastAsia" w:ascii="黑体" w:hAnsi="黑体" w:eastAsia="黑体" w:cs="黑体"/>
          <w:sz w:val="36"/>
          <w:szCs w:val="36"/>
        </w:rPr>
        <w:t>整体支出</w:t>
      </w:r>
      <w:bookmarkStart w:id="0" w:name="_GoBack"/>
      <w:bookmarkEnd w:id="0"/>
      <w:r>
        <w:rPr>
          <w:rFonts w:hint="eastAsia" w:ascii="黑体" w:hAnsi="黑体" w:eastAsia="黑体" w:cs="黑体"/>
          <w:sz w:val="36"/>
          <w:szCs w:val="36"/>
        </w:rPr>
        <w:t>绩效评价报告</w:t>
      </w:r>
    </w:p>
    <w:p>
      <w:pPr>
        <w:spacing w:line="500" w:lineRule="exact"/>
        <w:jc w:val="center"/>
        <w:rPr>
          <w:rFonts w:eastAsia="方正小标宋_GBK"/>
          <w:sz w:val="32"/>
          <w:szCs w:val="32"/>
        </w:rPr>
      </w:pPr>
    </w:p>
    <w:p>
      <w:pPr>
        <w:pStyle w:val="7"/>
        <w:widowControl/>
        <w:spacing w:line="600" w:lineRule="exact"/>
        <w:ind w:firstLine="600"/>
        <w:rPr>
          <w:rFonts w:hint="eastAsia" w:ascii="黑体" w:hAnsi="黑体" w:eastAsia="黑体" w:cs="黑体"/>
          <w:sz w:val="30"/>
          <w:szCs w:val="30"/>
        </w:rPr>
      </w:pPr>
      <w:r>
        <w:rPr>
          <w:rFonts w:hint="eastAsia" w:ascii="黑体" w:hAnsi="黑体" w:eastAsia="黑体" w:cs="黑体"/>
          <w:sz w:val="30"/>
          <w:szCs w:val="30"/>
        </w:rPr>
        <w:t>一、单位基本情况</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益阳市赫山区科学技术局是区政府工作部门，为正科级单位。根据赫山区编制委员会办公室审核，报区委、区政府批准，我单位机关内设股室3个，分别为办公室、计划技术与成果股、农社发展与人才股；股级公益一类事业单位1个为益阳市赫山区科技信息研究所。区科学技术局核定行政编制6名，区科技信息研究所核定全额拨款事业编制5名，截止到2021年底，实有人数15名，其中行政编制6名，全额事业编制4名，自收自支编制5人，主要职能如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1.贯彻创新驱动发展战略和创新引领开放崛起战略，拟定全区科技发展、引进国外及国内智力规划和政策并组织实施；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2.统筹推进全区创新体系建设和科技体制改革，会同有关部门健全技术创新激励机制；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3.牵头建立统一的区级科技项目管理平台和科研项目资金协调、评估、监管机制；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4.协调区级基础研究和应用基础研究，研究提出重大任务并监督实施；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5.编制区级科技项目计划并监督实施，统筹关键共性技术、前沿引领技术、现代工程技术、颠覆性技术研发和创新，牵头组织重大技术攻关和成果应用示范；</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6.组织拟订高新技术发展及产业化、科技促进农业农村和社会发展的规划、政策和措施；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7.牵头区级技术转移体系，拟订科技成果转移转化和促进产学研结合的相关政策措施并监督实施；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8.统筹区域科技创新体系建设，指导区域创新发展、科技资源合理布局和协同创新能力建设，推动科技园区建设；</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9.负责科技监督评价体系建设和相关科技评估管理，指导科技评价体制改革，统筹科研诚信建设；</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10.拟订科技对外交往和创新能力开发合作的规划、政策和措施，组织开展国际和区域科技合作与科技人才交流；</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11.负责引进国外和国内智力工作；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12.会同有关部门拟定科技人才队伍建设规划和政策，建立健全科技人才评价和激励机制，组织实施科技人才计划，推动高端科技创新人才队伍建设；</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13.负责科学技术奖的推荐工作；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14.完成区委、区政府交办的其他任务。</w:t>
      </w:r>
    </w:p>
    <w:p>
      <w:pPr>
        <w:spacing w:line="6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2021年，</w:t>
      </w:r>
      <w:r>
        <w:rPr>
          <w:rFonts w:hint="eastAsia" w:ascii="仿宋" w:hAnsi="仿宋" w:eastAsia="仿宋" w:cs="仿宋"/>
          <w:sz w:val="30"/>
          <w:szCs w:val="30"/>
        </w:rPr>
        <w:t>在区委区政府的领导下，我单位深刻领会区委经济工作会议精神，</w:t>
      </w:r>
      <w:r>
        <w:rPr>
          <w:rFonts w:hint="eastAsia" w:ascii="仿宋" w:hAnsi="仿宋" w:eastAsia="仿宋" w:cs="仿宋"/>
          <w:kern w:val="0"/>
          <w:sz w:val="30"/>
          <w:szCs w:val="30"/>
        </w:rPr>
        <w:t>以科技创新为高质量发展注入新动能，突出赫山省级创新型区建设和</w:t>
      </w:r>
      <w:r>
        <w:rPr>
          <w:rFonts w:hint="eastAsia" w:ascii="仿宋" w:hAnsi="仿宋" w:eastAsia="仿宋" w:cs="仿宋"/>
          <w:sz w:val="30"/>
          <w:szCs w:val="30"/>
        </w:rPr>
        <w:t>益阳国家农业科技园区核心区建设</w:t>
      </w:r>
      <w:r>
        <w:rPr>
          <w:rFonts w:hint="eastAsia" w:ascii="仿宋" w:hAnsi="仿宋" w:eastAsia="仿宋" w:cs="仿宋"/>
          <w:kern w:val="0"/>
          <w:sz w:val="30"/>
          <w:szCs w:val="30"/>
        </w:rPr>
        <w:t>两大抓手</w:t>
      </w:r>
      <w:r>
        <w:rPr>
          <w:rFonts w:hint="eastAsia" w:ascii="仿宋" w:hAnsi="仿宋" w:eastAsia="仿宋" w:cs="仿宋"/>
          <w:sz w:val="30"/>
          <w:szCs w:val="30"/>
        </w:rPr>
        <w:t>，推进科技工作高质量发展</w:t>
      </w:r>
      <w:r>
        <w:rPr>
          <w:rFonts w:hint="eastAsia" w:ascii="仿宋" w:hAnsi="仿宋" w:eastAsia="仿宋" w:cs="仿宋"/>
          <w:kern w:val="0"/>
          <w:sz w:val="30"/>
          <w:szCs w:val="30"/>
        </w:rPr>
        <w:t>成效明显，</w:t>
      </w:r>
      <w:r>
        <w:rPr>
          <w:rFonts w:hint="eastAsia" w:ascii="仿宋" w:hAnsi="仿宋" w:eastAsia="仿宋" w:cs="仿宋"/>
          <w:sz w:val="30"/>
          <w:szCs w:val="30"/>
        </w:rPr>
        <w:t>获科技部科技人才与科学普及司颁发的2021年度全国科技活动周《荣誉证书》等荣誉，赢</w:t>
      </w:r>
      <w:r>
        <w:rPr>
          <w:rFonts w:hint="eastAsia" w:ascii="仿宋" w:hAnsi="仿宋" w:eastAsia="仿宋" w:cs="仿宋"/>
          <w:kern w:val="0"/>
          <w:sz w:val="30"/>
          <w:szCs w:val="30"/>
        </w:rPr>
        <w:t>得社会广泛认可。</w:t>
      </w:r>
    </w:p>
    <w:p>
      <w:pPr>
        <w:pStyle w:val="7"/>
        <w:widowControl/>
        <w:spacing w:line="600" w:lineRule="exact"/>
        <w:ind w:firstLine="600"/>
        <w:rPr>
          <w:rFonts w:hint="eastAsia" w:ascii="黑体" w:hAnsi="黑体" w:eastAsia="黑体" w:cs="黑体"/>
          <w:sz w:val="30"/>
          <w:szCs w:val="30"/>
        </w:rPr>
      </w:pPr>
      <w:r>
        <w:rPr>
          <w:rFonts w:hint="eastAsia" w:ascii="黑体" w:hAnsi="黑体" w:eastAsia="黑体" w:cs="黑体"/>
          <w:sz w:val="30"/>
          <w:szCs w:val="30"/>
        </w:rPr>
        <w:t>二、一般公共预算支出情况</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2021年度，我单位一般公共预算财政拨款支出决算数634.9万元，其中基本支出246.9万元，项目支出388万元。</w:t>
      </w:r>
    </w:p>
    <w:p>
      <w:pPr>
        <w:pStyle w:val="7"/>
        <w:widowControl/>
        <w:spacing w:line="600" w:lineRule="exact"/>
        <w:ind w:firstLine="602"/>
        <w:rPr>
          <w:rFonts w:hint="eastAsia" w:ascii="仿宋" w:hAnsi="仿宋" w:eastAsia="仿宋" w:cs="仿宋"/>
          <w:b/>
          <w:bCs/>
          <w:sz w:val="30"/>
          <w:szCs w:val="30"/>
        </w:rPr>
      </w:pPr>
      <w:r>
        <w:rPr>
          <w:rFonts w:hint="eastAsia" w:ascii="仿宋" w:hAnsi="仿宋" w:eastAsia="仿宋" w:cs="仿宋"/>
          <w:b/>
          <w:bCs/>
          <w:sz w:val="30"/>
          <w:szCs w:val="30"/>
        </w:rPr>
        <w:t>（一）基本支出情况</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2021年度一般公共预算基本财政拨款基本支出决算数246.9万元，与上年相比下降208.96万，下降比例45.84%，主要原因上年基本支出结转结余较大，当年财政拨款预算下降，基本支出主要使用上年结转结余资金。</w:t>
      </w:r>
    </w:p>
    <w:p>
      <w:pPr>
        <w:pStyle w:val="7"/>
        <w:widowControl/>
        <w:spacing w:line="600" w:lineRule="exact"/>
        <w:ind w:firstLine="602"/>
        <w:rPr>
          <w:rFonts w:hint="eastAsia" w:ascii="仿宋" w:hAnsi="仿宋" w:eastAsia="仿宋" w:cs="仿宋"/>
          <w:b/>
          <w:bCs/>
          <w:sz w:val="30"/>
          <w:szCs w:val="30"/>
        </w:rPr>
      </w:pPr>
      <w:r>
        <w:rPr>
          <w:rFonts w:hint="eastAsia" w:ascii="仿宋" w:hAnsi="仿宋" w:eastAsia="仿宋" w:cs="仿宋"/>
          <w:b/>
          <w:bCs/>
          <w:sz w:val="30"/>
          <w:szCs w:val="30"/>
        </w:rPr>
        <w:t>（二）项目支出情况</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2021年度，我单位一般公共预算财政拨款项目支出决算数388万元，与上年相比上升比例100%，上年无重点项目预算支出安排。主要为2021年度创新型区建设重点平台专项经费120万元，2021年度全区科技创新获奖企业和个人奖励62.5万元，赫山区青少年科技创意大赛经费5万元，2021年度科技成果转移转化专项奖金36.5万元，2021年度省级创新型区科技产业发展专项奖金60万元，2021年农业科技服务示范基地奖励金20万元，21年科技服务平台能力提升项目经费44万元，信息所第一批科技经费20万元，2021年农业科技服务示范基地（10个）补助资金20万元。</w:t>
      </w:r>
    </w:p>
    <w:p>
      <w:pPr>
        <w:pStyle w:val="7"/>
        <w:widowControl/>
        <w:spacing w:line="600" w:lineRule="exact"/>
        <w:ind w:firstLine="600"/>
        <w:rPr>
          <w:rFonts w:hint="eastAsia" w:ascii="黑体" w:hAnsi="黑体" w:eastAsia="黑体" w:cs="黑体"/>
          <w:sz w:val="30"/>
          <w:szCs w:val="30"/>
        </w:rPr>
      </w:pPr>
      <w:r>
        <w:rPr>
          <w:rFonts w:hint="eastAsia" w:ascii="黑体" w:hAnsi="黑体" w:eastAsia="黑体" w:cs="黑体"/>
          <w:sz w:val="30"/>
          <w:szCs w:val="30"/>
        </w:rPr>
        <w:t>三、政府性基金预算支出情况</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我单位2021年度无政府性基金预算支出情况。</w:t>
      </w:r>
    </w:p>
    <w:p>
      <w:pPr>
        <w:pStyle w:val="7"/>
        <w:widowControl/>
        <w:spacing w:line="600" w:lineRule="exact"/>
        <w:ind w:firstLine="600"/>
        <w:rPr>
          <w:rFonts w:hint="eastAsia" w:ascii="黑体" w:hAnsi="黑体" w:eastAsia="黑体" w:cs="黑体"/>
          <w:sz w:val="30"/>
          <w:szCs w:val="30"/>
        </w:rPr>
      </w:pPr>
      <w:r>
        <w:rPr>
          <w:rFonts w:hint="eastAsia" w:ascii="黑体" w:hAnsi="黑体" w:eastAsia="黑体" w:cs="黑体"/>
          <w:sz w:val="30"/>
          <w:szCs w:val="30"/>
        </w:rPr>
        <w:t>四、国有资本经营预算支出情况</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我单位2021年度无国有资本经营预算支出情况。</w:t>
      </w:r>
    </w:p>
    <w:p>
      <w:pPr>
        <w:pStyle w:val="7"/>
        <w:widowControl/>
        <w:spacing w:line="600" w:lineRule="exact"/>
        <w:ind w:firstLine="600"/>
        <w:rPr>
          <w:rFonts w:hint="eastAsia" w:ascii="黑体" w:hAnsi="黑体" w:eastAsia="黑体" w:cs="黑体"/>
          <w:sz w:val="30"/>
          <w:szCs w:val="30"/>
        </w:rPr>
      </w:pPr>
      <w:r>
        <w:rPr>
          <w:rFonts w:hint="eastAsia" w:ascii="黑体" w:hAnsi="黑体" w:eastAsia="黑体" w:cs="黑体"/>
          <w:sz w:val="30"/>
          <w:szCs w:val="30"/>
        </w:rPr>
        <w:t>五、社会保险基金预算支出情况</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我单位2021年度无社会保险基金预算支出情况。</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部门整体支出绩效情况</w:t>
      </w:r>
    </w:p>
    <w:p>
      <w:pPr>
        <w:pStyle w:val="7"/>
        <w:widowControl/>
        <w:spacing w:line="600" w:lineRule="exact"/>
        <w:ind w:firstLine="602"/>
        <w:rPr>
          <w:rFonts w:hint="eastAsia" w:ascii="仿宋" w:hAnsi="仿宋" w:eastAsia="仿宋" w:cs="仿宋"/>
          <w:b/>
          <w:bCs/>
          <w:sz w:val="30"/>
          <w:szCs w:val="30"/>
        </w:rPr>
      </w:pPr>
      <w:r>
        <w:rPr>
          <w:rFonts w:hint="eastAsia" w:ascii="仿宋" w:hAnsi="仿宋" w:eastAsia="仿宋" w:cs="仿宋"/>
          <w:b/>
          <w:bCs/>
          <w:sz w:val="30"/>
          <w:szCs w:val="30"/>
        </w:rPr>
        <w:t>（一）绩效目标及完成情况</w:t>
      </w:r>
    </w:p>
    <w:p>
      <w:pPr>
        <w:pStyle w:val="2"/>
        <w:spacing w:line="600" w:lineRule="exact"/>
        <w:ind w:firstLine="600" w:firstLineChars="200"/>
        <w:rPr>
          <w:rFonts w:ascii="仿宋" w:hAnsi="仿宋" w:eastAsia="仿宋" w:cs="仿宋"/>
          <w:sz w:val="30"/>
          <w:szCs w:val="30"/>
        </w:rPr>
      </w:pPr>
      <w:r>
        <w:rPr>
          <w:rFonts w:ascii="仿宋" w:hAnsi="仿宋" w:eastAsia="仿宋" w:cs="仿宋"/>
          <w:color w:val="212121"/>
          <w:sz w:val="30"/>
          <w:szCs w:val="30"/>
          <w:shd w:val="clear" w:color="auto" w:fill="FFFFFF"/>
        </w:rPr>
        <w:t>2021年，我单位对照各项绩效指标，较好地完成了各项工作。主要从以下几个方面体现：</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1.资产管理情况：2021年度，我单位配置固定资产1.56万元，主要为配置通用设备1.28万元和家具0.28万元，全年资产管理状况良好，未报废固定资产。</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2.三公经费控制情况：严格遵守中央八项规定，本着勤俭节约的作风，严控三公经费，三公经费未增长；</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3.预决算公开情况：</w:t>
      </w:r>
      <w:r>
        <w:rPr>
          <w:rFonts w:hint="eastAsia" w:ascii="仿宋" w:hAnsi="仿宋" w:eastAsia="仿宋" w:cs="仿宋"/>
          <w:color w:val="333333"/>
          <w:sz w:val="30"/>
          <w:szCs w:val="30"/>
          <w:shd w:val="clear" w:color="auto" w:fill="FFFFFF"/>
        </w:rPr>
        <w:t>2021年，按照上级的要求，按时保质地完成了2020年决算和2021年预算工作，并在赫山区门户网站进行了预决算公开。</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4.存量资金管理</w:t>
      </w:r>
      <w:r>
        <w:rPr>
          <w:rFonts w:hint="eastAsia" w:ascii="仿宋" w:hAnsi="仿宋" w:eastAsia="仿宋" w:cs="仿宋"/>
          <w:color w:val="212121"/>
          <w:sz w:val="30"/>
          <w:szCs w:val="30"/>
          <w:shd w:val="clear" w:color="auto" w:fill="FFFFFF"/>
        </w:rPr>
        <w:t>：我单位实行国库集中支付管理，对于超时未使用的存量资金，由财政统一收回。</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5.内部控制情况：内部控制良好，根据工作需要重新调整分工，各方面达到预期绩效目标。</w:t>
      </w:r>
    </w:p>
    <w:p>
      <w:pPr>
        <w:pStyle w:val="4"/>
        <w:spacing w:line="600" w:lineRule="exact"/>
        <w:ind w:left="0" w:leftChars="0" w:firstLine="600"/>
        <w:rPr>
          <w:rFonts w:hint="eastAsia" w:ascii="仿宋" w:hAnsi="仿宋" w:eastAsia="仿宋" w:cs="仿宋"/>
          <w:color w:val="212121"/>
          <w:sz w:val="30"/>
          <w:szCs w:val="30"/>
          <w:shd w:val="clear" w:color="auto" w:fill="FFFFFF"/>
        </w:rPr>
      </w:pPr>
      <w:r>
        <w:rPr>
          <w:rFonts w:hint="eastAsia" w:ascii="仿宋" w:hAnsi="仿宋" w:eastAsia="仿宋" w:cs="仿宋"/>
          <w:sz w:val="30"/>
          <w:szCs w:val="30"/>
        </w:rPr>
        <w:t>6.绩效考核的个性指标</w:t>
      </w:r>
      <w:r>
        <w:rPr>
          <w:rFonts w:hint="eastAsia" w:ascii="仿宋" w:hAnsi="仿宋" w:eastAsia="仿宋" w:cs="仿宋"/>
          <w:color w:val="212121"/>
          <w:sz w:val="30"/>
          <w:szCs w:val="30"/>
          <w:shd w:val="clear" w:color="auto" w:fill="FFFFFF"/>
        </w:rPr>
        <w:t>：全年通过评审批准建立10个农业科技服务示范基地；培育建设1个农业星创天地；完成25个新认定高新技术企业；高新技术产业增加值146.6亿元，占GDP比重32.49%；创新孵化中心入驻科技服务机构2家，为全区企业提供服务；技术合同交易登记额达4.51亿元；通过联点社区、驻村帮扶、科技活动等形式，以“万人治脏”“智慧花开赫山·科技强国惠民”“消费者权利日”“学雷锋”等为主题开展科普活动69场次，做到了被服务企业100%满意。</w:t>
      </w:r>
    </w:p>
    <w:p>
      <w:pPr>
        <w:pStyle w:val="7"/>
        <w:widowControl/>
        <w:spacing w:line="600" w:lineRule="exact"/>
        <w:ind w:firstLine="602"/>
        <w:rPr>
          <w:rFonts w:hint="eastAsia" w:ascii="仿宋" w:hAnsi="仿宋" w:eastAsia="仿宋" w:cs="仿宋"/>
          <w:b/>
          <w:bCs/>
          <w:sz w:val="30"/>
          <w:szCs w:val="30"/>
        </w:rPr>
      </w:pPr>
      <w:r>
        <w:rPr>
          <w:rFonts w:hint="eastAsia" w:ascii="仿宋" w:hAnsi="仿宋" w:eastAsia="仿宋" w:cs="仿宋"/>
          <w:b/>
          <w:bCs/>
          <w:sz w:val="30"/>
          <w:szCs w:val="30"/>
        </w:rPr>
        <w:t>（二）绩效评价工作开展情况</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1.绩效评价目的。进一步规范财政资金管理，牢固树立预算绩效理念，强化部门支出责任，提高财政资金使用效益。</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绩效评价实施过程。根据《益阳市赫山区财政局关于做好2021年度预算绩效自评工作的通知》等相关文件要求，我局成立了以主要负责人为组长，分管领导为副组长，各股室负责人和财务人员为成员的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w:t>
      </w:r>
    </w:p>
    <w:p>
      <w:pPr>
        <w:pStyle w:val="7"/>
        <w:widowControl/>
        <w:spacing w:line="600" w:lineRule="exact"/>
        <w:ind w:firstLine="602"/>
        <w:rPr>
          <w:rFonts w:hint="eastAsia" w:ascii="仿宋" w:hAnsi="仿宋" w:eastAsia="仿宋" w:cs="仿宋"/>
          <w:b/>
          <w:bCs/>
          <w:sz w:val="30"/>
          <w:szCs w:val="30"/>
        </w:rPr>
      </w:pPr>
      <w:r>
        <w:rPr>
          <w:rFonts w:hint="eastAsia" w:ascii="仿宋" w:hAnsi="仿宋" w:eastAsia="仿宋" w:cs="仿宋"/>
          <w:b/>
          <w:bCs/>
          <w:sz w:val="30"/>
          <w:szCs w:val="30"/>
        </w:rPr>
        <w:t>（三）主要绩效及评价结论</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2021年，我单位在区委、区政府的正确领导下，深入贯彻习近平总书记关于科技创新的重要论述和指示批示精神，在危机中守正求新，抢抓机遇，于变局中逆风破浪，勇开新局，全区科技创新工作迈上新台阶。通过对部门整体支出情况的概述和实际支出情况的分析，2021年度我局部门整体支出绩效自评分值为92.5分（详见附件），自评结论为“优”。具体评价如下：</w:t>
      </w:r>
    </w:p>
    <w:p>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1.经济性评价</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预算配置方面：我局2021年“三公经费”预算总额较上年未增加，同时，财政供养人员控制在预算编制以内，从源头严格控制和降低了行政成本。</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预算执行方面：严格落实《预算法》和预算管理相关规定，各项支出按照批准的预算审核列支，严格控制在预算额度内使用，支出的范围和标准符合相关规定。支出主要用于保障单位正常运转、完成日常工作任务。</w:t>
      </w:r>
    </w:p>
    <w:p>
      <w:pPr>
        <w:pStyle w:val="7"/>
        <w:widowControl/>
        <w:spacing w:line="600" w:lineRule="exact"/>
        <w:ind w:firstLine="600"/>
        <w:rPr>
          <w:rFonts w:hint="eastAsia" w:ascii="仿宋" w:hAnsi="仿宋" w:eastAsia="仿宋" w:cs="仿宋"/>
          <w:sz w:val="30"/>
          <w:szCs w:val="30"/>
        </w:rPr>
      </w:pPr>
      <w:r>
        <w:rPr>
          <w:rFonts w:hint="eastAsia" w:ascii="仿宋" w:hAnsi="仿宋" w:eastAsia="仿宋" w:cs="仿宋"/>
          <w:sz w:val="30"/>
          <w:szCs w:val="30"/>
        </w:rPr>
        <w:t>预算管理方面：部门整体支出能有效按照预算基本要求执行，预算支出范围合理，预算支出项目细化，资金使用方向明确，管理合规，且决算工作精细到位，基本体现了部门整体支出情况数据的统筹性和宏观性。</w:t>
      </w:r>
    </w:p>
    <w:p>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资产管理方面：为进一步加强资产的管理，明确具体责任人，完善固定资产档案，严格报批、销审等手续，做好资产统计工作，做到账实相符。</w:t>
      </w:r>
    </w:p>
    <w:p>
      <w:pPr>
        <w:spacing w:line="58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2.效率性评价和有效性评价</w:t>
      </w:r>
    </w:p>
    <w:p>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单位专项经费支出，基本完成了当年度科技计划经费的拨付工作，有效对其实行了监管，确保了专项经费专款专用，充分发挥了科技专项经费的引导作用。对于基本支出也能遵守各项规章制度，人员经费安排基本得当，业务工作与项目经费、人员经费安排配比率良好。</w:t>
      </w:r>
    </w:p>
    <w:p>
      <w:pPr>
        <w:pStyle w:val="7"/>
        <w:widowControl/>
        <w:spacing w:line="580" w:lineRule="exact"/>
        <w:ind w:firstLine="600"/>
        <w:rPr>
          <w:rFonts w:hint="eastAsia" w:ascii="黑体" w:hAnsi="黑体" w:eastAsia="黑体" w:cs="黑体"/>
          <w:sz w:val="30"/>
          <w:szCs w:val="30"/>
        </w:rPr>
      </w:pPr>
      <w:r>
        <w:rPr>
          <w:rFonts w:hint="eastAsia" w:ascii="黑体" w:hAnsi="黑体" w:eastAsia="黑体" w:cs="黑体"/>
          <w:sz w:val="30"/>
          <w:szCs w:val="30"/>
        </w:rPr>
        <w:t>六、存在的问题及原因分析</w:t>
      </w:r>
    </w:p>
    <w:p>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部门整体支出绩效目标需进一步细化。 2021年我单位根据省、市科技创新要求开展业务工作产生的相关经费和本级业务经费未纳入年初财政预算，业务类支出未能根据部门职能及当年度工作规划等进行细化，不利于部门整体支出绩效评价工作的开展。</w:t>
      </w:r>
    </w:p>
    <w:p>
      <w:pPr>
        <w:pStyle w:val="7"/>
        <w:widowControl/>
        <w:spacing w:line="580" w:lineRule="exact"/>
        <w:ind w:firstLine="600"/>
        <w:rPr>
          <w:rFonts w:hint="eastAsia" w:ascii="黑体" w:hAnsi="黑体" w:eastAsia="黑体" w:cs="黑体"/>
          <w:sz w:val="30"/>
          <w:szCs w:val="30"/>
        </w:rPr>
      </w:pPr>
      <w:r>
        <w:rPr>
          <w:rFonts w:hint="eastAsia" w:ascii="黑体" w:hAnsi="黑体" w:eastAsia="黑体" w:cs="黑体"/>
          <w:sz w:val="30"/>
          <w:szCs w:val="30"/>
        </w:rPr>
        <w:t>七、下一步改进措施</w:t>
      </w:r>
    </w:p>
    <w:p>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 在日常预算管理过程中，进一步加强预算支出的审核、跟踪及预算执行情况分析。 </w:t>
      </w:r>
    </w:p>
    <w:p>
      <w:pPr>
        <w:pStyle w:val="7"/>
        <w:widowControl/>
        <w:spacing w:line="580" w:lineRule="exact"/>
        <w:ind w:firstLine="600"/>
        <w:rPr>
          <w:rFonts w:hint="eastAsia" w:ascii="黑体" w:hAnsi="黑体" w:eastAsia="黑体" w:cs="黑体"/>
          <w:sz w:val="30"/>
          <w:szCs w:val="30"/>
        </w:rPr>
      </w:pPr>
      <w:r>
        <w:rPr>
          <w:rFonts w:hint="eastAsia" w:ascii="黑体" w:hAnsi="黑体" w:eastAsia="黑体" w:cs="黑体"/>
          <w:sz w:val="30"/>
          <w:szCs w:val="30"/>
        </w:rPr>
        <w:t>九、其他需要说明的情况</w:t>
      </w:r>
    </w:p>
    <w:p>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我局有五名自收自支人员，因无收费许可，人员经费和日常公用经费压力很大。建议预算支出应根据单位的经费状况，对保障运行的固定支出经费按照实际需求予以保证。</w:t>
      </w:r>
    </w:p>
    <w:p>
      <w:pPr>
        <w:spacing w:line="580" w:lineRule="exact"/>
        <w:ind w:firstLine="600" w:firstLineChars="200"/>
        <w:rPr>
          <w:rFonts w:ascii="仿宋_GB2312" w:eastAsia="仿宋_GB2312" w:cs="仿宋_GB2312"/>
          <w:sz w:val="32"/>
          <w:szCs w:val="32"/>
        </w:rPr>
      </w:pPr>
      <w:r>
        <w:rPr>
          <w:rFonts w:hint="eastAsia" w:ascii="仿宋" w:hAnsi="仿宋" w:eastAsia="仿宋" w:cs="仿宋"/>
          <w:sz w:val="30"/>
          <w:szCs w:val="30"/>
        </w:rPr>
        <w:t>附件：2021年度部门整体支出绩效自评指标计分表</w:t>
      </w:r>
    </w:p>
    <w:p>
      <w:pPr>
        <w:pStyle w:val="2"/>
      </w:pPr>
    </w:p>
    <w:p>
      <w:pPr>
        <w:spacing w:before="156" w:beforeLines="50" w:after="156" w:afterLines="5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5"/>
        <w:tblW w:w="53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1"/>
        <w:gridCol w:w="702"/>
        <w:gridCol w:w="938"/>
        <w:gridCol w:w="747"/>
        <w:gridCol w:w="2977"/>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noWrap w:val="0"/>
            <w:tcMar>
              <w:top w:w="10" w:type="dxa"/>
              <w:left w:w="10" w:type="dxa"/>
              <w:bottom w:w="0" w:type="dxa"/>
              <w:right w:w="10" w:type="dxa"/>
            </w:tcMar>
            <w:vAlign w:val="center"/>
          </w:tcPr>
          <w:p>
            <w:pPr>
              <w:spacing w:line="240" w:lineRule="exact"/>
              <w:jc w:val="center"/>
              <w:rPr>
                <w:rFonts w:hint="eastAsia"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499"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hint="eastAsia" w:ascii="宋体" w:cs="宋体"/>
              </w:rPr>
            </w:pPr>
          </w:p>
          <w:p>
            <w:pPr>
              <w:tabs>
                <w:tab w:val="left" w:pos="2604"/>
              </w:tabs>
              <w:spacing w:line="240" w:lineRule="exact"/>
              <w:ind w:left="105" w:leftChars="50" w:right="105" w:rightChars="50" w:firstLine="96" w:firstLineChars="46"/>
              <w:rPr>
                <w:rFonts w:hint="eastAsia" w:ascii="宋体" w:cs="宋体"/>
              </w:rPr>
            </w:pPr>
          </w:p>
          <w:p>
            <w:pPr>
              <w:tabs>
                <w:tab w:val="left" w:pos="2604"/>
              </w:tabs>
              <w:spacing w:line="240" w:lineRule="exact"/>
              <w:ind w:left="105" w:leftChars="50" w:right="105" w:rightChars="50" w:firstLine="96" w:firstLineChars="46"/>
              <w:rPr>
                <w:rFonts w:hint="eastAsia" w:ascii="宋体" w:cs="宋体"/>
              </w:rPr>
            </w:pPr>
          </w:p>
          <w:p>
            <w:pPr>
              <w:tabs>
                <w:tab w:val="left" w:pos="2604"/>
              </w:tabs>
              <w:spacing w:line="240" w:lineRule="exact"/>
              <w:ind w:left="105" w:leftChars="50" w:right="105" w:rightChars="50" w:firstLine="96" w:firstLineChars="46"/>
              <w:rPr>
                <w:rFonts w:hint="eastAsia"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hint="eastAsia"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hint="eastAsia"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6"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3.5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6"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hint="eastAsia"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hint="eastAsia"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hint="eastAsia"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hint="eastAsia"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hint="eastAsia"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hint="eastAsia"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评价要点：</w:t>
            </w:r>
          </w:p>
          <w:p>
            <w:pPr>
              <w:spacing w:line="240" w:lineRule="exact"/>
              <w:ind w:left="105" w:leftChars="50" w:right="105" w:rightChars="50"/>
              <w:rPr>
                <w:rFonts w:hint="eastAsia" w:ascii="宋体" w:hAnsi="宋体" w:cs="宋体"/>
              </w:rPr>
            </w:pPr>
            <w:r>
              <w:rPr>
                <w:rFonts w:hint="eastAsia" w:ascii="宋体" w:hAnsi="宋体" w:cs="宋体"/>
              </w:rPr>
              <w:t>①资产保存是否完整；</w:t>
            </w:r>
          </w:p>
          <w:p>
            <w:pPr>
              <w:spacing w:line="240" w:lineRule="exact"/>
              <w:ind w:left="105" w:leftChars="50" w:right="105" w:rightChars="50"/>
              <w:rPr>
                <w:rFonts w:hint="eastAsia" w:ascii="宋体" w:hAnsi="宋体" w:cs="宋体"/>
              </w:rPr>
            </w:pPr>
            <w:r>
              <w:rPr>
                <w:rFonts w:hint="eastAsia" w:ascii="宋体" w:hAnsi="宋体" w:cs="宋体"/>
              </w:rPr>
              <w:t>②资产配置是否合理；</w:t>
            </w:r>
          </w:p>
          <w:p>
            <w:pPr>
              <w:spacing w:line="240" w:lineRule="exact"/>
              <w:ind w:left="105" w:leftChars="50" w:right="105" w:rightChars="50"/>
              <w:rPr>
                <w:rFonts w:hint="eastAsia" w:ascii="宋体" w:hAnsi="宋体" w:cs="宋体"/>
              </w:rPr>
            </w:pPr>
            <w:r>
              <w:rPr>
                <w:rFonts w:hint="eastAsia" w:ascii="宋体" w:hAnsi="宋体" w:cs="宋体"/>
              </w:rPr>
              <w:t>③资产处置是否规范；</w:t>
            </w:r>
          </w:p>
          <w:p>
            <w:pPr>
              <w:spacing w:line="240" w:lineRule="exact"/>
              <w:ind w:left="105" w:leftChars="50" w:right="105" w:rightChars="50"/>
              <w:rPr>
                <w:rFonts w:hint="eastAsia"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3.5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firstLine="210" w:firstLineChars="100"/>
              <w:rPr>
                <w:rFonts w:ascii="宋体" w:cs="宋体"/>
              </w:rPr>
            </w:pPr>
            <w:r>
              <w:rPr>
                <w:rFonts w:hint="eastAsia" w:ascii="宋体" w:cs="宋体"/>
              </w:rPr>
              <w:t>7.5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4.5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6"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4.5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6"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6"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499"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tcMar>
              <w:top w:w="10" w:type="dxa"/>
              <w:left w:w="10" w:type="dxa"/>
              <w:bottom w:w="0" w:type="dxa"/>
              <w:right w:w="10" w:type="dxa"/>
            </w:tcMar>
            <w:vAlign w:val="top"/>
          </w:tcPr>
          <w:p>
            <w:pPr>
              <w:tabs>
                <w:tab w:val="left" w:pos="2604"/>
              </w:tabs>
              <w:spacing w:line="240" w:lineRule="exact"/>
              <w:ind w:left="105" w:leftChars="50" w:right="105" w:rightChars="50" w:firstLine="96" w:firstLineChars="46"/>
              <w:rPr>
                <w:rFonts w:hint="eastAsia"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92.5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6"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Style w:val="2"/>
      </w:pPr>
    </w:p>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sectPr>
      <w:pgSz w:w="11906" w:h="16838"/>
      <w:pgMar w:top="1134" w:right="1531" w:bottom="113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77D0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eastAsia"/>
      <w:sz w:val="21"/>
      <w:szCs w:val="24"/>
    </w:rPr>
  </w:style>
  <w:style w:type="paragraph" w:styleId="3">
    <w:name w:val="Body Text Indent"/>
    <w:basedOn w:val="1"/>
    <w:qFormat/>
    <w:uiPriority w:val="0"/>
    <w:pPr>
      <w:spacing w:after="120"/>
      <w:ind w:left="420" w:leftChars="200"/>
    </w:pPr>
  </w:style>
  <w:style w:type="paragraph" w:styleId="4">
    <w:name w:val="Body Text First Indent 2"/>
    <w:basedOn w:val="3"/>
    <w:qFormat/>
    <w:uiPriority w:val="0"/>
    <w:pPr>
      <w:ind w:firstLine="420" w:firstLineChars="200"/>
    </w:pPr>
  </w:style>
  <w:style w:type="paragraph" w:customStyle="1" w:styleId="7">
    <w:name w:val="列出段落2"/>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2023-06-18T02:47:23Z</dcterms:created>
  <dc:creator>admin-3</dc:creator>
  <cp:lastModifiedBy>admin-3</cp:lastModifiedBy>
  <dcterms:modified xsi:type="dcterms:W3CDTF">2023-06-18T02:48:12Z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74823C34D83F402881370131A3D7101C_12</vt:lpwstr>
  </property>
</Properties>
</file>