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600" w:lineRule="exact"/>
        <w:jc w:val="center"/>
        <w:textAlignment w:val="auto"/>
        <w:rPr>
          <w:rFonts w:hint="eastAsia" w:ascii="黑体" w:hAnsi="黑体" w:eastAsia="黑体" w:cs="黑体"/>
          <w:b w:val="0"/>
          <w:bCs w:val="0"/>
          <w:color w:val="auto"/>
          <w:sz w:val="36"/>
          <w:szCs w:val="36"/>
          <w:shd w:val="clear" w:color="auto" w:fill="FFFFFF"/>
        </w:rPr>
      </w:pPr>
      <w:r>
        <w:rPr>
          <w:rFonts w:hint="eastAsia" w:ascii="黑体" w:hAnsi="黑体" w:eastAsia="黑体" w:cs="黑体"/>
          <w:b w:val="0"/>
          <w:bCs w:val="0"/>
          <w:color w:val="auto"/>
          <w:sz w:val="36"/>
          <w:szCs w:val="36"/>
          <w:shd w:val="clear" w:color="auto" w:fill="FFFFFF"/>
          <w:lang w:val="en-US" w:eastAsia="zh-CN"/>
        </w:rPr>
        <w:t>益阳市</w:t>
      </w:r>
      <w:r>
        <w:rPr>
          <w:rFonts w:hint="eastAsia" w:ascii="黑体" w:hAnsi="黑体" w:eastAsia="黑体" w:cs="黑体"/>
          <w:b w:val="0"/>
          <w:bCs w:val="0"/>
          <w:color w:val="auto"/>
          <w:sz w:val="36"/>
          <w:szCs w:val="36"/>
          <w:shd w:val="clear" w:color="auto" w:fill="FFFFFF"/>
          <w:lang w:eastAsia="zh-CN"/>
        </w:rPr>
        <w:t>赫山区委编办20</w:t>
      </w:r>
      <w:r>
        <w:rPr>
          <w:rFonts w:hint="eastAsia" w:ascii="黑体" w:hAnsi="黑体" w:eastAsia="黑体" w:cs="黑体"/>
          <w:b w:val="0"/>
          <w:bCs w:val="0"/>
          <w:color w:val="auto"/>
          <w:sz w:val="36"/>
          <w:szCs w:val="36"/>
          <w:shd w:val="clear" w:color="auto" w:fill="FFFFFF"/>
          <w:lang w:val="en-US" w:eastAsia="zh-CN"/>
        </w:rPr>
        <w:t>21</w:t>
      </w:r>
      <w:r>
        <w:rPr>
          <w:rFonts w:hint="eastAsia" w:ascii="黑体" w:hAnsi="黑体" w:eastAsia="黑体" w:cs="黑体"/>
          <w:b w:val="0"/>
          <w:bCs w:val="0"/>
          <w:color w:val="auto"/>
          <w:sz w:val="36"/>
          <w:szCs w:val="36"/>
          <w:shd w:val="clear" w:color="auto" w:fill="FFFFFF"/>
        </w:rPr>
        <w:t>年度部门</w:t>
      </w:r>
    </w:p>
    <w:p>
      <w:pPr>
        <w:keepNext w:val="0"/>
        <w:keepLines w:val="0"/>
        <w:pageBreakBefore w:val="0"/>
        <w:widowControl/>
        <w:kinsoku/>
        <w:wordWrap/>
        <w:overflowPunct/>
        <w:topLinePunct w:val="0"/>
        <w:bidi w:val="0"/>
        <w:snapToGrid/>
        <w:spacing w:line="600" w:lineRule="exact"/>
        <w:jc w:val="center"/>
        <w:textAlignment w:val="auto"/>
        <w:rPr>
          <w:rFonts w:hint="eastAsia" w:ascii="黑体" w:hAnsi="黑体" w:eastAsia="黑体" w:cs="黑体"/>
          <w:b w:val="0"/>
          <w:bCs w:val="0"/>
          <w:color w:val="auto"/>
          <w:sz w:val="36"/>
          <w:szCs w:val="36"/>
          <w:shd w:val="clear" w:color="auto" w:fill="FFFFFF"/>
          <w:lang w:val="en-US" w:eastAsia="zh-CN"/>
        </w:rPr>
      </w:pPr>
      <w:r>
        <w:rPr>
          <w:rFonts w:hint="eastAsia" w:ascii="黑体" w:hAnsi="黑体" w:eastAsia="黑体" w:cs="黑体"/>
          <w:b w:val="0"/>
          <w:bCs w:val="0"/>
          <w:color w:val="auto"/>
          <w:sz w:val="36"/>
          <w:szCs w:val="36"/>
          <w:shd w:val="clear" w:color="auto" w:fill="FFFFFF"/>
        </w:rPr>
        <w:t>整体支出绩效评价报告</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bookmarkStart w:id="0" w:name="_GoBack"/>
      <w:bookmarkEnd w:id="0"/>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根据</w:t>
      </w:r>
      <w:r>
        <w:rPr>
          <w:rFonts w:hint="eastAsia" w:ascii="仿宋" w:hAnsi="仿宋" w:eastAsia="仿宋" w:cs="仿宋"/>
          <w:sz w:val="30"/>
          <w:szCs w:val="30"/>
          <w:lang w:val="en-US" w:eastAsia="zh-CN"/>
        </w:rPr>
        <w:t>益赫财绩【2022】1号</w:t>
      </w:r>
      <w:r>
        <w:rPr>
          <w:rFonts w:hint="eastAsia" w:ascii="仿宋" w:hAnsi="仿宋" w:eastAsia="仿宋" w:cs="仿宋"/>
          <w:sz w:val="30"/>
          <w:szCs w:val="30"/>
        </w:rPr>
        <w:t>《益阳市赫山区</w:t>
      </w:r>
      <w:r>
        <w:rPr>
          <w:rFonts w:hint="eastAsia" w:ascii="仿宋" w:hAnsi="仿宋" w:eastAsia="仿宋" w:cs="仿宋"/>
          <w:sz w:val="30"/>
          <w:szCs w:val="30"/>
          <w:lang w:val="en-US" w:eastAsia="zh-CN"/>
        </w:rPr>
        <w:t>财政局关于做好2021年度预算绩效自评工作的通知</w:t>
      </w:r>
      <w:r>
        <w:rPr>
          <w:rFonts w:hint="eastAsia" w:ascii="仿宋" w:hAnsi="仿宋" w:eastAsia="仿宋" w:cs="仿宋"/>
          <w:sz w:val="30"/>
          <w:szCs w:val="30"/>
        </w:rPr>
        <w:t>》</w:t>
      </w:r>
      <w:r>
        <w:rPr>
          <w:rFonts w:hint="eastAsia" w:ascii="仿宋" w:hAnsi="仿宋" w:eastAsia="仿宋" w:cs="仿宋"/>
          <w:sz w:val="30"/>
          <w:szCs w:val="30"/>
          <w:lang w:val="en-US" w:eastAsia="zh-CN"/>
        </w:rPr>
        <w:t>文件精神，</w:t>
      </w:r>
      <w:r>
        <w:rPr>
          <w:rFonts w:hint="eastAsia" w:ascii="仿宋" w:hAnsi="仿宋" w:eastAsia="仿宋" w:cs="仿宋"/>
          <w:sz w:val="30"/>
          <w:szCs w:val="30"/>
        </w:rPr>
        <w:t>我</w:t>
      </w:r>
      <w:r>
        <w:rPr>
          <w:rFonts w:hint="eastAsia" w:ascii="仿宋" w:hAnsi="仿宋" w:eastAsia="仿宋" w:cs="仿宋"/>
          <w:sz w:val="30"/>
          <w:szCs w:val="30"/>
          <w:lang w:val="en-US" w:eastAsia="zh-CN"/>
        </w:rPr>
        <w:t>办</w:t>
      </w:r>
      <w:r>
        <w:rPr>
          <w:rFonts w:hint="eastAsia" w:ascii="仿宋" w:hAnsi="仿宋" w:eastAsia="仿宋" w:cs="仿宋"/>
          <w:sz w:val="30"/>
          <w:szCs w:val="30"/>
        </w:rPr>
        <w:t>从预算配置、预算执行、预算管理、职责履行、履职效益等五方面入手，对照《部门整体支出绩效评价指标表》，认真负责、客观公正地开展20</w:t>
      </w:r>
      <w:r>
        <w:rPr>
          <w:rFonts w:hint="eastAsia" w:ascii="仿宋" w:hAnsi="仿宋" w:eastAsia="仿宋" w:cs="仿宋"/>
          <w:sz w:val="30"/>
          <w:szCs w:val="30"/>
          <w:lang w:val="en-US" w:eastAsia="zh-CN"/>
        </w:rPr>
        <w:t>21</w:t>
      </w:r>
      <w:r>
        <w:rPr>
          <w:rFonts w:hint="eastAsia" w:ascii="仿宋" w:hAnsi="仿宋" w:eastAsia="仿宋" w:cs="仿宋"/>
          <w:sz w:val="30"/>
          <w:szCs w:val="30"/>
        </w:rPr>
        <w:t>年度部门整体支出绩效自评工作，现将相关情况报告如下：</w:t>
      </w:r>
    </w:p>
    <w:p>
      <w:pPr>
        <w:pStyle w:val="3"/>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pPr>
      <w:r>
        <w:rPr>
          <w:rFonts w:hint="eastAsia" w:ascii="黑体" w:hAnsi="黑体" w:eastAsia="黑体" w:cs="黑体"/>
          <w:b/>
          <w:bCs/>
          <w:sz w:val="30"/>
          <w:szCs w:val="30"/>
          <w:lang w:val="en-US" w:eastAsia="zh-CN"/>
        </w:rPr>
        <w:t>一、</w:t>
      </w:r>
      <w:r>
        <w:rPr>
          <w:rFonts w:hint="eastAsia" w:ascii="黑体" w:hAnsi="黑体" w:eastAsia="黑体" w:cs="黑体"/>
          <w:b/>
          <w:bCs/>
          <w:sz w:val="30"/>
          <w:szCs w:val="30"/>
        </w:rPr>
        <w:t>部门</w:t>
      </w:r>
      <w:r>
        <w:rPr>
          <w:rFonts w:hint="eastAsia" w:ascii="黑体" w:hAnsi="黑体" w:eastAsia="黑体" w:cs="黑体"/>
          <w:b/>
          <w:bCs/>
          <w:sz w:val="30"/>
          <w:szCs w:val="30"/>
          <w:lang w:val="en-US" w:eastAsia="zh-CN"/>
        </w:rPr>
        <w:t>基本</w:t>
      </w:r>
      <w:r>
        <w:rPr>
          <w:rFonts w:hint="eastAsia" w:ascii="黑体" w:hAnsi="黑体" w:eastAsia="黑体" w:cs="黑体"/>
          <w:b/>
          <w:bCs/>
          <w:sz w:val="30"/>
          <w:szCs w:val="30"/>
        </w:rPr>
        <w:t>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200"/>
        <w:jc w:val="left"/>
        <w:textAlignment w:val="auto"/>
        <w:rPr>
          <w:rFonts w:hint="eastAsia" w:eastAsiaTheme="minorEastAsia"/>
          <w:lang w:val="en-US" w:eastAsia="zh-CN"/>
        </w:rPr>
      </w:pPr>
      <w:r>
        <w:rPr>
          <w:rFonts w:hint="eastAsia" w:ascii="仿宋" w:hAnsi="仿宋" w:eastAsia="仿宋" w:cs="仿宋"/>
          <w:b/>
          <w:bCs/>
          <w:lang w:val="en-US" w:eastAsia="zh-CN"/>
        </w:rPr>
        <w:t>（一）</w:t>
      </w:r>
      <w:r>
        <w:rPr>
          <w:rFonts w:hint="eastAsia" w:ascii="仿宋" w:hAnsi="仿宋" w:eastAsia="仿宋" w:cs="仿宋"/>
          <w:b/>
          <w:bCs/>
          <w:sz w:val="30"/>
          <w:szCs w:val="30"/>
        </w:rPr>
        <w:t>部门职责</w:t>
      </w:r>
    </w:p>
    <w:p>
      <w:pPr>
        <w:keepNext w:val="0"/>
        <w:keepLines w:val="0"/>
        <w:pageBreakBefore w:val="0"/>
        <w:widowControl/>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贯彻执行党和国家行政管理体制改革、机构改革和机构编制管理的方针政策和法律法规；起草相关规范性文件；研究行政管理体制改革有关问题并提出政策建议；拟订全区机构编制管理政策、制度并组织实施。</w:t>
      </w:r>
    </w:p>
    <w:p>
      <w:pPr>
        <w:keepNext w:val="0"/>
        <w:keepLines w:val="0"/>
        <w:pageBreakBefore w:val="0"/>
        <w:widowControl/>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负责全区党政机关，人大、政协、法院、检察院机关，民主党派、人民团体机关机构改革和机构编制管理有关工作；负责全区行政管理体制改革、机构改革和机构编制管理工作。</w:t>
      </w:r>
    </w:p>
    <w:p>
      <w:pPr>
        <w:keepNext w:val="0"/>
        <w:keepLines w:val="0"/>
        <w:pageBreakBefore w:val="0"/>
        <w:widowControl/>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负责全区各级机关和事业单位机构编制总量控制管理；拟订全区行政编制分配、调整方案和事业单位机构编制总量控制方案；负责机构编制实名制管理；会同财政、人力资源社会保障部门健全完善机构编制、人员与财政预算相结合管理机制；强化人员编制结构管理、建立编制使用报批制度，拟定和实施机关事业单位编制使用许可管理办法。</w:t>
      </w:r>
    </w:p>
    <w:p>
      <w:pPr>
        <w:keepNext w:val="0"/>
        <w:keepLines w:val="0"/>
        <w:pageBreakBefore w:val="0"/>
        <w:widowControl/>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拟订区、镇街道机关机构改革方案，经批准后组织实施；审核区直机关主要职责、内设机构和人员编制规定草案。</w:t>
      </w:r>
    </w:p>
    <w:p>
      <w:pPr>
        <w:keepNext w:val="0"/>
        <w:keepLines w:val="0"/>
        <w:pageBreakBefore w:val="0"/>
        <w:widowControl/>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5、</w:t>
      </w:r>
      <w:r>
        <w:rPr>
          <w:rFonts w:hint="eastAsia" w:ascii="仿宋" w:hAnsi="仿宋" w:eastAsia="仿宋" w:cs="仿宋"/>
          <w:sz w:val="30"/>
          <w:szCs w:val="30"/>
        </w:rPr>
        <w:t>审核区直机关机构设置、职责配置、人员编制、领导职数等事项；负责议事协调机构设立或调整的审核工作；协调区直机关各部门之间的职责分工。</w:t>
      </w:r>
    </w:p>
    <w:p>
      <w:pPr>
        <w:keepNext w:val="0"/>
        <w:keepLines w:val="0"/>
        <w:pageBreakBefore w:val="0"/>
        <w:widowControl/>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6、</w:t>
      </w:r>
      <w:r>
        <w:rPr>
          <w:rFonts w:hint="eastAsia" w:ascii="仿宋" w:hAnsi="仿宋" w:eastAsia="仿宋" w:cs="仿宋"/>
          <w:sz w:val="30"/>
          <w:szCs w:val="30"/>
        </w:rPr>
        <w:t>推进全区事业单位管理体制改革，拟订事业单位分类改革政策并组织实施；审核事业单位分类改革方案；审核区直属事业单位和区级机关（单位）所属事业单位机构设置、职责配置、人员编制、领导职数等事项；审核事业单位设立、调整及人员编制增加事项。</w:t>
      </w:r>
    </w:p>
    <w:p>
      <w:pPr>
        <w:keepNext w:val="0"/>
        <w:keepLines w:val="0"/>
        <w:pageBreakBefore w:val="0"/>
        <w:widowControl/>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7、</w:t>
      </w:r>
      <w:r>
        <w:rPr>
          <w:rFonts w:hint="eastAsia" w:ascii="仿宋" w:hAnsi="仿宋" w:eastAsia="仿宋" w:cs="仿宋"/>
          <w:sz w:val="30"/>
          <w:szCs w:val="30"/>
        </w:rPr>
        <w:t>监督检查全区机构编制管理法律法规、政策制度的执行情况和机构改革方案，以及部门“三定”规定的落实情况；建立健全机构编制工作考核评估制度；负责受理违反机构编制管理规定问题的举报，会同有关部门查处机构编制违法违纪行为。</w:t>
      </w:r>
    </w:p>
    <w:p>
      <w:pPr>
        <w:keepNext w:val="0"/>
        <w:keepLines w:val="0"/>
        <w:pageBreakBefore w:val="0"/>
        <w:widowControl/>
        <w:kinsoku/>
        <w:wordWrap/>
        <w:overflowPunct/>
        <w:topLinePunct w:val="0"/>
        <w:autoSpaceDE/>
        <w:autoSpaceDN/>
        <w:bidi w:val="0"/>
        <w:adjustRightInd/>
        <w:snapToGrid/>
        <w:spacing w:line="600" w:lineRule="exact"/>
        <w:ind w:firstLine="600" w:firstLineChars="200"/>
        <w:textAlignment w:val="auto"/>
        <w:rPr>
          <w:rFonts w:hint="eastAsia"/>
        </w:rPr>
      </w:pPr>
      <w:r>
        <w:rPr>
          <w:rFonts w:hint="eastAsia" w:ascii="仿宋" w:hAnsi="仿宋" w:eastAsia="仿宋" w:cs="仿宋"/>
          <w:sz w:val="30"/>
          <w:szCs w:val="30"/>
          <w:lang w:val="en-US" w:eastAsia="zh-CN"/>
        </w:rPr>
        <w:t>8、</w:t>
      </w:r>
      <w:r>
        <w:rPr>
          <w:rFonts w:hint="eastAsia" w:ascii="仿宋" w:hAnsi="仿宋" w:eastAsia="仿宋" w:cs="仿宋"/>
          <w:sz w:val="30"/>
          <w:szCs w:val="30"/>
        </w:rPr>
        <w:t>制定全区事业单位登记管理实施办法并组织实施，依法对全区事业单位进行登记管理；结合事业单位年度报告，对全区事业单位运营状况进行考核，负责全区中文域名注册管理及网站挂标工作。</w:t>
      </w:r>
    </w:p>
    <w:p>
      <w:pPr>
        <w:keepNext w:val="0"/>
        <w:keepLines w:val="0"/>
        <w:pageBreakBefore w:val="0"/>
        <w:widowControl/>
        <w:shd w:val="clear" w:color="auto" w:fill="FFFFFF"/>
        <w:kinsoku/>
        <w:wordWrap/>
        <w:overflowPunct/>
        <w:topLinePunct w:val="0"/>
        <w:bidi w:val="0"/>
        <w:snapToGrid/>
        <w:spacing w:line="600" w:lineRule="exact"/>
        <w:ind w:firstLine="600" w:firstLineChars="200"/>
        <w:textAlignment w:val="auto"/>
        <w:rPr>
          <w:rFonts w:hint="eastAsia" w:ascii="仿宋" w:hAnsi="仿宋" w:eastAsia="仿宋" w:cs="仿宋"/>
          <w:b/>
          <w:bCs/>
          <w:sz w:val="30"/>
          <w:szCs w:val="30"/>
        </w:rPr>
      </w:pPr>
      <w:r>
        <w:rPr>
          <w:rFonts w:hint="eastAsia" w:ascii="仿宋" w:hAnsi="仿宋" w:eastAsia="仿宋" w:cs="仿宋"/>
          <w:b/>
          <w:bCs/>
          <w:color w:val="333333"/>
          <w:kern w:val="0"/>
          <w:sz w:val="30"/>
          <w:szCs w:val="30"/>
        </w:rPr>
        <w:t> </w:t>
      </w:r>
      <w:r>
        <w:rPr>
          <w:rFonts w:hint="eastAsia" w:ascii="仿宋" w:hAnsi="仿宋" w:eastAsia="仿宋" w:cs="仿宋"/>
          <w:b/>
          <w:bCs/>
          <w:sz w:val="30"/>
          <w:szCs w:val="30"/>
        </w:rPr>
        <w:t>（</w:t>
      </w:r>
      <w:r>
        <w:rPr>
          <w:rFonts w:hint="eastAsia" w:ascii="仿宋" w:hAnsi="仿宋" w:eastAsia="仿宋" w:cs="仿宋"/>
          <w:b/>
          <w:bCs/>
          <w:sz w:val="30"/>
          <w:szCs w:val="30"/>
          <w:lang w:val="en-US" w:eastAsia="zh-CN"/>
        </w:rPr>
        <w:t>二</w:t>
      </w:r>
      <w:r>
        <w:rPr>
          <w:rFonts w:hint="eastAsia" w:ascii="仿宋" w:hAnsi="仿宋" w:eastAsia="仿宋" w:cs="仿宋"/>
          <w:b/>
          <w:bCs/>
          <w:sz w:val="30"/>
          <w:szCs w:val="30"/>
        </w:rPr>
        <w:t>）机构设置</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kern w:val="0"/>
          <w:sz w:val="30"/>
          <w:szCs w:val="30"/>
          <w:lang w:val="en-US" w:eastAsia="zh-CN" w:bidi="ar-SA"/>
        </w:rPr>
      </w:pPr>
      <w:r>
        <w:rPr>
          <w:rFonts w:hint="eastAsia" w:ascii="仿宋" w:hAnsi="仿宋" w:eastAsia="仿宋" w:cs="仿宋"/>
          <w:kern w:val="0"/>
          <w:sz w:val="30"/>
          <w:szCs w:val="30"/>
          <w:lang w:val="en-US" w:eastAsia="zh-CN" w:bidi="ar-SA"/>
        </w:rPr>
        <w:t>2021年度，赫山区委编办设有综合股、事业单位登记股、机构编制管理股、实名制管理股、监督检查股等科股室。</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bCs/>
          <w:kern w:val="0"/>
          <w:sz w:val="30"/>
          <w:szCs w:val="30"/>
          <w:lang w:val="en-US" w:eastAsia="zh-CN" w:bidi="ar-SA"/>
        </w:rPr>
      </w:pPr>
      <w:r>
        <w:rPr>
          <w:rFonts w:hint="eastAsia" w:ascii="仿宋" w:hAnsi="仿宋" w:eastAsia="仿宋" w:cs="仿宋"/>
          <w:b/>
          <w:bCs/>
          <w:kern w:val="0"/>
          <w:sz w:val="30"/>
          <w:szCs w:val="30"/>
          <w:lang w:val="en-US" w:eastAsia="zh-CN" w:bidi="ar-SA"/>
        </w:rPr>
        <w:t>（三）人员编制情况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kern w:val="0"/>
          <w:sz w:val="30"/>
          <w:szCs w:val="30"/>
          <w:lang w:val="en-US" w:eastAsia="zh-CN" w:bidi="ar-SA"/>
        </w:rPr>
      </w:pPr>
      <w:r>
        <w:rPr>
          <w:rFonts w:hint="eastAsia" w:ascii="仿宋" w:hAnsi="仿宋" w:eastAsia="仿宋" w:cs="仿宋"/>
          <w:kern w:val="0"/>
          <w:sz w:val="30"/>
          <w:szCs w:val="30"/>
          <w:lang w:val="en-US" w:eastAsia="zh-CN" w:bidi="ar-SA"/>
        </w:rPr>
        <w:t>赫山区委编办核定行政编制数11名，2021年在编在岗11人，退休3人。</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二、一般公共预算支出情况</w:t>
      </w:r>
    </w:p>
    <w:p>
      <w:pPr>
        <w:keepNext w:val="0"/>
        <w:keepLines w:val="0"/>
        <w:pageBreakBefore w:val="0"/>
        <w:widowControl/>
        <w:kinsoku/>
        <w:wordWrap/>
        <w:overflowPunct/>
        <w:topLinePunct w:val="0"/>
        <w:bidi w:val="0"/>
        <w:snapToGrid/>
        <w:spacing w:line="60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2021年一般公共预算财政拨款收入</w:t>
      </w:r>
      <w:r>
        <w:rPr>
          <w:rFonts w:hint="eastAsia" w:ascii="仿宋" w:hAnsi="仿宋" w:eastAsia="仿宋" w:cs="仿宋"/>
          <w:sz w:val="30"/>
          <w:szCs w:val="30"/>
          <w:lang w:val="en-US" w:eastAsia="zh-CN"/>
        </w:rPr>
        <w:t>124.94</w:t>
      </w:r>
      <w:r>
        <w:rPr>
          <w:rFonts w:hint="eastAsia" w:ascii="仿宋" w:hAnsi="仿宋" w:eastAsia="仿宋" w:cs="仿宋"/>
          <w:sz w:val="30"/>
          <w:szCs w:val="30"/>
        </w:rPr>
        <w:t>万元，</w:t>
      </w:r>
      <w:r>
        <w:rPr>
          <w:rFonts w:hint="eastAsia" w:ascii="仿宋" w:hAnsi="仿宋" w:eastAsia="仿宋" w:cs="仿宋"/>
          <w:sz w:val="30"/>
          <w:szCs w:val="30"/>
          <w:lang w:eastAsia="zh-CN"/>
        </w:rPr>
        <w:t>上年结余</w:t>
      </w:r>
      <w:r>
        <w:rPr>
          <w:rFonts w:hint="eastAsia" w:ascii="仿宋" w:hAnsi="仿宋" w:eastAsia="仿宋" w:cs="仿宋"/>
          <w:sz w:val="30"/>
          <w:szCs w:val="30"/>
          <w:lang w:val="en-US" w:eastAsia="zh-CN"/>
        </w:rPr>
        <w:t>29.29万元，</w:t>
      </w:r>
      <w:r>
        <w:rPr>
          <w:rFonts w:hint="eastAsia" w:ascii="仿宋" w:hAnsi="仿宋" w:eastAsia="仿宋" w:cs="仿宋"/>
          <w:sz w:val="30"/>
          <w:szCs w:val="30"/>
        </w:rPr>
        <w:t>具体安排情况如下：</w:t>
      </w:r>
    </w:p>
    <w:p>
      <w:pPr>
        <w:keepNext w:val="0"/>
        <w:keepLines w:val="0"/>
        <w:pageBreakBefore w:val="0"/>
        <w:widowControl/>
        <w:kinsoku/>
        <w:wordWrap/>
        <w:overflowPunct/>
        <w:topLinePunct w:val="0"/>
        <w:bidi w:val="0"/>
        <w:snapToGrid/>
        <w:spacing w:line="60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b/>
          <w:bCs/>
          <w:sz w:val="30"/>
          <w:szCs w:val="30"/>
        </w:rPr>
        <w:t>（一）基本支出：</w:t>
      </w:r>
      <w:r>
        <w:rPr>
          <w:rFonts w:hint="eastAsia" w:ascii="仿宋" w:hAnsi="仿宋" w:eastAsia="仿宋" w:cs="仿宋"/>
          <w:sz w:val="30"/>
          <w:szCs w:val="30"/>
        </w:rPr>
        <w:t>2021年</w:t>
      </w:r>
      <w:r>
        <w:rPr>
          <w:rFonts w:hint="eastAsia" w:ascii="仿宋" w:hAnsi="仿宋" w:eastAsia="仿宋" w:cs="仿宋"/>
          <w:sz w:val="30"/>
          <w:szCs w:val="30"/>
          <w:lang w:eastAsia="zh-CN"/>
        </w:rPr>
        <w:t>末决算数</w:t>
      </w:r>
      <w:r>
        <w:rPr>
          <w:rFonts w:hint="eastAsia" w:ascii="仿宋" w:hAnsi="仿宋" w:eastAsia="仿宋" w:cs="仿宋"/>
          <w:sz w:val="30"/>
          <w:szCs w:val="30"/>
        </w:rPr>
        <w:t>为</w:t>
      </w:r>
      <w:r>
        <w:rPr>
          <w:rFonts w:hint="eastAsia" w:ascii="仿宋" w:hAnsi="仿宋" w:eastAsia="仿宋" w:cs="仿宋"/>
          <w:color w:val="000000"/>
          <w:kern w:val="0"/>
          <w:sz w:val="30"/>
          <w:szCs w:val="30"/>
          <w:lang w:val="en-US" w:eastAsia="zh-CN" w:bidi="ar-SA"/>
        </w:rPr>
        <w:t>154.23</w:t>
      </w:r>
      <w:r>
        <w:rPr>
          <w:rFonts w:hint="eastAsia" w:ascii="仿宋" w:hAnsi="仿宋" w:eastAsia="仿宋" w:cs="仿宋"/>
          <w:sz w:val="30"/>
          <w:szCs w:val="30"/>
        </w:rPr>
        <w:t>万元，主要用于基本工资、津贴补贴等人员经费以及办公费、印刷费、水电费、办公设备购置等日常公用经费</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与上年相比增加0.33万元，增加0.21%，基本持平</w:t>
      </w:r>
      <w:r>
        <w:rPr>
          <w:rFonts w:hint="eastAsia" w:ascii="仿宋" w:hAnsi="仿宋" w:eastAsia="仿宋" w:cs="仿宋"/>
          <w:sz w:val="30"/>
          <w:szCs w:val="30"/>
        </w:rPr>
        <w:t>。</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b/>
          <w:bCs/>
          <w:sz w:val="30"/>
          <w:szCs w:val="30"/>
        </w:rPr>
        <w:t>（二）项目支出：</w:t>
      </w:r>
      <w:r>
        <w:rPr>
          <w:rFonts w:hint="eastAsia" w:ascii="仿宋" w:hAnsi="仿宋" w:eastAsia="仿宋" w:cs="仿宋"/>
          <w:sz w:val="30"/>
          <w:szCs w:val="30"/>
        </w:rPr>
        <w:t>2021年</w:t>
      </w:r>
      <w:r>
        <w:rPr>
          <w:rFonts w:hint="eastAsia" w:ascii="仿宋" w:hAnsi="仿宋" w:eastAsia="仿宋" w:cs="仿宋"/>
          <w:sz w:val="30"/>
          <w:szCs w:val="30"/>
          <w:lang w:eastAsia="zh-CN"/>
        </w:rPr>
        <w:t>无项目支出，与上年相比无变化。</w:t>
      </w:r>
    </w:p>
    <w:p>
      <w:pPr>
        <w:keepNext w:val="0"/>
        <w:keepLines w:val="0"/>
        <w:pageBreakBefore w:val="0"/>
        <w:kinsoku/>
        <w:wordWrap/>
        <w:overflowPunct/>
        <w:topLinePunct w:val="0"/>
        <w:bidi w:val="0"/>
        <w:snapToGrid/>
        <w:spacing w:line="600" w:lineRule="exact"/>
        <w:ind w:firstLine="600" w:firstLineChars="200"/>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三、政府性基金预算支出情况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kern w:val="0"/>
          <w:sz w:val="30"/>
          <w:szCs w:val="30"/>
          <w:lang w:val="en-US" w:eastAsia="zh-CN" w:bidi="ar-SA"/>
        </w:rPr>
      </w:pPr>
      <w:r>
        <w:rPr>
          <w:rFonts w:hint="eastAsia" w:ascii="仿宋" w:hAnsi="仿宋" w:eastAsia="仿宋" w:cs="仿宋"/>
          <w:sz w:val="30"/>
          <w:szCs w:val="30"/>
        </w:rPr>
        <w:t>2021年本</w:t>
      </w:r>
      <w:r>
        <w:rPr>
          <w:rFonts w:hint="eastAsia" w:ascii="仿宋" w:hAnsi="仿宋" w:eastAsia="仿宋" w:cs="仿宋"/>
          <w:sz w:val="30"/>
          <w:szCs w:val="30"/>
          <w:lang w:val="en-US" w:eastAsia="zh-CN"/>
        </w:rPr>
        <w:t>部门</w:t>
      </w:r>
      <w:r>
        <w:rPr>
          <w:rFonts w:hint="eastAsia" w:ascii="仿宋" w:hAnsi="仿宋" w:eastAsia="仿宋" w:cs="仿宋"/>
          <w:sz w:val="30"/>
          <w:szCs w:val="30"/>
        </w:rPr>
        <w:t>无政府性基金预算支出</w:t>
      </w:r>
    </w:p>
    <w:p>
      <w:pPr>
        <w:keepNext w:val="0"/>
        <w:keepLines w:val="0"/>
        <w:pageBreakBefore w:val="0"/>
        <w:kinsoku/>
        <w:wordWrap/>
        <w:overflowPunct/>
        <w:topLinePunct w:val="0"/>
        <w:bidi w:val="0"/>
        <w:snapToGrid/>
        <w:spacing w:line="600" w:lineRule="exact"/>
        <w:ind w:firstLine="600" w:firstLineChars="200"/>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四、国有资本经营预算支出情况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kern w:val="0"/>
          <w:sz w:val="30"/>
          <w:szCs w:val="30"/>
          <w:lang w:val="en-US" w:eastAsia="zh-CN" w:bidi="ar-SA"/>
        </w:rPr>
      </w:pPr>
      <w:r>
        <w:rPr>
          <w:rFonts w:hint="eastAsia" w:ascii="仿宋" w:hAnsi="仿宋" w:eastAsia="仿宋" w:cs="仿宋"/>
          <w:sz w:val="30"/>
          <w:szCs w:val="30"/>
        </w:rPr>
        <w:t>2021年本</w:t>
      </w:r>
      <w:r>
        <w:rPr>
          <w:rFonts w:hint="eastAsia" w:ascii="仿宋" w:hAnsi="仿宋" w:eastAsia="仿宋" w:cs="仿宋"/>
          <w:sz w:val="30"/>
          <w:szCs w:val="30"/>
          <w:lang w:val="en-US" w:eastAsia="zh-CN"/>
        </w:rPr>
        <w:t>部门</w:t>
      </w:r>
      <w:r>
        <w:rPr>
          <w:rFonts w:hint="eastAsia" w:ascii="仿宋" w:hAnsi="仿宋" w:eastAsia="仿宋" w:cs="仿宋"/>
          <w:sz w:val="30"/>
          <w:szCs w:val="30"/>
        </w:rPr>
        <w:t>无</w:t>
      </w:r>
      <w:r>
        <w:rPr>
          <w:rFonts w:hint="eastAsia" w:ascii="仿宋" w:hAnsi="仿宋" w:eastAsia="仿宋" w:cs="仿宋"/>
          <w:kern w:val="0"/>
          <w:sz w:val="30"/>
          <w:szCs w:val="30"/>
          <w:lang w:val="en-US" w:eastAsia="zh-CN" w:bidi="ar-SA"/>
        </w:rPr>
        <w:t>国有资本经营</w:t>
      </w:r>
      <w:r>
        <w:rPr>
          <w:rFonts w:hint="eastAsia" w:ascii="仿宋" w:hAnsi="仿宋" w:eastAsia="仿宋" w:cs="仿宋"/>
          <w:sz w:val="30"/>
          <w:szCs w:val="30"/>
        </w:rPr>
        <w:t>预算支出</w:t>
      </w:r>
    </w:p>
    <w:p>
      <w:pPr>
        <w:keepNext w:val="0"/>
        <w:keepLines w:val="0"/>
        <w:pageBreakBefore w:val="0"/>
        <w:kinsoku/>
        <w:wordWrap/>
        <w:overflowPunct/>
        <w:topLinePunct w:val="0"/>
        <w:bidi w:val="0"/>
        <w:snapToGrid/>
        <w:spacing w:line="600" w:lineRule="exact"/>
        <w:ind w:firstLine="600" w:firstLineChars="200"/>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五、社会保险基金预算支出情况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kern w:val="0"/>
          <w:sz w:val="30"/>
          <w:szCs w:val="30"/>
          <w:lang w:val="en-US" w:eastAsia="zh-CN" w:bidi="ar-SA"/>
        </w:rPr>
      </w:pPr>
      <w:r>
        <w:rPr>
          <w:rFonts w:hint="eastAsia" w:ascii="仿宋" w:hAnsi="仿宋" w:eastAsia="仿宋" w:cs="仿宋"/>
          <w:sz w:val="30"/>
          <w:szCs w:val="30"/>
        </w:rPr>
        <w:t>2021年本</w:t>
      </w:r>
      <w:r>
        <w:rPr>
          <w:rFonts w:hint="eastAsia" w:ascii="仿宋" w:hAnsi="仿宋" w:eastAsia="仿宋" w:cs="仿宋"/>
          <w:sz w:val="30"/>
          <w:szCs w:val="30"/>
          <w:lang w:val="en-US" w:eastAsia="zh-CN"/>
        </w:rPr>
        <w:t>部门</w:t>
      </w:r>
      <w:r>
        <w:rPr>
          <w:rFonts w:hint="eastAsia" w:ascii="仿宋" w:hAnsi="仿宋" w:eastAsia="仿宋" w:cs="仿宋"/>
          <w:sz w:val="30"/>
          <w:szCs w:val="30"/>
        </w:rPr>
        <w:t>无</w:t>
      </w:r>
      <w:r>
        <w:rPr>
          <w:rFonts w:hint="eastAsia" w:ascii="仿宋" w:hAnsi="仿宋" w:eastAsia="仿宋" w:cs="仿宋"/>
          <w:sz w:val="30"/>
          <w:szCs w:val="30"/>
          <w:lang w:val="en-US" w:eastAsia="zh-CN"/>
        </w:rPr>
        <w:t>社会保险</w:t>
      </w:r>
      <w:r>
        <w:rPr>
          <w:rFonts w:hint="eastAsia" w:ascii="仿宋" w:hAnsi="仿宋" w:eastAsia="仿宋" w:cs="仿宋"/>
          <w:kern w:val="0"/>
          <w:sz w:val="30"/>
          <w:szCs w:val="30"/>
          <w:lang w:val="en-US" w:eastAsia="zh-CN" w:bidi="ar-SA"/>
        </w:rPr>
        <w:t>经营</w:t>
      </w:r>
      <w:r>
        <w:rPr>
          <w:rFonts w:hint="eastAsia" w:ascii="仿宋" w:hAnsi="仿宋" w:eastAsia="仿宋" w:cs="仿宋"/>
          <w:sz w:val="30"/>
          <w:szCs w:val="30"/>
        </w:rPr>
        <w:t>预算支出</w:t>
      </w:r>
      <w:r>
        <w:rPr>
          <w:rFonts w:hint="eastAsia" w:ascii="仿宋" w:hAnsi="仿宋" w:eastAsia="仿宋" w:cs="仿宋"/>
          <w:sz w:val="30"/>
          <w:szCs w:val="30"/>
          <w:lang w:eastAsia="zh-CN"/>
        </w:rPr>
        <w:t>。</w:t>
      </w:r>
    </w:p>
    <w:p>
      <w:pPr>
        <w:keepNext w:val="0"/>
        <w:keepLines w:val="0"/>
        <w:pageBreakBefore w:val="0"/>
        <w:kinsoku/>
        <w:wordWrap/>
        <w:overflowPunct/>
        <w:topLinePunct w:val="0"/>
        <w:bidi w:val="0"/>
        <w:snapToGrid/>
        <w:spacing w:line="600" w:lineRule="exact"/>
        <w:ind w:firstLine="600" w:firstLineChars="200"/>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六、部门整体支出绩效情况</w:t>
      </w:r>
    </w:p>
    <w:p>
      <w:pPr>
        <w:keepNext w:val="0"/>
        <w:keepLines w:val="0"/>
        <w:pageBreakBefore w:val="0"/>
        <w:widowControl/>
        <w:kinsoku/>
        <w:wordWrap/>
        <w:overflowPunct/>
        <w:topLinePunct w:val="0"/>
        <w:bidi w:val="0"/>
        <w:snapToGrid/>
        <w:spacing w:line="600" w:lineRule="exact"/>
        <w:ind w:firstLine="600"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一</w:t>
      </w: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预算绩效目标情况</w:t>
      </w:r>
    </w:p>
    <w:p>
      <w:pPr>
        <w:keepNext w:val="0"/>
        <w:keepLines w:val="0"/>
        <w:pageBreakBefore w:val="0"/>
        <w:widowControl/>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2021年</w:t>
      </w:r>
      <w:r>
        <w:rPr>
          <w:rFonts w:hint="eastAsia" w:ascii="仿宋" w:hAnsi="仿宋" w:eastAsia="仿宋" w:cs="仿宋"/>
          <w:sz w:val="30"/>
          <w:szCs w:val="30"/>
          <w:lang w:eastAsia="zh-CN"/>
        </w:rPr>
        <w:t>区委编办</w:t>
      </w:r>
      <w:r>
        <w:rPr>
          <w:rFonts w:hint="eastAsia" w:ascii="仿宋" w:hAnsi="仿宋" w:eastAsia="仿宋" w:cs="仿宋"/>
          <w:sz w:val="30"/>
          <w:szCs w:val="30"/>
        </w:rPr>
        <w:t>整体支出绩效目标</w:t>
      </w:r>
      <w:r>
        <w:rPr>
          <w:rFonts w:hint="eastAsia" w:ascii="仿宋" w:hAnsi="仿宋" w:eastAsia="仿宋" w:cs="仿宋"/>
          <w:color w:val="000000"/>
          <w:kern w:val="0"/>
          <w:sz w:val="30"/>
          <w:szCs w:val="30"/>
          <w:lang w:val="en-US" w:eastAsia="zh-CN" w:bidi="ar-SA"/>
        </w:rPr>
        <w:t>156.71</w:t>
      </w:r>
      <w:r>
        <w:rPr>
          <w:rFonts w:hint="eastAsia" w:ascii="仿宋" w:hAnsi="仿宋" w:eastAsia="仿宋" w:cs="仿宋"/>
          <w:sz w:val="30"/>
          <w:szCs w:val="30"/>
        </w:rPr>
        <w:t>万元，其中：基本支出</w:t>
      </w:r>
      <w:r>
        <w:rPr>
          <w:rFonts w:hint="eastAsia" w:ascii="仿宋" w:hAnsi="仿宋" w:eastAsia="仿宋" w:cs="仿宋"/>
          <w:color w:val="000000"/>
          <w:kern w:val="0"/>
          <w:sz w:val="30"/>
          <w:szCs w:val="30"/>
          <w:lang w:val="en-US" w:eastAsia="zh-CN" w:bidi="ar-SA"/>
        </w:rPr>
        <w:t>156.71</w:t>
      </w:r>
      <w:r>
        <w:rPr>
          <w:rFonts w:hint="eastAsia" w:ascii="仿宋" w:hAnsi="仿宋" w:eastAsia="仿宋" w:cs="仿宋"/>
          <w:sz w:val="30"/>
          <w:szCs w:val="30"/>
        </w:rPr>
        <w:t>万元，项目支出</w:t>
      </w:r>
      <w:r>
        <w:rPr>
          <w:rFonts w:hint="eastAsia" w:ascii="仿宋" w:hAnsi="仿宋" w:eastAsia="仿宋" w:cs="仿宋"/>
          <w:sz w:val="30"/>
          <w:szCs w:val="30"/>
          <w:lang w:val="en-US" w:eastAsia="zh-CN"/>
        </w:rPr>
        <w:t>0</w:t>
      </w:r>
      <w:r>
        <w:rPr>
          <w:rFonts w:hint="eastAsia" w:ascii="仿宋" w:hAnsi="仿宋" w:eastAsia="仿宋" w:cs="仿宋"/>
          <w:sz w:val="30"/>
          <w:szCs w:val="30"/>
        </w:rPr>
        <w:t xml:space="preserve">万元。全部实行整体绩效目标管理，涉及一般公共预算当年拨款 </w:t>
      </w:r>
      <w:r>
        <w:rPr>
          <w:rFonts w:hint="eastAsia" w:ascii="仿宋" w:hAnsi="仿宋" w:eastAsia="仿宋" w:cs="仿宋"/>
          <w:sz w:val="30"/>
          <w:szCs w:val="30"/>
          <w:lang w:val="en-US" w:eastAsia="zh-CN"/>
        </w:rPr>
        <w:t>154.23</w:t>
      </w:r>
      <w:r>
        <w:rPr>
          <w:rFonts w:hint="eastAsia" w:ascii="仿宋" w:hAnsi="仿宋" w:eastAsia="仿宋" w:cs="仿宋"/>
          <w:sz w:val="30"/>
          <w:szCs w:val="30"/>
        </w:rPr>
        <w:t>万元。</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bCs/>
          <w:kern w:val="0"/>
          <w:sz w:val="30"/>
          <w:szCs w:val="30"/>
          <w:lang w:val="en-US" w:eastAsia="zh-CN" w:bidi="ar-SA"/>
        </w:rPr>
      </w:pPr>
      <w:r>
        <w:rPr>
          <w:rFonts w:hint="eastAsia" w:ascii="仿宋" w:hAnsi="仿宋" w:eastAsia="仿宋" w:cs="仿宋"/>
          <w:b/>
          <w:bCs/>
          <w:kern w:val="0"/>
          <w:sz w:val="30"/>
          <w:szCs w:val="30"/>
          <w:lang w:val="en-US" w:eastAsia="zh-CN" w:bidi="ar-SA"/>
        </w:rPr>
        <w:t>（二）部门整体支出绩效目标完成情况</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kern w:val="0"/>
          <w:sz w:val="30"/>
          <w:szCs w:val="30"/>
          <w:lang w:val="en-US" w:eastAsia="zh-CN" w:bidi="ar-SA"/>
        </w:rPr>
      </w:pPr>
      <w:r>
        <w:rPr>
          <w:rFonts w:hint="eastAsia" w:ascii="仿宋" w:hAnsi="仿宋" w:eastAsia="仿宋" w:cs="仿宋"/>
          <w:kern w:val="0"/>
          <w:sz w:val="30"/>
          <w:szCs w:val="30"/>
          <w:lang w:val="en-US" w:eastAsia="zh-CN" w:bidi="ar-SA"/>
        </w:rPr>
        <w:t>预决算公开：根据区财政局的统一部署及相关要求，我办已在赫山信息网站上进行了预（决）算公开。</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kern w:val="0"/>
          <w:sz w:val="30"/>
          <w:szCs w:val="30"/>
          <w:lang w:val="en-US" w:eastAsia="zh-CN" w:bidi="ar-SA"/>
        </w:rPr>
      </w:pPr>
      <w:r>
        <w:rPr>
          <w:rFonts w:hint="eastAsia" w:ascii="仿宋" w:hAnsi="仿宋" w:eastAsia="仿宋" w:cs="仿宋"/>
          <w:kern w:val="0"/>
          <w:sz w:val="30"/>
          <w:szCs w:val="30"/>
          <w:lang w:val="en-US" w:eastAsia="zh-CN" w:bidi="ar-SA"/>
        </w:rPr>
        <w:t>存量资金管理：我办已实行国库集中支付管理。</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kern w:val="0"/>
          <w:sz w:val="30"/>
          <w:szCs w:val="30"/>
          <w:lang w:val="en-US" w:eastAsia="zh-CN" w:bidi="ar-SA"/>
        </w:rPr>
      </w:pPr>
      <w:r>
        <w:rPr>
          <w:rFonts w:hint="eastAsia" w:ascii="仿宋" w:hAnsi="仿宋" w:eastAsia="仿宋" w:cs="仿宋"/>
          <w:kern w:val="0"/>
          <w:sz w:val="30"/>
          <w:szCs w:val="30"/>
          <w:lang w:val="en-US" w:eastAsia="zh-CN" w:bidi="ar-SA"/>
        </w:rPr>
        <w:t>制定了《赫山区委机构编制委员会办公室资产管理制度》，建立了固定资产台帐，指定专人管理，及时登记，科学使用，实现了“一物一卡一条码”。固定资产的调出、处置、报废、报损严格执行国家有关规定的审批程序办理。</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kern w:val="0"/>
          <w:sz w:val="30"/>
          <w:szCs w:val="30"/>
          <w:lang w:val="en-US" w:eastAsia="zh-CN" w:bidi="ar-SA"/>
        </w:rPr>
      </w:pPr>
      <w:r>
        <w:rPr>
          <w:rFonts w:hint="eastAsia" w:ascii="仿宋" w:hAnsi="仿宋" w:eastAsia="仿宋" w:cs="仿宋"/>
          <w:kern w:val="0"/>
          <w:sz w:val="30"/>
          <w:szCs w:val="30"/>
          <w:lang w:val="en-US" w:eastAsia="zh-CN" w:bidi="ar-SA"/>
        </w:rPr>
        <w:t>“三公”经费控制：2021年，我办“三公”经费支出3.8万元，其中：无公务用车运行维护费，公务接待费3.8万元，无出国出境费。</w:t>
      </w:r>
    </w:p>
    <w:p>
      <w:pPr>
        <w:pStyle w:val="3"/>
        <w:keepNext w:val="0"/>
        <w:keepLines w:val="0"/>
        <w:pageBreakBefore w:val="0"/>
        <w:widowControl w:val="0"/>
        <w:kinsoku/>
        <w:wordWrap/>
        <w:overflowPunct/>
        <w:topLinePunct w:val="0"/>
        <w:bidi w:val="0"/>
        <w:snapToGrid/>
        <w:spacing w:before="0" w:beforeAutospacing="0" w:after="0" w:afterAutospacing="0" w:line="600" w:lineRule="exact"/>
        <w:ind w:firstLine="600" w:firstLineChars="200"/>
        <w:jc w:val="both"/>
        <w:textAlignment w:val="auto"/>
        <w:rPr>
          <w:rFonts w:hint="eastAsia" w:ascii="仿宋" w:hAnsi="仿宋" w:eastAsia="仿宋" w:cs="仿宋"/>
          <w:kern w:val="0"/>
          <w:sz w:val="30"/>
          <w:szCs w:val="30"/>
          <w:lang w:val="en-US" w:eastAsia="zh-CN" w:bidi="ar-SA"/>
        </w:rPr>
      </w:pPr>
      <w:r>
        <w:rPr>
          <w:rFonts w:hint="eastAsia" w:ascii="仿宋" w:hAnsi="仿宋" w:eastAsia="仿宋" w:cs="仿宋"/>
          <w:kern w:val="0"/>
          <w:sz w:val="30"/>
          <w:szCs w:val="30"/>
          <w:lang w:val="en-US" w:eastAsia="zh-CN" w:bidi="ar-SA"/>
        </w:rPr>
        <w:t>内部控制制度建设：完善了《赫山区机构编制委员会办公室机关管理制度》《财务管理制度》《赫山区机构编制委员会办公室物资采购制度》《赫山区机构编制委员会办公室资产管理制度》《机关管理制度》等一系列内部控制制度，相关制度合法合规、完整，并得到有效执行。</w:t>
      </w:r>
    </w:p>
    <w:p>
      <w:pPr>
        <w:pStyle w:val="3"/>
        <w:keepNext w:val="0"/>
        <w:keepLines w:val="0"/>
        <w:pageBreakBefore w:val="0"/>
        <w:widowControl w:val="0"/>
        <w:kinsoku/>
        <w:wordWrap/>
        <w:overflowPunct/>
        <w:topLinePunct w:val="0"/>
        <w:bidi w:val="0"/>
        <w:snapToGrid/>
        <w:spacing w:before="0" w:beforeAutospacing="0" w:after="0" w:afterAutospacing="0" w:line="600" w:lineRule="exact"/>
        <w:ind w:firstLine="600" w:firstLineChars="200"/>
        <w:jc w:val="both"/>
        <w:textAlignment w:val="auto"/>
        <w:rPr>
          <w:rFonts w:hint="eastAsia" w:ascii="仿宋" w:hAnsi="仿宋" w:eastAsia="仿宋" w:cs="仿宋"/>
          <w:kern w:val="0"/>
          <w:sz w:val="30"/>
          <w:szCs w:val="30"/>
          <w:lang w:val="en-US" w:eastAsia="zh-CN" w:bidi="ar-SA"/>
        </w:rPr>
      </w:pPr>
      <w:r>
        <w:rPr>
          <w:rFonts w:hint="eastAsia" w:ascii="仿宋" w:hAnsi="仿宋" w:eastAsia="仿宋" w:cs="仿宋"/>
          <w:kern w:val="0"/>
          <w:sz w:val="30"/>
          <w:szCs w:val="30"/>
          <w:lang w:val="en-US" w:eastAsia="zh-CN" w:bidi="ar-SA"/>
        </w:rPr>
        <w:t>绩效目标完成情况：1、坚持党的领导，把牢政治方向。2、调整体制机构，巩固改革成果。3、优化编制管理，服务发展大局。4、加强监督检查，强化刚性约束。5、规范事登管理，优化服务流程。6、对标对表要求，确保整改实效。7、加强自身建设，提高队伍素质。</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bCs/>
          <w:color w:val="000000"/>
          <w:kern w:val="0"/>
          <w:sz w:val="30"/>
          <w:szCs w:val="30"/>
        </w:rPr>
      </w:pPr>
      <w:r>
        <w:rPr>
          <w:rFonts w:hint="eastAsia" w:ascii="仿宋" w:hAnsi="仿宋" w:eastAsia="仿宋" w:cs="仿宋"/>
          <w:b/>
          <w:bCs/>
          <w:color w:val="000000"/>
          <w:kern w:val="0"/>
          <w:sz w:val="30"/>
          <w:szCs w:val="30"/>
        </w:rPr>
        <w:t>（</w:t>
      </w:r>
      <w:r>
        <w:rPr>
          <w:rFonts w:hint="eastAsia" w:ascii="仿宋" w:hAnsi="仿宋" w:eastAsia="仿宋" w:cs="仿宋"/>
          <w:b/>
          <w:bCs/>
          <w:color w:val="000000"/>
          <w:kern w:val="0"/>
          <w:sz w:val="30"/>
          <w:szCs w:val="30"/>
          <w:lang w:val="en-US" w:eastAsia="zh-CN"/>
        </w:rPr>
        <w:t>三</w:t>
      </w:r>
      <w:r>
        <w:rPr>
          <w:rFonts w:hint="eastAsia" w:ascii="仿宋" w:hAnsi="仿宋" w:eastAsia="仿宋" w:cs="仿宋"/>
          <w:b/>
          <w:bCs/>
          <w:color w:val="000000"/>
          <w:kern w:val="0"/>
          <w:sz w:val="30"/>
          <w:szCs w:val="30"/>
        </w:rPr>
        <w:t>）部门整体支出实施情况分析</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rPr>
        <w:t>我</w:t>
      </w:r>
      <w:r>
        <w:rPr>
          <w:rFonts w:hint="eastAsia" w:ascii="仿宋" w:hAnsi="仿宋" w:eastAsia="仿宋" w:cs="仿宋"/>
          <w:color w:val="000000"/>
          <w:kern w:val="0"/>
          <w:sz w:val="30"/>
          <w:szCs w:val="30"/>
          <w:lang w:val="en-US" w:eastAsia="zh-CN"/>
        </w:rPr>
        <w:t>办</w:t>
      </w:r>
      <w:r>
        <w:rPr>
          <w:rFonts w:hint="eastAsia" w:ascii="仿宋" w:hAnsi="仿宋" w:eastAsia="仿宋" w:cs="仿宋"/>
          <w:color w:val="000000"/>
          <w:kern w:val="0"/>
          <w:sz w:val="30"/>
          <w:szCs w:val="30"/>
        </w:rPr>
        <w:t>在部门整体支出中，严格按照年初预算安排，</w:t>
      </w:r>
      <w:r>
        <w:rPr>
          <w:rFonts w:hint="eastAsia" w:ascii="仿宋" w:hAnsi="仿宋" w:eastAsia="仿宋" w:cs="仿宋"/>
          <w:b w:val="0"/>
          <w:i w:val="0"/>
          <w:caps w:val="0"/>
          <w:color w:val="000000"/>
          <w:spacing w:val="0"/>
          <w:sz w:val="30"/>
          <w:szCs w:val="30"/>
          <w:highlight w:val="none"/>
          <w:shd w:val="clear" w:color="auto" w:fill="FFFFFF"/>
          <w:lang w:val="en-US" w:eastAsia="zh-CN"/>
        </w:rPr>
        <w:t>坚持“无预算，不支出；有预算，严格按预算支出”的原则，以及“细化预算和提前编制预算”原则，</w:t>
      </w:r>
      <w:r>
        <w:rPr>
          <w:rFonts w:hint="eastAsia" w:ascii="仿宋" w:hAnsi="仿宋" w:eastAsia="仿宋" w:cs="仿宋"/>
          <w:color w:val="000000"/>
          <w:kern w:val="0"/>
          <w:sz w:val="30"/>
          <w:szCs w:val="30"/>
        </w:rPr>
        <w:t>严格遵守资金管理制度，强化监督，专款专用，确保各项资金及时到位，无截留、挪用等现象。健全和完善管理制度，加强基本支出管理。严格审批程序，严格执行国家规定的开支范围及开支标准，量入为出，坚持联</w:t>
      </w:r>
      <w:r>
        <w:rPr>
          <w:rFonts w:hint="eastAsia" w:ascii="仿宋" w:hAnsi="仿宋" w:eastAsia="仿宋" w:cs="仿宋"/>
          <w:color w:val="000000"/>
          <w:kern w:val="0"/>
          <w:sz w:val="30"/>
          <w:szCs w:val="30"/>
          <w:lang w:val="en-US" w:eastAsia="zh-CN"/>
        </w:rPr>
        <w:t>审</w:t>
      </w:r>
      <w:r>
        <w:rPr>
          <w:rFonts w:hint="eastAsia" w:ascii="仿宋" w:hAnsi="仿宋" w:eastAsia="仿宋" w:cs="仿宋"/>
          <w:color w:val="000000"/>
          <w:kern w:val="0"/>
          <w:sz w:val="30"/>
          <w:szCs w:val="30"/>
        </w:rPr>
        <w:t>会</w:t>
      </w:r>
      <w:r>
        <w:rPr>
          <w:rFonts w:hint="eastAsia" w:ascii="仿宋" w:hAnsi="仿宋" w:eastAsia="仿宋" w:cs="仿宋"/>
          <w:color w:val="000000"/>
          <w:kern w:val="0"/>
          <w:sz w:val="30"/>
          <w:szCs w:val="30"/>
          <w:lang w:val="en-US" w:eastAsia="zh-CN"/>
        </w:rPr>
        <w:t>签</w:t>
      </w:r>
      <w:r>
        <w:rPr>
          <w:rFonts w:hint="eastAsia" w:ascii="仿宋" w:hAnsi="仿宋" w:eastAsia="仿宋" w:cs="仿宋"/>
          <w:color w:val="000000"/>
          <w:kern w:val="0"/>
          <w:sz w:val="30"/>
          <w:szCs w:val="30"/>
        </w:rPr>
        <w:t>制度。严格报账程序，实行国库集中支付制度，严格完善相关资料手续、审核审批程序，保证了各项资金使用的合理合规，充分发挥了各项资金的</w:t>
      </w:r>
      <w:r>
        <w:rPr>
          <w:rFonts w:hint="eastAsia" w:ascii="仿宋" w:hAnsi="仿宋" w:eastAsia="仿宋" w:cs="仿宋"/>
          <w:color w:val="000000"/>
          <w:kern w:val="0"/>
          <w:sz w:val="30"/>
          <w:szCs w:val="30"/>
          <w:lang w:val="en-US" w:eastAsia="zh-CN"/>
        </w:rPr>
        <w:t>使用</w:t>
      </w:r>
      <w:r>
        <w:rPr>
          <w:rFonts w:hint="eastAsia" w:ascii="仿宋" w:hAnsi="仿宋" w:eastAsia="仿宋" w:cs="仿宋"/>
          <w:color w:val="000000"/>
          <w:kern w:val="0"/>
          <w:sz w:val="30"/>
          <w:szCs w:val="30"/>
        </w:rPr>
        <w:t>效益。</w:t>
      </w:r>
      <w:r>
        <w:rPr>
          <w:rFonts w:hint="eastAsia" w:ascii="仿宋" w:hAnsi="仿宋" w:eastAsia="仿宋" w:cs="仿宋"/>
          <w:color w:val="000000"/>
          <w:kern w:val="0"/>
          <w:sz w:val="30"/>
          <w:szCs w:val="30"/>
          <w:lang w:val="en-US" w:eastAsia="zh-CN"/>
        </w:rPr>
        <w:t xml:space="preserve">  </w:t>
      </w:r>
    </w:p>
    <w:p>
      <w:pPr>
        <w:keepNext w:val="0"/>
        <w:keepLines w:val="0"/>
        <w:pageBreakBefore w:val="0"/>
        <w:widowControl/>
        <w:kinsoku/>
        <w:wordWrap/>
        <w:overflowPunct/>
        <w:topLinePunct w:val="0"/>
        <w:bidi w:val="0"/>
        <w:snapToGrid/>
        <w:spacing w:line="600" w:lineRule="exact"/>
        <w:ind w:firstLine="600"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四</w:t>
      </w:r>
      <w:r>
        <w:rPr>
          <w:rFonts w:hint="eastAsia" w:ascii="仿宋" w:hAnsi="仿宋" w:eastAsia="仿宋" w:cs="仿宋"/>
          <w:b/>
          <w:bCs/>
          <w:sz w:val="30"/>
          <w:szCs w:val="30"/>
          <w:lang w:eastAsia="zh-CN"/>
        </w:rPr>
        <w:t>）绩效评价工作情况</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1.</w:t>
      </w:r>
      <w:r>
        <w:rPr>
          <w:rFonts w:hint="eastAsia" w:ascii="仿宋" w:hAnsi="仿宋" w:eastAsia="仿宋" w:cs="仿宋"/>
          <w:color w:val="000000"/>
          <w:kern w:val="0"/>
          <w:sz w:val="30"/>
          <w:szCs w:val="30"/>
        </w:rPr>
        <w:t>绩效评价目的</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本次绩效评价的目的是为了全面分析和综合评价我</w:t>
      </w:r>
      <w:r>
        <w:rPr>
          <w:rFonts w:hint="eastAsia" w:ascii="仿宋" w:hAnsi="仿宋" w:eastAsia="仿宋" w:cs="仿宋"/>
          <w:color w:val="000000"/>
          <w:kern w:val="0"/>
          <w:sz w:val="30"/>
          <w:szCs w:val="30"/>
          <w:lang w:val="en-US" w:eastAsia="zh-CN"/>
        </w:rPr>
        <w:t>办</w:t>
      </w:r>
      <w:r>
        <w:rPr>
          <w:rFonts w:hint="eastAsia" w:ascii="仿宋" w:hAnsi="仿宋" w:eastAsia="仿宋" w:cs="仿宋"/>
          <w:color w:val="000000"/>
          <w:kern w:val="0"/>
          <w:sz w:val="30"/>
          <w:szCs w:val="30"/>
        </w:rPr>
        <w:t>本级财政预算资金的使用管理情况，为切实提高财政资金使用效益，强化预算支出的责任和效率提供参考依据。</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2.</w:t>
      </w:r>
      <w:r>
        <w:rPr>
          <w:rFonts w:hint="eastAsia" w:ascii="仿宋" w:hAnsi="仿宋" w:eastAsia="仿宋" w:cs="仿宋"/>
          <w:color w:val="000000"/>
          <w:kern w:val="0"/>
          <w:sz w:val="30"/>
          <w:szCs w:val="30"/>
        </w:rPr>
        <w:t>绩效评价工作过程</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lang w:val="en-US" w:eastAsia="zh-CN"/>
        </w:rPr>
        <w:t>1</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rPr>
        <w:t>前期准备。按照绩效自评工作要求，成立以</w:t>
      </w:r>
      <w:r>
        <w:rPr>
          <w:rFonts w:hint="eastAsia" w:ascii="仿宋" w:hAnsi="仿宋" w:eastAsia="仿宋" w:cs="仿宋"/>
          <w:color w:val="000000"/>
          <w:kern w:val="0"/>
          <w:sz w:val="30"/>
          <w:szCs w:val="30"/>
          <w:lang w:val="en-US" w:eastAsia="zh-CN"/>
        </w:rPr>
        <w:t>编办主任肖立华</w:t>
      </w:r>
      <w:r>
        <w:rPr>
          <w:rFonts w:hint="eastAsia" w:ascii="仿宋" w:hAnsi="仿宋" w:eastAsia="仿宋" w:cs="仿宋"/>
          <w:color w:val="000000"/>
          <w:kern w:val="0"/>
          <w:sz w:val="30"/>
          <w:szCs w:val="30"/>
        </w:rPr>
        <w:t>为组长的绩效评价工作小组，对相关的国家法律法规进行了认真学习，掌握政策，根据部门整体收支情况制定了部门整体支出绩效评价实施方案。</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lang w:val="en-US" w:eastAsia="zh-CN"/>
        </w:rPr>
        <w:t>2</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rPr>
        <w:t>组织实施。采用核查法核查20</w:t>
      </w:r>
      <w:r>
        <w:rPr>
          <w:rFonts w:hint="eastAsia" w:ascii="仿宋" w:hAnsi="仿宋" w:eastAsia="仿宋" w:cs="仿宋"/>
          <w:color w:val="000000"/>
          <w:kern w:val="0"/>
          <w:sz w:val="30"/>
          <w:szCs w:val="30"/>
          <w:lang w:val="en-US" w:eastAsia="zh-CN"/>
        </w:rPr>
        <w:t>21</w:t>
      </w:r>
      <w:r>
        <w:rPr>
          <w:rFonts w:hint="eastAsia" w:ascii="仿宋" w:hAnsi="仿宋" w:eastAsia="仿宋" w:cs="仿宋"/>
          <w:color w:val="000000"/>
          <w:kern w:val="0"/>
          <w:sz w:val="30"/>
          <w:szCs w:val="30"/>
        </w:rPr>
        <w:t>年同级财政预算批复执行及部门整体支出情况，着重核查了“三公”经费及资产管理、内部控制制度等情况。</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lang w:val="en-US" w:eastAsia="zh-CN"/>
        </w:rPr>
        <w:t>3</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rPr>
        <w:t>分析评价。对评价过程中收集资料进行归纳，汇总分析，依据设定的部门整体支出绩效评价指标体系进行了评分，形成了综合性书面报告。</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bCs/>
          <w:color w:val="000000"/>
          <w:kern w:val="0"/>
          <w:sz w:val="30"/>
          <w:szCs w:val="30"/>
        </w:rPr>
      </w:pPr>
      <w:r>
        <w:rPr>
          <w:rFonts w:hint="eastAsia" w:ascii="仿宋" w:hAnsi="仿宋" w:eastAsia="仿宋" w:cs="仿宋"/>
          <w:b/>
          <w:bCs/>
          <w:color w:val="000000"/>
          <w:kern w:val="0"/>
          <w:sz w:val="30"/>
          <w:szCs w:val="30"/>
          <w:lang w:val="en-US" w:eastAsia="zh-CN"/>
        </w:rPr>
        <w:t>（五）</w:t>
      </w:r>
      <w:r>
        <w:rPr>
          <w:rFonts w:hint="eastAsia" w:ascii="仿宋" w:hAnsi="仿宋" w:eastAsia="仿宋" w:cs="仿宋"/>
          <w:b/>
          <w:bCs/>
          <w:color w:val="000000"/>
          <w:kern w:val="0"/>
          <w:sz w:val="30"/>
          <w:szCs w:val="30"/>
        </w:rPr>
        <w:t>主要绩效及评价结论</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1.</w:t>
      </w:r>
      <w:r>
        <w:rPr>
          <w:rFonts w:hint="eastAsia" w:ascii="仿宋" w:hAnsi="仿宋" w:eastAsia="仿宋" w:cs="仿宋"/>
          <w:color w:val="000000"/>
          <w:kern w:val="0"/>
          <w:sz w:val="30"/>
          <w:szCs w:val="30"/>
        </w:rPr>
        <w:t>经济性分析</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lang w:val="en-US" w:eastAsia="zh-CN"/>
        </w:rPr>
        <w:t>1</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rPr>
        <w:t>本年预算配置控制较好。财政供养人员控制在预算编制以内，编制内在职人员控制率为100%；“三公”经费支出总额小，低于年初预算。</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lang w:val="en-US" w:eastAsia="zh-CN"/>
        </w:rPr>
        <w:t>2</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rPr>
        <w:t>预算执行方面。支出总额控制在预算总额以内，所有支出严格依照相关财务管理规定执行，特别重视量财办事、量力而行，严格控制标准、注重节约，少花钱办好事，各项支出都在合理范围内。</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lang w:val="en-US" w:eastAsia="zh-CN"/>
        </w:rPr>
        <w:t>3</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rPr>
        <w:t>预算管理方面。我</w:t>
      </w:r>
      <w:r>
        <w:rPr>
          <w:rFonts w:hint="eastAsia" w:ascii="仿宋" w:hAnsi="仿宋" w:eastAsia="仿宋" w:cs="仿宋"/>
          <w:color w:val="000000"/>
          <w:kern w:val="0"/>
          <w:sz w:val="30"/>
          <w:szCs w:val="30"/>
          <w:lang w:val="en-US" w:eastAsia="zh-CN"/>
        </w:rPr>
        <w:t>办</w:t>
      </w:r>
      <w:r>
        <w:rPr>
          <w:rFonts w:hint="eastAsia" w:ascii="仿宋" w:hAnsi="仿宋" w:eastAsia="仿宋" w:cs="仿宋"/>
          <w:color w:val="000000"/>
          <w:kern w:val="0"/>
          <w:sz w:val="30"/>
          <w:szCs w:val="30"/>
        </w:rPr>
        <w:t>制定了切实有效的内部管理制度和经费支出控制方案，有较强的内控风险管理意识、各项经费支出得到了有效控制。</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2.</w:t>
      </w:r>
      <w:r>
        <w:rPr>
          <w:rFonts w:hint="eastAsia" w:ascii="仿宋" w:hAnsi="仿宋" w:eastAsia="仿宋" w:cs="仿宋"/>
          <w:color w:val="000000"/>
          <w:kern w:val="0"/>
          <w:sz w:val="30"/>
          <w:szCs w:val="30"/>
        </w:rPr>
        <w:t>效率性分析</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2021年，在区委、区政府的正确领导和市委编办的具体指导下，区委编办坚持以习近平新时代中国特色社会主义思想为引领，以《中国共产党机构编制工作条例》为遵循，着力加强机构编制管理，不断强化部门自身建设，积极适应改革发展新常态，为全区经济社会高质量发展有力提供了体制机制保障</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3.</w:t>
      </w:r>
      <w:r>
        <w:rPr>
          <w:rFonts w:hint="eastAsia" w:ascii="仿宋" w:hAnsi="仿宋" w:eastAsia="仿宋" w:cs="仿宋"/>
          <w:color w:val="000000"/>
          <w:kern w:val="0"/>
          <w:sz w:val="30"/>
          <w:szCs w:val="30"/>
        </w:rPr>
        <w:t>效益性分析</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以学习党的十九届五中、六中全会精神、习近平总书记在湖南考察时的重要讲话精神和对机构编制工作的重要论述为首要政治任务，以贯彻《中国共产党机构编制工作条例》为指针，以服务区委政府大局工作为目标，始终坚持党管机构编制原则，始终把牢新时代机构编制工作的政治方向，自觉服从组织部门归口管理，主动向党委、编委和组织部门请示汇报工作，切实将“两个维护”落实到机构编制工作全过程、各方面，切实做到从体制机制上为区委中心工作提供服务保障。</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4.</w:t>
      </w:r>
      <w:r>
        <w:rPr>
          <w:rFonts w:hint="eastAsia" w:ascii="仿宋" w:hAnsi="仿宋" w:eastAsia="仿宋" w:cs="仿宋"/>
          <w:color w:val="000000"/>
          <w:kern w:val="0"/>
          <w:sz w:val="30"/>
          <w:szCs w:val="30"/>
        </w:rPr>
        <w:t>评价结论</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一是预算执行到位。严格执行《预算法》和各项财经纪律，机关管理制度健全，财务管理规范，预算编制合理;</w:t>
      </w:r>
      <w:r>
        <w:rPr>
          <w:rFonts w:hint="eastAsia" w:ascii="仿宋" w:hAnsi="仿宋" w:eastAsia="仿宋" w:cs="仿宋"/>
          <w:color w:val="000000"/>
          <w:kern w:val="0"/>
          <w:sz w:val="30"/>
          <w:szCs w:val="30"/>
          <w:lang w:val="en-US" w:eastAsia="zh-CN"/>
        </w:rPr>
        <w:t xml:space="preserve"> </w:t>
      </w:r>
      <w:r>
        <w:rPr>
          <w:rFonts w:hint="eastAsia" w:ascii="仿宋" w:hAnsi="仿宋" w:eastAsia="仿宋" w:cs="仿宋"/>
          <w:color w:val="000000"/>
          <w:kern w:val="0"/>
          <w:sz w:val="30"/>
          <w:szCs w:val="30"/>
        </w:rPr>
        <w:t>二是资金监管到位。</w:t>
      </w:r>
    </w:p>
    <w:p>
      <w:pPr>
        <w:keepNext w:val="0"/>
        <w:keepLines w:val="0"/>
        <w:pageBreakBefore w:val="0"/>
        <w:kinsoku/>
        <w:wordWrap/>
        <w:overflowPunct/>
        <w:topLinePunct w:val="0"/>
        <w:bidi w:val="0"/>
        <w:snapToGrid/>
        <w:spacing w:line="600" w:lineRule="exact"/>
        <w:ind w:firstLine="600" w:firstLineChars="200"/>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七、存在的问题及原因分析</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因部分工作不可预见</w:t>
      </w:r>
      <w:r>
        <w:rPr>
          <w:rFonts w:hint="eastAsia" w:ascii="仿宋" w:hAnsi="仿宋" w:eastAsia="仿宋" w:cs="仿宋"/>
          <w:color w:val="000000"/>
          <w:kern w:val="0"/>
          <w:sz w:val="30"/>
          <w:szCs w:val="30"/>
          <w:lang w:val="en-US" w:eastAsia="zh-CN"/>
        </w:rPr>
        <w:t>性，有些支出</w:t>
      </w:r>
      <w:r>
        <w:rPr>
          <w:rFonts w:hint="eastAsia" w:ascii="仿宋" w:hAnsi="仿宋" w:eastAsia="仿宋" w:cs="仿宋"/>
          <w:color w:val="000000"/>
          <w:kern w:val="0"/>
          <w:sz w:val="30"/>
          <w:szCs w:val="30"/>
        </w:rPr>
        <w:t>无法纳入预算，导致预算执行存在偏差。</w:t>
      </w:r>
    </w:p>
    <w:p>
      <w:pPr>
        <w:keepNext w:val="0"/>
        <w:keepLines w:val="0"/>
        <w:pageBreakBefore w:val="0"/>
        <w:kinsoku/>
        <w:wordWrap/>
        <w:overflowPunct/>
        <w:topLinePunct w:val="0"/>
        <w:bidi w:val="0"/>
        <w:snapToGrid/>
        <w:spacing w:line="600" w:lineRule="exact"/>
        <w:ind w:firstLine="600" w:firstLineChars="200"/>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八、下一步改进措施</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bCs/>
          <w:color w:val="000000"/>
          <w:kern w:val="0"/>
          <w:sz w:val="30"/>
          <w:szCs w:val="30"/>
          <w:lang w:val="en-US" w:eastAsia="zh-CN"/>
        </w:rPr>
      </w:pPr>
      <w:r>
        <w:rPr>
          <w:rFonts w:hint="eastAsia" w:ascii="仿宋" w:hAnsi="仿宋" w:eastAsia="仿宋" w:cs="仿宋"/>
          <w:b/>
          <w:bCs/>
          <w:color w:val="000000"/>
          <w:kern w:val="0"/>
          <w:sz w:val="30"/>
          <w:szCs w:val="30"/>
          <w:lang w:val="en-US" w:eastAsia="zh-CN"/>
        </w:rPr>
        <w:t>提高认识，突出重点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1．提高对预算绩效管理的认识，充分理解财政绩效评价指标体系，注重绩效目标、评价指标的关联性，依据部门职责和年度工作重点，更加科学合理地确定部门绩效目标和评价目标。</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val="en-US" w:eastAsia="zh-CN"/>
        </w:rPr>
        <w:t>2．强化全过程预算绩效管理理念，强化部门项目选择与部门职责的相关性。按财政管理要求进一步建立完善项目库和内部项目选择机制，完善项目管理制度，实施项目事加强领导</w:t>
      </w:r>
      <w:r>
        <w:rPr>
          <w:rFonts w:hint="eastAsia" w:ascii="仿宋" w:hAnsi="仿宋" w:eastAsia="仿宋" w:cs="仿宋"/>
          <w:color w:val="000000"/>
          <w:kern w:val="0"/>
          <w:sz w:val="30"/>
          <w:szCs w:val="30"/>
        </w:rPr>
        <w:t>重视</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lang w:val="en-US" w:eastAsia="zh-CN"/>
        </w:rPr>
        <w:t>合理设定</w:t>
      </w:r>
      <w:r>
        <w:rPr>
          <w:rFonts w:hint="eastAsia" w:ascii="仿宋" w:hAnsi="仿宋" w:eastAsia="仿宋" w:cs="仿宋"/>
          <w:color w:val="000000"/>
          <w:kern w:val="0"/>
          <w:sz w:val="30"/>
          <w:szCs w:val="30"/>
        </w:rPr>
        <w:t>绩效目标</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lang w:val="en-US" w:eastAsia="zh-CN"/>
        </w:rPr>
        <w:t>强化</w:t>
      </w:r>
      <w:r>
        <w:rPr>
          <w:rFonts w:hint="eastAsia" w:ascii="仿宋" w:hAnsi="仿宋" w:eastAsia="仿宋" w:cs="仿宋"/>
          <w:color w:val="000000"/>
          <w:kern w:val="0"/>
          <w:sz w:val="30"/>
          <w:szCs w:val="30"/>
        </w:rPr>
        <w:t>管理措施</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lang w:val="en-US" w:eastAsia="zh-CN"/>
        </w:rPr>
        <w:t>科学编制</w:t>
      </w:r>
      <w:r>
        <w:rPr>
          <w:rFonts w:hint="eastAsia" w:ascii="仿宋" w:hAnsi="仿宋" w:eastAsia="仿宋" w:cs="仿宋"/>
          <w:color w:val="000000"/>
          <w:kern w:val="0"/>
          <w:sz w:val="30"/>
          <w:szCs w:val="30"/>
        </w:rPr>
        <w:t>预算,</w:t>
      </w:r>
      <w:r>
        <w:rPr>
          <w:rFonts w:hint="eastAsia" w:ascii="仿宋" w:hAnsi="仿宋" w:eastAsia="仿宋" w:cs="仿宋"/>
          <w:color w:val="000000"/>
          <w:kern w:val="0"/>
          <w:sz w:val="30"/>
          <w:szCs w:val="30"/>
          <w:lang w:val="en-US" w:eastAsia="zh-CN"/>
        </w:rPr>
        <w:t>认真组织</w:t>
      </w:r>
      <w:r>
        <w:rPr>
          <w:rFonts w:hint="eastAsia" w:ascii="仿宋" w:hAnsi="仿宋" w:eastAsia="仿宋" w:cs="仿宋"/>
          <w:color w:val="000000"/>
          <w:kern w:val="0"/>
          <w:sz w:val="30"/>
          <w:szCs w:val="30"/>
        </w:rPr>
        <w:t>绩效考评</w:t>
      </w:r>
      <w:r>
        <w:rPr>
          <w:rFonts w:hint="eastAsia" w:ascii="仿宋" w:hAnsi="仿宋" w:eastAsia="仿宋" w:cs="仿宋"/>
          <w:color w:val="000000"/>
          <w:kern w:val="0"/>
          <w:sz w:val="30"/>
          <w:szCs w:val="30"/>
          <w:lang w:eastAsia="zh-CN"/>
        </w:rPr>
        <w:t>。</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lang w:val="en-US" w:eastAsia="zh-CN"/>
        </w:rPr>
      </w:pPr>
      <w:r>
        <w:rPr>
          <w:rFonts w:hint="eastAsia" w:ascii="仿宋" w:hAnsi="仿宋" w:eastAsia="仿宋" w:cs="仿宋"/>
          <w:b/>
          <w:bCs/>
          <w:color w:val="000000"/>
          <w:kern w:val="0"/>
          <w:sz w:val="30"/>
          <w:szCs w:val="30"/>
          <w:lang w:val="en-US" w:eastAsia="zh-CN"/>
        </w:rPr>
        <w:t>（二）强化管理，规范行为</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1．强化部门预算约束，细化预算编制，严格预算执行，合理制定项目方案和计划，减少预算执行中的项目预算调整和结余，平衡好预算执行进度，提高财政资金使用效率和效益。</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2．加强预算项目事前、事中、事后管控，做到事前有评估、事中有监控、事后有评价，并且按预期绩效目标完成程度考核项目实施效果。</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bCs/>
          <w:color w:val="000000"/>
          <w:kern w:val="0"/>
          <w:sz w:val="30"/>
          <w:szCs w:val="30"/>
          <w:lang w:val="en-US" w:eastAsia="zh-CN"/>
        </w:rPr>
      </w:pPr>
      <w:r>
        <w:rPr>
          <w:rFonts w:hint="eastAsia" w:ascii="仿宋" w:hAnsi="仿宋" w:eastAsia="仿宋" w:cs="仿宋"/>
          <w:b/>
          <w:bCs/>
          <w:color w:val="000000"/>
          <w:kern w:val="0"/>
          <w:sz w:val="30"/>
          <w:szCs w:val="30"/>
          <w:lang w:val="en-US" w:eastAsia="zh-CN"/>
        </w:rPr>
        <w:t>（三）科学考核，注重实效</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1．建立科学合理的项目预算效果考核机制，依据预设的绩效数量、质量指标全面衡量预算实施效果，既重“绩”，更重“效”。</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2．注重服务对象满意度调查工作，根据部门职责明确服务对象、确定调查范围，采取适当方式全面收集服务对象满意度资料，反映部门服务效果。</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3．注重考核的全面性和客观性，对预设指标之外的项目效果同样纳入考核评价报告。</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总之，部门整体绩效考评是一项系统性、全局性的工作，需要领导重视，全员参与，科学考核，注重实效。只有这样，才能不断增强绩效考评的客观性和科学性，切实促进财政资金科学管理和实际绩效水平不断提高。</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b w:val="0"/>
          <w:bCs/>
          <w:color w:val="000000"/>
          <w:kern w:val="0"/>
          <w:sz w:val="30"/>
          <w:szCs w:val="30"/>
        </w:rPr>
      </w:pPr>
      <w:r>
        <w:rPr>
          <w:rFonts w:hint="eastAsia" w:ascii="黑体" w:hAnsi="黑体" w:eastAsia="黑体" w:cs="黑体"/>
          <w:b w:val="0"/>
          <w:bCs/>
          <w:color w:val="000000"/>
          <w:kern w:val="0"/>
          <w:sz w:val="30"/>
          <w:szCs w:val="30"/>
          <w:lang w:val="en-US" w:eastAsia="zh-CN" w:bidi="ar-SA"/>
        </w:rPr>
        <w:t>九、</w:t>
      </w:r>
      <w:r>
        <w:rPr>
          <w:rFonts w:hint="eastAsia" w:ascii="黑体" w:hAnsi="黑体" w:eastAsia="黑体" w:cs="黑体"/>
          <w:b w:val="0"/>
          <w:bCs/>
          <w:color w:val="000000"/>
          <w:kern w:val="0"/>
          <w:sz w:val="30"/>
          <w:szCs w:val="30"/>
          <w:lang w:val="en-US" w:eastAsia="zh-CN"/>
        </w:rPr>
        <w:t>其他需要说明的情况</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科学合理编制预算，严格执行预算。要按照《预算法》及其实施条例的相关规定，参考上一年的预算执行情况和年度的收支预测、部门重点工作等科学编制预算，避免年中大幅追加以及超预算。同时严格预算执行，提高资金使用效率。</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附件：</w:t>
      </w:r>
      <w:r>
        <w:rPr>
          <w:rFonts w:hint="eastAsia" w:ascii="仿宋" w:hAnsi="仿宋" w:eastAsia="仿宋" w:cs="仿宋"/>
          <w:color w:val="000000"/>
          <w:kern w:val="0"/>
          <w:sz w:val="30"/>
          <w:szCs w:val="30"/>
        </w:rPr>
        <w:t>202</w:t>
      </w:r>
      <w:r>
        <w:rPr>
          <w:rFonts w:hint="eastAsia" w:ascii="仿宋" w:hAnsi="仿宋" w:eastAsia="仿宋" w:cs="仿宋"/>
          <w:color w:val="000000"/>
          <w:kern w:val="0"/>
          <w:sz w:val="30"/>
          <w:szCs w:val="30"/>
          <w:lang w:val="en-US" w:eastAsia="zh-CN"/>
        </w:rPr>
        <w:t>1</w:t>
      </w:r>
      <w:r>
        <w:rPr>
          <w:rFonts w:hint="eastAsia" w:ascii="仿宋" w:hAnsi="仿宋" w:eastAsia="仿宋" w:cs="仿宋"/>
          <w:color w:val="000000"/>
          <w:kern w:val="0"/>
          <w:sz w:val="30"/>
          <w:szCs w:val="30"/>
        </w:rPr>
        <w:t>年度部门整体支出绩效自评指标计分表</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lang w:val="en-US" w:eastAsia="zh-CN"/>
        </w:rPr>
      </w:pP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rPr>
      </w:pPr>
      <w:r>
        <w:rPr>
          <w:rFonts w:hint="eastAsia" w:ascii="仿宋" w:hAnsi="仿宋" w:eastAsia="仿宋" w:cs="仿宋"/>
          <w:color w:val="000000"/>
          <w:kern w:val="0"/>
          <w:sz w:val="30"/>
          <w:szCs w:val="30"/>
          <w:lang w:val="en-US" w:eastAsia="zh-CN"/>
        </w:rPr>
        <w:t xml:space="preserve">                                </w:t>
      </w:r>
    </w:p>
    <w:p>
      <w:pPr>
        <w:spacing w:beforeLines="50" w:afterLines="50"/>
        <w:jc w:val="center"/>
        <w:rPr>
          <w:rFonts w:hint="eastAsia" w:ascii="方正小标宋简体" w:eastAsia="方正小标宋简体" w:cs="方正小标宋_GBK"/>
          <w:sz w:val="36"/>
          <w:szCs w:val="36"/>
        </w:rPr>
      </w:pPr>
    </w:p>
    <w:p>
      <w:pPr>
        <w:spacing w:beforeLines="50" w:afterLines="50"/>
        <w:jc w:val="center"/>
        <w:rPr>
          <w:rFonts w:hint="eastAsia" w:ascii="方正小标宋简体" w:eastAsia="方正小标宋简体" w:cs="方正小标宋_GBK"/>
          <w:sz w:val="36"/>
          <w:szCs w:val="36"/>
        </w:rPr>
      </w:pPr>
    </w:p>
    <w:p>
      <w:pPr>
        <w:spacing w:beforeLines="50" w:afterLines="50"/>
        <w:jc w:val="center"/>
        <w:rPr>
          <w:rFonts w:hint="eastAsia" w:ascii="方正小标宋简体" w:eastAsia="方正小标宋简体" w:cs="方正小标宋_GBK"/>
          <w:sz w:val="36"/>
          <w:szCs w:val="36"/>
        </w:rPr>
      </w:pPr>
    </w:p>
    <w:p>
      <w:pPr>
        <w:spacing w:beforeLines="50" w:afterLines="50"/>
        <w:jc w:val="center"/>
        <w:rPr>
          <w:rFonts w:hint="eastAsia" w:ascii="方正小标宋简体" w:eastAsia="方正小标宋简体" w:cs="方正小标宋_GBK"/>
          <w:sz w:val="36"/>
          <w:szCs w:val="36"/>
        </w:rPr>
      </w:pPr>
    </w:p>
    <w:p>
      <w:pPr>
        <w:spacing w:beforeLines="50" w:afterLines="50"/>
        <w:jc w:val="center"/>
        <w:rPr>
          <w:rFonts w:hint="eastAsia" w:ascii="方正小标宋简体" w:eastAsia="方正小标宋简体" w:cs="方正小标宋_GBK"/>
          <w:sz w:val="36"/>
          <w:szCs w:val="36"/>
        </w:rPr>
      </w:pPr>
    </w:p>
    <w:p>
      <w:pPr>
        <w:spacing w:beforeLines="50" w:afterLines="50"/>
        <w:jc w:val="center"/>
        <w:rPr>
          <w:rFonts w:hint="eastAsia" w:ascii="方正小标宋简体" w:eastAsia="方正小标宋简体" w:cs="方正小标宋_GBK"/>
          <w:sz w:val="36"/>
          <w:szCs w:val="36"/>
        </w:rPr>
      </w:pPr>
    </w:p>
    <w:p>
      <w:pPr>
        <w:spacing w:beforeLines="50" w:afterLines="50"/>
        <w:jc w:val="center"/>
        <w:rPr>
          <w:rFonts w:hint="eastAsia" w:ascii="方正小标宋简体" w:eastAsia="方正小标宋简体" w:cs="方正小标宋_GBK"/>
          <w:sz w:val="36"/>
          <w:szCs w:val="36"/>
        </w:rPr>
      </w:pPr>
    </w:p>
    <w:p>
      <w:pPr>
        <w:spacing w:beforeLines="50" w:afterLines="50"/>
        <w:jc w:val="both"/>
        <w:rPr>
          <w:rFonts w:hint="eastAsia" w:ascii="方正小标宋简体" w:eastAsia="方正小标宋简体" w:cs="方正小标宋_GBK"/>
          <w:sz w:val="36"/>
          <w:szCs w:val="36"/>
        </w:rPr>
      </w:pPr>
    </w:p>
    <w:p>
      <w:pPr>
        <w:pStyle w:val="2"/>
        <w:rPr>
          <w:rFonts w:hint="eastAsia"/>
        </w:rPr>
      </w:pPr>
    </w:p>
    <w:p>
      <w:pPr>
        <w:spacing w:beforeLines="50" w:afterLines="50"/>
        <w:jc w:val="center"/>
        <w:rPr>
          <w:rFonts w:hint="eastAsia" w:ascii="黑体" w:hAnsi="黑体" w:eastAsia="黑体" w:cs="黑体"/>
          <w:sz w:val="36"/>
          <w:szCs w:val="36"/>
        </w:rPr>
      </w:pPr>
      <w:r>
        <w:rPr>
          <w:rFonts w:hint="eastAsia" w:ascii="黑体" w:hAnsi="黑体" w:eastAsia="黑体" w:cs="黑体"/>
          <w:sz w:val="36"/>
          <w:szCs w:val="36"/>
        </w:rPr>
        <w:t>202</w:t>
      </w:r>
      <w:r>
        <w:rPr>
          <w:rFonts w:hint="eastAsia" w:ascii="黑体" w:hAnsi="黑体" w:eastAsia="黑体" w:cs="黑体"/>
          <w:sz w:val="36"/>
          <w:szCs w:val="36"/>
          <w:lang w:val="en-US" w:eastAsia="zh-CN"/>
        </w:rPr>
        <w:t>1</w:t>
      </w:r>
      <w:r>
        <w:rPr>
          <w:rFonts w:hint="eastAsia" w:ascii="黑体" w:hAnsi="黑体" w:eastAsia="黑体" w:cs="黑体"/>
          <w:sz w:val="36"/>
          <w:szCs w:val="36"/>
        </w:rPr>
        <w:t>年度部门整体支出绩效自评指标计分表</w:t>
      </w:r>
    </w:p>
    <w:p>
      <w:pPr>
        <w:spacing w:line="240" w:lineRule="exact"/>
        <w:ind w:right="105" w:rightChars="50"/>
        <w:jc w:val="both"/>
        <w:rPr>
          <w:rFonts w:hint="default" w:ascii="宋体" w:hAnsi="宋体" w:cs="宋体"/>
          <w:b/>
          <w:bCs/>
          <w:lang w:val="en-US" w:eastAsia="zh-CN"/>
        </w:rPr>
      </w:pPr>
      <w:r>
        <w:rPr>
          <w:rFonts w:hint="eastAsia" w:ascii="宋体" w:hAnsi="宋体" w:cs="宋体"/>
          <w:b/>
          <w:bCs/>
          <w:lang w:val="en-US" w:eastAsia="zh-CN"/>
        </w:rPr>
        <w:t>单位：赫山区委编办                                  自评分：98分</w:t>
      </w:r>
    </w:p>
    <w:tbl>
      <w:tblPr>
        <w:tblStyle w:val="4"/>
        <w:tblW w:w="53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81"/>
        <w:gridCol w:w="710"/>
        <w:gridCol w:w="946"/>
        <w:gridCol w:w="710"/>
        <w:gridCol w:w="2983"/>
        <w:gridCol w:w="3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307" w:type="pct"/>
            <w:tcMar>
              <w:top w:w="10" w:type="dxa"/>
              <w:left w:w="10" w:type="dxa"/>
              <w:bottom w:w="0" w:type="dxa"/>
              <w:right w:w="10" w:type="dxa"/>
            </w:tcMar>
            <w:vAlign w:val="center"/>
          </w:tcPr>
          <w:p>
            <w:pPr>
              <w:spacing w:line="240" w:lineRule="exact"/>
              <w:jc w:val="center"/>
              <w:rPr>
                <w:rFonts w:hint="eastAsia" w:ascii="宋体" w:hAnsi="宋体" w:eastAsia="宋体" w:cs="宋体"/>
                <w:b/>
                <w:bCs/>
                <w:lang w:eastAsia="zh-CN"/>
              </w:rPr>
            </w:pPr>
            <w:r>
              <w:rPr>
                <w:rFonts w:hint="eastAsia" w:ascii="宋体" w:hAnsi="宋体" w:cs="宋体"/>
                <w:b/>
                <w:bCs/>
              </w:rPr>
              <w:t>一级</w:t>
            </w:r>
          </w:p>
          <w:p>
            <w:pPr>
              <w:spacing w:line="240" w:lineRule="exact"/>
              <w:jc w:val="center"/>
              <w:rPr>
                <w:rFonts w:ascii="宋体" w:cs="宋体"/>
                <w:b/>
                <w:bCs/>
              </w:rPr>
            </w:pPr>
            <w:r>
              <w:rPr>
                <w:rFonts w:hint="eastAsia" w:ascii="宋体" w:hAnsi="宋体" w:cs="宋体"/>
                <w:b/>
                <w:bCs/>
              </w:rPr>
              <w:t>指标</w:t>
            </w:r>
          </w:p>
        </w:tc>
        <w:tc>
          <w:tcPr>
            <w:tcW w:w="375" w:type="pct"/>
            <w:tcMar>
              <w:top w:w="10" w:type="dxa"/>
              <w:left w:w="10" w:type="dxa"/>
              <w:bottom w:w="0" w:type="dxa"/>
              <w:right w:w="10" w:type="dxa"/>
            </w:tcMar>
            <w:vAlign w:val="center"/>
          </w:tcPr>
          <w:p>
            <w:pPr>
              <w:spacing w:line="240" w:lineRule="exact"/>
              <w:ind w:right="-174" w:rightChars="-83"/>
              <w:jc w:val="center"/>
              <w:rPr>
                <w:rFonts w:ascii="宋体" w:cs="宋体"/>
                <w:b/>
                <w:bCs/>
              </w:rPr>
            </w:pPr>
            <w:r>
              <w:rPr>
                <w:rFonts w:hint="eastAsia" w:ascii="宋体" w:hAnsi="宋体" w:cs="宋体"/>
                <w:b/>
                <w:bCs/>
              </w:rPr>
              <w:t>二级</w:t>
            </w:r>
          </w:p>
          <w:p>
            <w:pPr>
              <w:spacing w:line="240" w:lineRule="exact"/>
              <w:ind w:right="-174" w:rightChars="-83"/>
              <w:jc w:val="center"/>
              <w:rPr>
                <w:rFonts w:ascii="宋体" w:cs="宋体"/>
                <w:b/>
                <w:bCs/>
              </w:rPr>
            </w:pPr>
            <w:r>
              <w:rPr>
                <w:rFonts w:hint="eastAsia" w:ascii="宋体" w:hAnsi="宋体" w:cs="宋体"/>
                <w:b/>
                <w:bCs/>
              </w:rPr>
              <w:t>指标</w:t>
            </w:r>
          </w:p>
        </w:tc>
        <w:tc>
          <w:tcPr>
            <w:tcW w:w="500" w:type="pct"/>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三级</w:t>
            </w:r>
          </w:p>
          <w:p>
            <w:pPr>
              <w:spacing w:line="240" w:lineRule="exact"/>
              <w:jc w:val="center"/>
              <w:rPr>
                <w:rFonts w:ascii="宋体" w:cs="宋体"/>
                <w:b/>
                <w:bCs/>
              </w:rPr>
            </w:pPr>
            <w:r>
              <w:rPr>
                <w:rFonts w:hint="eastAsia" w:ascii="宋体" w:hAnsi="宋体" w:cs="宋体"/>
                <w:b/>
                <w:bCs/>
              </w:rPr>
              <w:t>指标</w:t>
            </w:r>
          </w:p>
        </w:tc>
        <w:tc>
          <w:tcPr>
            <w:tcW w:w="375" w:type="pct"/>
            <w:vAlign w:val="center"/>
          </w:tcPr>
          <w:p>
            <w:pPr>
              <w:spacing w:line="240" w:lineRule="exact"/>
              <w:ind w:left="105" w:leftChars="50" w:right="105" w:rightChars="50"/>
              <w:jc w:val="center"/>
              <w:rPr>
                <w:rFonts w:ascii="宋体" w:cs="宋体"/>
                <w:b/>
                <w:bCs/>
              </w:rPr>
            </w:pPr>
            <w:r>
              <w:rPr>
                <w:rFonts w:hint="eastAsia" w:ascii="宋体" w:hAnsi="宋体" w:cs="宋体"/>
                <w:b/>
                <w:bCs/>
              </w:rPr>
              <w:t>自评分</w:t>
            </w:r>
          </w:p>
        </w:tc>
        <w:tc>
          <w:tcPr>
            <w:tcW w:w="1576"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指标解释</w:t>
            </w:r>
          </w:p>
        </w:tc>
        <w:tc>
          <w:tcPr>
            <w:tcW w:w="1867"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hint="eastAsia" w:ascii="宋体" w:hAnsi="宋体" w:eastAsia="宋体" w:cs="宋体"/>
                <w:lang w:eastAsia="zh-CN"/>
              </w:rPr>
            </w:pPr>
            <w:r>
              <w:rPr>
                <w:rFonts w:hint="eastAsia" w:ascii="宋体" w:hAnsi="宋体" w:cs="宋体"/>
              </w:rPr>
              <w:t>目标</w:t>
            </w:r>
          </w:p>
          <w:p>
            <w:pPr>
              <w:spacing w:line="240" w:lineRule="exact"/>
              <w:jc w:val="center"/>
              <w:rPr>
                <w:rFonts w:ascii="宋体" w:cs="宋体"/>
              </w:rPr>
            </w:pPr>
            <w:r>
              <w:rPr>
                <w:rFonts w:hint="eastAsia" w:ascii="宋体" w:hAnsi="宋体" w:cs="宋体"/>
              </w:rPr>
              <w:t>设定（</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绩效目标</w:t>
            </w:r>
          </w:p>
          <w:p>
            <w:pPr>
              <w:spacing w:line="240" w:lineRule="exact"/>
              <w:jc w:val="center"/>
              <w:rPr>
                <w:rFonts w:ascii="宋体" w:cs="宋体"/>
              </w:rPr>
            </w:pPr>
            <w:r>
              <w:rPr>
                <w:rFonts w:hint="eastAsia" w:ascii="宋体" w:hAnsi="宋体" w:cs="宋体"/>
              </w:rPr>
              <w:t>合理性（</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eastAsia="宋体" w:cs="宋体"/>
                <w:lang w:val="en-US" w:eastAsia="zh-CN"/>
              </w:rPr>
            </w:pPr>
          </w:p>
          <w:p>
            <w:pPr>
              <w:tabs>
                <w:tab w:val="left" w:pos="2604"/>
              </w:tabs>
              <w:spacing w:line="240" w:lineRule="exact"/>
              <w:ind w:left="105" w:leftChars="50" w:right="105" w:rightChars="50" w:firstLine="96" w:firstLineChars="46"/>
              <w:rPr>
                <w:rFonts w:hint="eastAsia" w:ascii="宋体" w:eastAsia="宋体" w:cs="宋体"/>
                <w:lang w:val="en-US" w:eastAsia="zh-CN"/>
              </w:rPr>
            </w:pPr>
          </w:p>
          <w:p>
            <w:pPr>
              <w:tabs>
                <w:tab w:val="left" w:pos="2604"/>
              </w:tabs>
              <w:spacing w:line="240" w:lineRule="exact"/>
              <w:ind w:left="105" w:leftChars="50" w:right="105" w:rightChars="50" w:firstLine="96" w:firstLineChars="46"/>
              <w:rPr>
                <w:rFonts w:hint="eastAsia" w:ascii="宋体" w:eastAsia="宋体" w:cs="宋体"/>
                <w:lang w:val="en-US" w:eastAsia="zh-CN"/>
              </w:rPr>
            </w:pPr>
          </w:p>
          <w:p>
            <w:pPr>
              <w:tabs>
                <w:tab w:val="left" w:pos="2604"/>
              </w:tabs>
              <w:spacing w:line="240" w:lineRule="exact"/>
              <w:ind w:left="105" w:leftChars="50" w:right="105" w:rightChars="50" w:firstLine="96" w:firstLineChars="46"/>
              <w:rPr>
                <w:rFonts w:hint="default"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①是否符合国家法律法规、国民经济和社会发展总体规划；</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②是否符合部门“三定”方案确定的职责；</w:t>
            </w:r>
          </w:p>
          <w:p>
            <w:pPr>
              <w:spacing w:line="240" w:lineRule="exact"/>
              <w:ind w:left="105" w:leftChars="50" w:right="105" w:rightChars="50"/>
              <w:rPr>
                <w:rFonts w:ascii="宋体" w:cs="宋体"/>
              </w:rPr>
            </w:pP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绩效指标</w:t>
            </w:r>
          </w:p>
          <w:p>
            <w:pPr>
              <w:spacing w:line="240" w:lineRule="exact"/>
              <w:jc w:val="center"/>
              <w:rPr>
                <w:rFonts w:ascii="宋体" w:cs="宋体"/>
              </w:rPr>
            </w:pPr>
            <w:r>
              <w:rPr>
                <w:rFonts w:hint="eastAsia" w:ascii="宋体" w:hAnsi="宋体" w:cs="宋体"/>
              </w:rPr>
              <w:t>明确性（</w:t>
            </w:r>
            <w:r>
              <w:rPr>
                <w:rFonts w:ascii="宋体" w:hAnsi="宋体" w:cs="宋体"/>
              </w:rPr>
              <w:t>3</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3</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①是否将部门整体的绩效目标细化分解为具体的工作任务；</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②是否通过清晰、可衡量的指标值予以体现。</w:t>
            </w:r>
            <w:r>
              <w:rPr>
                <w:rFonts w:ascii="宋体" w:hAnsi="宋体" w:cs="宋体"/>
              </w:rPr>
              <w:t xml:space="preserve">    </w:t>
            </w:r>
            <w:r>
              <w:rPr>
                <w:rFonts w:hint="eastAsia" w:ascii="宋体" w:hAnsi="宋体" w:cs="宋体"/>
              </w:rPr>
              <w:t>③是否与部门年度的任务数或计划数相对应；</w:t>
            </w:r>
          </w:p>
          <w:p>
            <w:pPr>
              <w:spacing w:line="240" w:lineRule="exact"/>
              <w:ind w:left="105" w:leftChars="50" w:right="105" w:rightChars="50"/>
              <w:rPr>
                <w:rFonts w:ascii="宋体" w:cs="宋体"/>
              </w:rPr>
            </w:pP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307" w:type="pct"/>
            <w:vMerge w:val="continue"/>
            <w:vAlign w:val="center"/>
          </w:tcPr>
          <w:p>
            <w:pPr>
              <w:spacing w:line="240" w:lineRule="exact"/>
              <w:rPr>
                <w:rFonts w:ascii="宋体" w:cs="宋体"/>
              </w:rPr>
            </w:pPr>
          </w:p>
        </w:tc>
        <w:tc>
          <w:tcPr>
            <w:tcW w:w="375" w:type="pct"/>
            <w:vMerge w:val="restart"/>
            <w:tcMar>
              <w:top w:w="10" w:type="dxa"/>
              <w:left w:w="10" w:type="dxa"/>
              <w:bottom w:w="0" w:type="dxa"/>
              <w:right w:w="10" w:type="dxa"/>
            </w:tcMar>
            <w:vAlign w:val="center"/>
          </w:tcPr>
          <w:p>
            <w:pPr>
              <w:spacing w:line="240" w:lineRule="exact"/>
              <w:jc w:val="center"/>
              <w:rPr>
                <w:rFonts w:hint="eastAsia" w:ascii="宋体" w:hAnsi="宋体" w:eastAsia="宋体" w:cs="宋体"/>
                <w:lang w:eastAsia="zh-CN"/>
              </w:rPr>
            </w:pPr>
            <w:r>
              <w:rPr>
                <w:rFonts w:hint="eastAsia" w:ascii="宋体" w:hAnsi="宋体" w:cs="宋体"/>
              </w:rPr>
              <w:t>预算</w:t>
            </w:r>
          </w:p>
          <w:p>
            <w:pPr>
              <w:spacing w:line="240" w:lineRule="exact"/>
              <w:jc w:val="center"/>
              <w:rPr>
                <w:rFonts w:ascii="宋体" w:cs="宋体"/>
              </w:rPr>
            </w:pPr>
            <w:r>
              <w:rPr>
                <w:rFonts w:hint="eastAsia" w:ascii="宋体" w:hAnsi="宋体" w:cs="宋体"/>
              </w:rPr>
              <w:t>配置（</w:t>
            </w:r>
            <w:r>
              <w:rPr>
                <w:rFonts w:ascii="宋体" w:hAnsi="宋体" w:cs="宋体"/>
              </w:rPr>
              <w:t>15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在职人员</w:t>
            </w:r>
          </w:p>
          <w:p>
            <w:pPr>
              <w:spacing w:line="240" w:lineRule="exact"/>
              <w:jc w:val="center"/>
              <w:rPr>
                <w:rFonts w:ascii="宋体" w:cs="宋体"/>
              </w:rPr>
            </w:pPr>
            <w:r>
              <w:rPr>
                <w:rFonts w:hint="eastAsia" w:ascii="宋体" w:hAnsi="宋体" w:cs="宋体"/>
              </w:rPr>
              <w:t>控制率（</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在职人员数：部门实际在职人数，以财政部确定的部门决算编制口径为准。</w:t>
            </w:r>
          </w:p>
          <w:p>
            <w:pPr>
              <w:spacing w:line="240" w:lineRule="exact"/>
              <w:ind w:left="105" w:leftChars="50" w:right="105" w:rightChars="50"/>
              <w:rPr>
                <w:rFonts w:ascii="宋体" w:cs="宋体"/>
              </w:rPr>
            </w:pP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w:t>
            </w:r>
          </w:p>
          <w:p>
            <w:pPr>
              <w:spacing w:line="240" w:lineRule="exact"/>
              <w:jc w:val="center"/>
              <w:rPr>
                <w:rFonts w:ascii="宋体" w:cs="宋体"/>
              </w:rPr>
            </w:pPr>
            <w:r>
              <w:rPr>
                <w:rFonts w:hint="eastAsia" w:ascii="宋体" w:hAnsi="宋体" w:cs="宋体"/>
              </w:rPr>
              <w:t>变动率（</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重点支出</w:t>
            </w:r>
          </w:p>
          <w:p>
            <w:pPr>
              <w:spacing w:line="240" w:lineRule="exact"/>
              <w:jc w:val="center"/>
              <w:rPr>
                <w:rFonts w:ascii="宋体" w:cs="宋体"/>
              </w:rPr>
            </w:pPr>
            <w:r>
              <w:rPr>
                <w:rFonts w:hint="eastAsia" w:ascii="宋体" w:hAnsi="宋体" w:cs="宋体"/>
              </w:rPr>
              <w:t>安排率（</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重点预算支出：部门年度预算安排的，与本部门履职和发展密切相关、具有明显社会和经济影响、党委政府关心或社会比较关注的预算支出支出总额。</w:t>
            </w:r>
          </w:p>
          <w:p>
            <w:pPr>
              <w:spacing w:line="240" w:lineRule="exact"/>
              <w:ind w:left="105" w:leftChars="50" w:right="105" w:rightChars="50"/>
              <w:rPr>
                <w:rFonts w:ascii="宋体" w:cs="宋体"/>
              </w:rPr>
            </w:pP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hint="eastAsia" w:ascii="宋体" w:hAnsi="宋体" w:eastAsia="宋体" w:cs="宋体"/>
                <w:lang w:eastAsia="zh-CN"/>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default" w:ascii="宋体" w:eastAsia="宋体" w:cs="宋体"/>
                <w:lang w:val="en-US" w:eastAsia="zh-CN"/>
              </w:rPr>
            </w:pPr>
            <w:r>
              <w:rPr>
                <w:rFonts w:hint="eastAsia" w:ascii="宋体" w:cs="宋体"/>
                <w:lang w:val="en-US" w:eastAsia="zh-CN"/>
              </w:rPr>
              <w:t>3</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部门本年度预算完成数与预算数的比率，用以反映和考核部门预算完成程度。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预算执行数：部门本年度实际完成的预算数。</w:t>
            </w:r>
          </w:p>
          <w:p>
            <w:pPr>
              <w:spacing w:line="240" w:lineRule="exact"/>
              <w:ind w:left="105" w:leftChars="50" w:right="105" w:rightChars="50"/>
              <w:rPr>
                <w:rFonts w:ascii="宋体" w:cs="宋体"/>
              </w:rPr>
            </w:pP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调整率（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部门本年度预算调整数与预算数的比率，用以反映和考核部门预算的调整程度。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支付</w:t>
            </w:r>
          </w:p>
          <w:p>
            <w:pPr>
              <w:spacing w:line="240" w:lineRule="exact"/>
              <w:jc w:val="center"/>
              <w:rPr>
                <w:rFonts w:ascii="宋体" w:cs="宋体"/>
              </w:rPr>
            </w:pPr>
            <w:r>
              <w:rPr>
                <w:rFonts w:hint="eastAsia" w:ascii="宋体" w:hAnsi="宋体" w:cs="宋体"/>
              </w:rPr>
              <w:t>进度率（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实际支付进度：部门在某一时点的支出预算执行总数与年度支出预算数的比率。</w:t>
            </w:r>
          </w:p>
          <w:p>
            <w:pPr>
              <w:spacing w:line="240" w:lineRule="exact"/>
              <w:ind w:left="105" w:leftChars="50" w:right="105" w:rightChars="50"/>
              <w:rPr>
                <w:rFonts w:ascii="宋体" w:cs="宋体"/>
              </w:rPr>
            </w:pP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continue"/>
            <w:tcMar>
              <w:top w:w="10" w:type="dxa"/>
              <w:left w:w="10" w:type="dxa"/>
              <w:bottom w:w="0" w:type="dxa"/>
              <w:right w:w="10" w:type="dxa"/>
            </w:tcMar>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w:t>
            </w:r>
          </w:p>
          <w:p>
            <w:pPr>
              <w:spacing w:line="240" w:lineRule="exact"/>
              <w:jc w:val="center"/>
              <w:rPr>
                <w:rFonts w:ascii="宋体" w:cs="宋体"/>
              </w:rPr>
            </w:pPr>
            <w:r>
              <w:rPr>
                <w:rFonts w:hint="eastAsia" w:ascii="宋体" w:hAnsi="宋体" w:cs="宋体"/>
              </w:rPr>
              <w:t>结余率（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结转结余</w:t>
            </w:r>
          </w:p>
          <w:p>
            <w:pPr>
              <w:spacing w:line="240" w:lineRule="exact"/>
              <w:jc w:val="center"/>
              <w:rPr>
                <w:rFonts w:ascii="宋体" w:cs="宋体"/>
              </w:rPr>
            </w:pPr>
            <w:r>
              <w:rPr>
                <w:rFonts w:hint="eastAsia" w:ascii="宋体" w:hAnsi="宋体" w:cs="宋体"/>
              </w:rPr>
              <w:t>变动率（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公用经费</w:t>
            </w:r>
          </w:p>
          <w:p>
            <w:pPr>
              <w:spacing w:line="240" w:lineRule="exact"/>
              <w:jc w:val="center"/>
              <w:rPr>
                <w:rFonts w:ascii="宋体" w:cs="宋体"/>
              </w:rPr>
            </w:pPr>
            <w:r>
              <w:rPr>
                <w:rFonts w:hint="eastAsia" w:ascii="宋体" w:hAnsi="宋体" w:cs="宋体"/>
              </w:rPr>
              <w:t>控制率（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政府采购</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p>
          <w:p>
            <w:pPr>
              <w:spacing w:line="240" w:lineRule="exact"/>
              <w:ind w:left="105" w:leftChars="50" w:right="105" w:rightChars="50"/>
              <w:rPr>
                <w:rFonts w:ascii="宋体" w:hAnsi="宋体" w:cs="宋体"/>
              </w:rPr>
            </w:pPr>
            <w:r>
              <w:rPr>
                <w:rFonts w:hint="eastAsia" w:ascii="宋体" w:hAnsi="宋体" w:cs="宋体"/>
              </w:rPr>
              <w:t>政府采购预算：采购机关根据事业发展计划和行政任务编制的、并经过规定程序批准的年度政府采购计划。</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307" w:type="pct"/>
            <w:vMerge w:val="restart"/>
            <w:vAlign w:val="center"/>
          </w:tcPr>
          <w:p>
            <w:pPr>
              <w:spacing w:line="240" w:lineRule="exact"/>
              <w:jc w:val="center"/>
              <w:rPr>
                <w:rFonts w:ascii="宋体" w:cs="宋体"/>
              </w:rPr>
            </w:pPr>
            <w:r>
              <w:rPr>
                <w:rFonts w:hint="eastAsia" w:ascii="宋体" w:hAnsi="宋体" w:cs="宋体"/>
              </w:rPr>
              <w:t>过</w:t>
            </w:r>
          </w:p>
          <w:p>
            <w:pPr>
              <w:spacing w:line="240" w:lineRule="exact"/>
              <w:jc w:val="center"/>
              <w:rPr>
                <w:rFonts w:ascii="宋体" w:cs="宋体"/>
              </w:rPr>
            </w:pP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hint="eastAsia" w:ascii="宋体" w:hAnsi="宋体" w:eastAsia="宋体" w:cs="宋体"/>
                <w:lang w:eastAsia="zh-CN"/>
              </w:rPr>
            </w:pPr>
            <w:r>
              <w:rPr>
                <w:rFonts w:hint="eastAsia" w:ascii="宋体" w:hAnsi="宋体" w:cs="宋体"/>
              </w:rPr>
              <w:t>预算</w:t>
            </w:r>
          </w:p>
          <w:p>
            <w:pPr>
              <w:spacing w:line="240" w:lineRule="exact"/>
              <w:jc w:val="center"/>
              <w:rPr>
                <w:rFonts w:ascii="宋体" w:cs="宋体"/>
              </w:rPr>
            </w:pPr>
            <w:r>
              <w:rPr>
                <w:rFonts w:hint="eastAsia" w:ascii="宋体" w:hAnsi="宋体" w:cs="宋体"/>
              </w:rPr>
              <w:t>管理（</w:t>
            </w:r>
            <w:r>
              <w:rPr>
                <w:rFonts w:ascii="宋体" w:hAnsi="宋体" w:cs="宋体"/>
              </w:rPr>
              <w:t>5</w:t>
            </w:r>
            <w:r>
              <w:rPr>
                <w:rFonts w:hint="eastAsia" w:ascii="宋体" w:hAnsi="宋体" w:cs="宋体"/>
              </w:rPr>
              <w:t>分）</w:t>
            </w:r>
          </w:p>
          <w:p>
            <w:pPr>
              <w:spacing w:line="240" w:lineRule="exact"/>
              <w:jc w:val="center"/>
              <w:rPr>
                <w:rFonts w:ascii="宋体" w:cs="宋体"/>
              </w:rPr>
            </w:pPr>
            <w:r>
              <w:rPr>
                <w:rFonts w:hint="eastAsia" w:ascii="宋体" w:hAnsi="宋体" w:cs="宋体"/>
              </w:rPr>
              <w:t>）</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①是否已制定或具有预算资金管理办法、内部财务管理制度、会计核算制度等管理制度；</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②相关管理制度是否合法、合规、完整；</w:t>
            </w:r>
          </w:p>
          <w:p>
            <w:pPr>
              <w:spacing w:line="240" w:lineRule="exact"/>
              <w:ind w:left="105" w:leftChars="50" w:right="105" w:rightChars="50"/>
              <w:rPr>
                <w:rFonts w:ascii="宋体" w:cs="宋体"/>
              </w:rPr>
            </w:pP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资金使用</w:t>
            </w:r>
          </w:p>
          <w:p>
            <w:pPr>
              <w:spacing w:line="240" w:lineRule="exact"/>
              <w:jc w:val="center"/>
              <w:rPr>
                <w:rFonts w:ascii="宋体" w:cs="宋体"/>
              </w:rPr>
            </w:pPr>
            <w:r>
              <w:rPr>
                <w:rFonts w:hint="eastAsia" w:ascii="宋体" w:hAnsi="宋体" w:cs="宋体"/>
              </w:rPr>
              <w:t>合规性（</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①是否符合国家财经法规和财务管理制度规定以及有关预算支出管理办法的规定；</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②资金的拨付是否有完整的审批程序和手续；</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③预算支出的重大开支是否经过评估论证；</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④是否符合部门预算批复的用途；</w:t>
            </w:r>
          </w:p>
          <w:p>
            <w:pPr>
              <w:spacing w:line="240" w:lineRule="exact"/>
              <w:ind w:left="105" w:leftChars="50" w:right="105" w:rightChars="50"/>
              <w:rPr>
                <w:rFonts w:ascii="宋体" w:cs="宋体"/>
              </w:rPr>
            </w:pP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预决算信</w:t>
            </w:r>
          </w:p>
          <w:p>
            <w:pPr>
              <w:spacing w:line="240" w:lineRule="exact"/>
              <w:jc w:val="center"/>
              <w:rPr>
                <w:rFonts w:ascii="宋体" w:cs="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①是否按规定内容公开预决算信息；</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②是否按规定时限公开预决算信息。</w:t>
            </w:r>
          </w:p>
          <w:p>
            <w:pPr>
              <w:spacing w:line="240" w:lineRule="exact"/>
              <w:ind w:left="105" w:leftChars="50" w:right="105" w:rightChars="50"/>
              <w:rPr>
                <w:rFonts w:ascii="宋体" w:cs="宋体"/>
              </w:rPr>
            </w:pP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基础信息</w:t>
            </w:r>
          </w:p>
          <w:p>
            <w:pPr>
              <w:spacing w:line="240" w:lineRule="exact"/>
              <w:jc w:val="center"/>
              <w:rPr>
                <w:rFonts w:ascii="宋体" w:cs="宋体"/>
              </w:rPr>
            </w:pPr>
            <w:r>
              <w:rPr>
                <w:rFonts w:hint="eastAsia" w:ascii="宋体" w:hAnsi="宋体" w:cs="宋体"/>
              </w:rPr>
              <w:t>完善性（</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部门基础信息是否完善，用以反映和考核基础信息对预算管理工作的支撑情况。</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①基础数据信息和会计信息资料是否真实；</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②基础数据信息和会计信息资料是否完整；</w:t>
            </w:r>
          </w:p>
          <w:p>
            <w:pPr>
              <w:spacing w:line="240" w:lineRule="exact"/>
              <w:ind w:left="105" w:leftChars="50" w:right="105" w:rightChars="50"/>
              <w:rPr>
                <w:rFonts w:ascii="宋体" w:cs="宋体"/>
              </w:rPr>
            </w:pP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restart"/>
            <w:tcMar>
              <w:top w:w="10" w:type="dxa"/>
              <w:left w:w="10" w:type="dxa"/>
              <w:bottom w:w="0" w:type="dxa"/>
              <w:right w:w="10" w:type="dxa"/>
            </w:tcMar>
            <w:vAlign w:val="center"/>
          </w:tcPr>
          <w:p>
            <w:pPr>
              <w:spacing w:line="240" w:lineRule="exact"/>
              <w:jc w:val="center"/>
              <w:rPr>
                <w:rFonts w:hint="eastAsia" w:ascii="宋体" w:hAnsi="宋体" w:eastAsia="宋体" w:cs="宋体"/>
                <w:lang w:eastAsia="zh-CN"/>
              </w:rPr>
            </w:pPr>
            <w:r>
              <w:rPr>
                <w:rFonts w:hint="eastAsia" w:ascii="宋体" w:hAnsi="宋体" w:cs="宋体"/>
              </w:rPr>
              <w:t>资产</w:t>
            </w:r>
          </w:p>
          <w:p>
            <w:pPr>
              <w:spacing w:line="240" w:lineRule="exact"/>
              <w:jc w:val="center"/>
              <w:rPr>
                <w:rFonts w:ascii="宋体" w:cs="宋体"/>
              </w:rPr>
            </w:pPr>
            <w:r>
              <w:rPr>
                <w:rFonts w:hint="eastAsia" w:ascii="宋体" w:hAnsi="宋体" w:cs="宋体"/>
              </w:rPr>
              <w:t>管理（</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①是否已制定或具有资产管理制度；</w:t>
            </w:r>
            <w:r>
              <w:rPr>
                <w:rFonts w:ascii="宋体" w:hAnsi="宋体" w:cs="宋体"/>
              </w:rPr>
              <w:t xml:space="preserve">           </w:t>
            </w:r>
            <w:r>
              <w:rPr>
                <w:rFonts w:hint="eastAsia" w:ascii="宋体" w:hAnsi="宋体" w:cs="宋体"/>
              </w:rPr>
              <w:t>②相关资金管理制度是否合法、合规、完整；</w:t>
            </w:r>
          </w:p>
          <w:p>
            <w:pPr>
              <w:spacing w:line="240" w:lineRule="exact"/>
              <w:ind w:left="105" w:leftChars="50" w:right="105" w:rightChars="50"/>
              <w:rPr>
                <w:rFonts w:ascii="宋体" w:cs="宋体"/>
              </w:rPr>
            </w:pP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资产管理</w:t>
            </w:r>
          </w:p>
          <w:p>
            <w:pPr>
              <w:spacing w:line="240" w:lineRule="exact"/>
              <w:jc w:val="center"/>
              <w:rPr>
                <w:rFonts w:ascii="宋体" w:cs="宋体"/>
              </w:rPr>
            </w:pPr>
            <w:r>
              <w:rPr>
                <w:rFonts w:hint="eastAsia" w:ascii="宋体" w:hAnsi="宋体" w:cs="宋体"/>
              </w:rPr>
              <w:t>安全性（</w:t>
            </w:r>
            <w:r>
              <w:rPr>
                <w:rFonts w:ascii="宋体" w:hAnsi="宋体" w:cs="宋体"/>
              </w:rPr>
              <w:t>2</w:t>
            </w:r>
            <w:r>
              <w:rPr>
                <w:rFonts w:hint="eastAsia" w:ascii="宋体" w:hAnsi="宋体" w:cs="宋体"/>
              </w:rPr>
              <w:t>分）</w:t>
            </w:r>
          </w:p>
        </w:tc>
        <w:tc>
          <w:tcPr>
            <w:tcW w:w="375" w:type="pct"/>
          </w:tcPr>
          <w:p>
            <w:pPr>
              <w:tabs>
                <w:tab w:val="left" w:pos="761"/>
                <w:tab w:val="left" w:pos="2604"/>
              </w:tabs>
              <w:spacing w:line="240" w:lineRule="exact"/>
              <w:ind w:left="105" w:leftChars="50" w:right="105" w:rightChars="50" w:firstLine="96" w:firstLineChars="46"/>
              <w:rPr>
                <w:rFonts w:ascii="宋体" w:cs="宋体"/>
              </w:rPr>
            </w:pPr>
          </w:p>
          <w:p>
            <w:pPr>
              <w:tabs>
                <w:tab w:val="left" w:pos="761"/>
                <w:tab w:val="left" w:pos="2604"/>
              </w:tabs>
              <w:spacing w:line="240" w:lineRule="exact"/>
              <w:ind w:left="105" w:leftChars="50" w:right="105" w:rightChars="50" w:firstLine="96" w:firstLineChars="46"/>
              <w:rPr>
                <w:rFonts w:ascii="宋体" w:cs="宋体"/>
              </w:rPr>
            </w:pPr>
          </w:p>
          <w:p>
            <w:pPr>
              <w:tabs>
                <w:tab w:val="left" w:pos="761"/>
                <w:tab w:val="left" w:pos="2604"/>
              </w:tabs>
              <w:spacing w:line="240" w:lineRule="exact"/>
              <w:ind w:left="105" w:leftChars="50" w:right="105" w:rightChars="50" w:firstLine="96" w:firstLineChars="46"/>
              <w:rPr>
                <w:rFonts w:ascii="宋体" w:cs="宋体"/>
              </w:rPr>
            </w:pPr>
          </w:p>
          <w:p>
            <w:pPr>
              <w:tabs>
                <w:tab w:val="left" w:pos="761"/>
                <w:tab w:val="left" w:pos="2604"/>
              </w:tabs>
              <w:spacing w:line="240" w:lineRule="exact"/>
              <w:ind w:left="105" w:leftChars="50" w:right="105" w:rightChars="50" w:firstLine="96" w:firstLineChars="46"/>
              <w:rPr>
                <w:rFonts w:ascii="宋体" w:cs="宋体"/>
              </w:rPr>
            </w:pPr>
          </w:p>
          <w:p>
            <w:pPr>
              <w:tabs>
                <w:tab w:val="left" w:pos="761"/>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①资产保存是否完整；</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②资产配置是否合理；</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③资产处置是否规范；</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④资产账务管理是否合规，是否帐实相符；</w:t>
            </w:r>
          </w:p>
          <w:p>
            <w:pPr>
              <w:spacing w:line="240" w:lineRule="exact"/>
              <w:ind w:left="105" w:leftChars="50" w:right="105" w:rightChars="50"/>
              <w:rPr>
                <w:rFonts w:ascii="宋体" w:cs="宋体"/>
              </w:rPr>
            </w:pP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固定资产</w:t>
            </w:r>
          </w:p>
          <w:p>
            <w:pPr>
              <w:spacing w:line="240" w:lineRule="exact"/>
              <w:jc w:val="center"/>
              <w:rPr>
                <w:rFonts w:ascii="宋体" w:cs="宋体"/>
              </w:rPr>
            </w:pPr>
            <w:r>
              <w:rPr>
                <w:rFonts w:hint="eastAsia" w:ascii="宋体" w:hAnsi="宋体" w:cs="宋体"/>
              </w:rPr>
              <w:t>利用率（</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hint="eastAsia" w:ascii="宋体" w:hAnsi="宋体" w:eastAsia="宋体" w:cs="宋体"/>
                <w:lang w:eastAsia="zh-CN"/>
              </w:rPr>
            </w:pPr>
            <w:r>
              <w:rPr>
                <w:rFonts w:hint="eastAsia" w:ascii="宋体" w:hAnsi="宋体" w:cs="宋体"/>
              </w:rPr>
              <w:t>职责</w:t>
            </w:r>
          </w:p>
          <w:p>
            <w:pPr>
              <w:spacing w:line="240" w:lineRule="exact"/>
              <w:jc w:val="center"/>
              <w:rPr>
                <w:rFonts w:ascii="宋体" w:cs="宋体"/>
              </w:rPr>
            </w:pPr>
            <w:r>
              <w:rPr>
                <w:rFonts w:hint="eastAsia" w:ascii="宋体" w:hAnsi="宋体" w:cs="宋体"/>
              </w:rPr>
              <w:t>履行（</w:t>
            </w:r>
            <w:r>
              <w:rPr>
                <w:rFonts w:ascii="宋体" w:hAnsi="宋体" w:cs="宋体"/>
              </w:rPr>
              <w:t>30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实际</w:t>
            </w:r>
          </w:p>
          <w:p>
            <w:pPr>
              <w:spacing w:line="240" w:lineRule="exact"/>
              <w:jc w:val="center"/>
              <w:rPr>
                <w:rFonts w:ascii="宋体" w:cs="宋体"/>
              </w:rPr>
            </w:pPr>
            <w:r>
              <w:rPr>
                <w:rFonts w:hint="eastAsia" w:ascii="宋体" w:hAnsi="宋体" w:cs="宋体"/>
              </w:rPr>
              <w:t>完成率（</w:t>
            </w:r>
            <w:r>
              <w:rPr>
                <w:rFonts w:ascii="宋体" w:hAnsi="宋体" w:cs="宋体"/>
              </w:rPr>
              <w:t>8</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default" w:ascii="宋体" w:eastAsia="宋体" w:cs="宋体"/>
                <w:lang w:val="en-US" w:eastAsia="zh-CN"/>
              </w:rPr>
            </w:pPr>
            <w:r>
              <w:rPr>
                <w:rFonts w:hint="eastAsia" w:ascii="宋体" w:cs="宋体"/>
                <w:lang w:val="en-US" w:eastAsia="zh-CN"/>
              </w:rPr>
              <w:t>8</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实际完成工作数：一定时期（年度或规划期）内部门实际完成工作任务的数量。</w:t>
            </w:r>
          </w:p>
          <w:p>
            <w:pPr>
              <w:spacing w:line="240" w:lineRule="exact"/>
              <w:ind w:left="105" w:leftChars="50" w:right="105" w:rightChars="50"/>
              <w:rPr>
                <w:rFonts w:ascii="宋体" w:cs="宋体"/>
              </w:rPr>
            </w:pP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307" w:type="pct"/>
            <w:vMerge w:val="continue"/>
            <w:textDirection w:val="tbRlV"/>
            <w:vAlign w:val="center"/>
          </w:tcPr>
          <w:p>
            <w:pPr>
              <w:spacing w:line="240" w:lineRule="exact"/>
              <w:ind w:left="113"/>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完成</w:t>
            </w:r>
          </w:p>
          <w:p>
            <w:pPr>
              <w:spacing w:line="240" w:lineRule="exact"/>
              <w:jc w:val="center"/>
              <w:rPr>
                <w:rFonts w:ascii="宋体" w:cs="宋体"/>
              </w:rPr>
            </w:pPr>
            <w:r>
              <w:rPr>
                <w:rFonts w:hint="eastAsia" w:ascii="宋体" w:hAnsi="宋体" w:cs="宋体"/>
              </w:rPr>
              <w:t>及时率（</w:t>
            </w:r>
            <w:r>
              <w:rPr>
                <w:rFonts w:ascii="宋体" w:hAnsi="宋体" w:cs="宋体"/>
              </w:rPr>
              <w:t>4</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质量</w:t>
            </w:r>
          </w:p>
          <w:p>
            <w:pPr>
              <w:spacing w:line="240" w:lineRule="exact"/>
              <w:jc w:val="center"/>
              <w:rPr>
                <w:rFonts w:ascii="宋体" w:cs="宋体"/>
              </w:rPr>
            </w:pPr>
            <w:r>
              <w:rPr>
                <w:rFonts w:hint="eastAsia" w:ascii="宋体" w:hAnsi="宋体" w:cs="宋体"/>
              </w:rPr>
              <w:t>达标率（</w:t>
            </w:r>
            <w:r>
              <w:rPr>
                <w:rFonts w:ascii="宋体" w:hAnsi="宋体" w:cs="宋体"/>
              </w:rPr>
              <w:t>8</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default" w:ascii="宋体" w:eastAsia="宋体" w:cs="宋体"/>
                <w:lang w:val="en-US" w:eastAsia="zh-CN"/>
              </w:rPr>
            </w:pPr>
            <w:r>
              <w:rPr>
                <w:rFonts w:hint="eastAsia" w:ascii="宋体" w:cs="宋体"/>
                <w:lang w:val="en-US" w:eastAsia="zh-CN"/>
              </w:rPr>
              <w:t>8</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重点工作</w:t>
            </w:r>
          </w:p>
          <w:p>
            <w:pPr>
              <w:spacing w:line="240" w:lineRule="exact"/>
              <w:jc w:val="center"/>
              <w:rPr>
                <w:rFonts w:ascii="宋体" w:cs="宋体"/>
              </w:rPr>
            </w:pPr>
            <w:r>
              <w:rPr>
                <w:rFonts w:hint="eastAsia" w:ascii="宋体" w:hAnsi="宋体" w:cs="宋体"/>
              </w:rPr>
              <w:t>办结率（</w:t>
            </w:r>
            <w:r>
              <w:rPr>
                <w:rFonts w:ascii="宋体" w:hAnsi="宋体" w:cs="宋体"/>
              </w:rPr>
              <w:t>10</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default" w:ascii="宋体" w:eastAsia="宋体" w:cs="宋体"/>
                <w:lang w:val="en-US" w:eastAsia="zh-CN"/>
              </w:rPr>
            </w:pPr>
            <w:r>
              <w:rPr>
                <w:rFonts w:hint="eastAsia" w:ascii="宋体" w:cs="宋体"/>
                <w:lang w:val="en-US" w:eastAsia="zh-CN"/>
              </w:rPr>
              <w:t>10</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hint="eastAsia" w:ascii="宋体" w:hAnsi="宋体" w:eastAsia="宋体" w:cs="宋体"/>
                <w:lang w:eastAsia="zh-CN"/>
              </w:rPr>
            </w:pPr>
            <w:r>
              <w:rPr>
                <w:rFonts w:hint="eastAsia" w:ascii="宋体" w:hAnsi="宋体" w:cs="宋体"/>
              </w:rPr>
              <w:t>履职</w:t>
            </w:r>
          </w:p>
          <w:p>
            <w:pPr>
              <w:spacing w:line="240" w:lineRule="exact"/>
              <w:jc w:val="center"/>
              <w:rPr>
                <w:rFonts w:ascii="宋体" w:cs="宋体"/>
              </w:rPr>
            </w:pPr>
            <w:r>
              <w:rPr>
                <w:rFonts w:hint="eastAsia" w:ascii="宋体" w:hAnsi="宋体" w:cs="宋体"/>
              </w:rPr>
              <w:t>效益（</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default" w:ascii="宋体" w:eastAsia="宋体" w:cs="宋体"/>
                <w:lang w:val="en-US"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部门履行职责对经济发展所带来的直接或间接影响。</w:t>
            </w:r>
          </w:p>
        </w:tc>
        <w:tc>
          <w:tcPr>
            <w:tcW w:w="1867" w:type="pct"/>
            <w:vMerge w:val="restar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部门履行职责对社会发展所带来的直接或间接影响。</w:t>
            </w:r>
          </w:p>
        </w:tc>
        <w:tc>
          <w:tcPr>
            <w:tcW w:w="1867" w:type="pct"/>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部门履行职责对生态环境所带来的直接或间接影响。</w:t>
            </w:r>
          </w:p>
        </w:tc>
        <w:tc>
          <w:tcPr>
            <w:tcW w:w="1867" w:type="pct"/>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社会公众</w:t>
            </w:r>
          </w:p>
          <w:p>
            <w:pPr>
              <w:spacing w:line="240" w:lineRule="exact"/>
              <w:jc w:val="center"/>
              <w:rPr>
                <w:rFonts w:ascii="宋体" w:cs="宋体"/>
              </w:rPr>
            </w:pPr>
            <w:r>
              <w:rPr>
                <w:rFonts w:hint="eastAsia" w:ascii="宋体" w:hAnsi="宋体" w:cs="宋体"/>
              </w:rPr>
              <w:t>或服务对</w:t>
            </w:r>
          </w:p>
          <w:p>
            <w:pPr>
              <w:spacing w:line="240" w:lineRule="exact"/>
              <w:jc w:val="center"/>
              <w:rPr>
                <w:rFonts w:ascii="宋体" w:cs="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社会公众或部门的服务对象对部门履职效果的满意程度。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07" w:type="pct"/>
            <w:vAlign w:val="center"/>
          </w:tcPr>
          <w:p>
            <w:pPr>
              <w:spacing w:line="240" w:lineRule="exact"/>
              <w:rPr>
                <w:rFonts w:ascii="宋体" w:cs="宋体"/>
              </w:rPr>
            </w:pPr>
            <w:r>
              <w:rPr>
                <w:rFonts w:hint="eastAsia" w:ascii="宋体" w:hAnsi="宋体" w:cs="宋体"/>
              </w:rPr>
              <w:t>总分</w:t>
            </w:r>
          </w:p>
        </w:tc>
        <w:tc>
          <w:tcPr>
            <w:tcW w:w="375" w:type="pct"/>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p>
        </w:tc>
        <w:tc>
          <w:tcPr>
            <w:tcW w:w="375" w:type="pct"/>
          </w:tcPr>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left="105" w:leftChars="50" w:right="105" w:rightChars="50" w:firstLine="96" w:firstLineChars="46"/>
              <w:rPr>
                <w:rFonts w:hint="default" w:ascii="宋体" w:eastAsia="宋体" w:cs="宋体"/>
                <w:lang w:val="en-US" w:eastAsia="zh-CN"/>
              </w:rPr>
            </w:pPr>
            <w:r>
              <w:rPr>
                <w:rFonts w:hint="eastAsia" w:ascii="宋体" w:cs="宋体"/>
                <w:lang w:val="en-US" w:eastAsia="zh-CN"/>
              </w:rPr>
              <w:t>98</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p>
        </w:tc>
      </w:tr>
    </w:tbl>
    <w:p/>
    <w:p>
      <w:pPr>
        <w:spacing w:line="40" w:lineRule="exact"/>
      </w:pPr>
    </w:p>
    <w:p>
      <w:pPr>
        <w:ind w:firstLine="640" w:firstLineChars="200"/>
        <w:jc w:val="left"/>
        <w:rPr>
          <w:rFonts w:cs="黑体" w:asciiTheme="minorEastAsia" w:hAnsiTheme="minorEastAsia"/>
          <w:color w:val="000000"/>
          <w:kern w:val="0"/>
          <w:sz w:val="32"/>
          <w:szCs w:val="32"/>
        </w:rPr>
      </w:pPr>
    </w:p>
    <w:p/>
    <w:sectPr>
      <w:pgSz w:w="11906" w:h="16838"/>
      <w:pgMar w:top="1134" w:right="1531" w:bottom="1134" w:left="1531" w:header="851" w:footer="992" w:gutter="0"/>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EBEE90"/>
    <w:multiLevelType w:val="singleLevel"/>
    <w:tmpl w:val="62EBEE9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3BEE3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0"/>
    <w:rPr>
      <w:rFonts w:hint="eastAsia"/>
      <w:sz w:val="21"/>
      <w:szCs w:val="24"/>
    </w:rPr>
  </w:style>
  <w:style w:type="paragraph" w:styleId="3">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2023-06-18T10:30:31Z</dcterms:created>
  <dc:creator>admin-3</dc:creator>
  <cp:lastModifiedBy>admin-3</cp:lastModifiedBy>
  <dcterms:modified xsi:type="dcterms:W3CDTF">2023-06-18T10:31:56Z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FB052CA580AD47BBAEB5B316D9154736_12</vt:lpwstr>
  </property>
</Properties>
</file>