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800" w:lineRule="exact"/>
        <w:jc w:val="center"/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益阳市赫山区全民健身服务中心</w:t>
      </w:r>
      <w:r>
        <w:rPr>
          <w:rFonts w:hint="eastAsia" w:ascii="黑体" w:hAnsi="黑体" w:eastAsia="黑体"/>
          <w:color w:val="333333"/>
          <w:sz w:val="36"/>
          <w:szCs w:val="36"/>
        </w:rPr>
        <w:t>2021年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度</w:t>
      </w:r>
    </w:p>
    <w:p>
      <w:pPr>
        <w:pStyle w:val="2"/>
        <w:shd w:val="clear" w:color="auto" w:fill="FFFFFF"/>
        <w:spacing w:before="0" w:beforeAutospacing="0" w:after="0" w:afterAutospacing="0" w:line="800" w:lineRule="exact"/>
        <w:jc w:val="center"/>
        <w:rPr>
          <w:rFonts w:hint="eastAsia" w:ascii="黑体" w:hAnsi="黑体" w:eastAsia="黑体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color w:val="333333"/>
          <w:sz w:val="36"/>
          <w:szCs w:val="36"/>
        </w:rPr>
        <w:t>社会足球场建设项目</w:t>
      </w:r>
      <w:r>
        <w:rPr>
          <w:rFonts w:hint="eastAsia" w:ascii="黑体" w:hAnsi="黑体" w:eastAsia="黑体"/>
          <w:color w:val="333333"/>
          <w:sz w:val="36"/>
          <w:szCs w:val="36"/>
          <w:lang w:val="en-US" w:eastAsia="zh-CN"/>
        </w:rPr>
        <w:t>支出</w:t>
      </w:r>
      <w:r>
        <w:rPr>
          <w:rFonts w:hint="eastAsia" w:ascii="黑体" w:hAnsi="黑体" w:eastAsia="黑体"/>
          <w:color w:val="333333"/>
          <w:sz w:val="36"/>
          <w:szCs w:val="36"/>
        </w:rPr>
        <w:t>绩效评价报告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一、项目基本情况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仿宋_GB2312" w:hAnsi="微软雅黑" w:eastAsia="仿宋_GB2312"/>
          <w:b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333333"/>
          <w:sz w:val="32"/>
          <w:szCs w:val="32"/>
        </w:rPr>
        <w:t>（一）项目概况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根据益阳市发改委的要求，赫山区要在2021年2月底前完成11块5人制社会足球场建设任务。区全民健身服务中心根据目标任务，经报请区文旅广体局同意，确定了足球场建设位置：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1.赫山区会龙山街道红星社区5人制足球场；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2.赫山区会龙山街道龙山港社区5人制足球场；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3.赫山区瓯江岔镇汾湖洲村5人制足球场；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4.赫山区新市渡镇欧公店村5人制足球场；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5.赫山区兰溪镇三河口村5人制足球场；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6.赫山区泉交河镇5人制足球场；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7.赫山区衡龙桥镇高家桥村5人制足球场；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8.赫山区岳家桥镇岳家桥村5人制足球场；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9.赫山区岳家桥镇大塘村5人制足球场；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10.赫山区岳家桥镇石坝口村足球场；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11.赫山区岳家桥镇黄板桥村5人制足球场。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社会足球场建设包括场地硬化，周边预留3米左右作为与周边的安全间距，足球场均采用围网封闭，便于管理。足球场采用50mm高绿色人造草。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仿宋_GB2312" w:hAnsi="微软雅黑" w:eastAsia="仿宋_GB2312"/>
          <w:b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333333"/>
          <w:sz w:val="32"/>
          <w:szCs w:val="32"/>
        </w:rPr>
        <w:t>（二）项目资金申报及批复情况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为贯彻落实习近平总书记关于足球改革发展重要批示精神，推进社会足球场地设施建设，确保完成《全国足球场地设施建设规划（2016-2020年）》任务目标，根据《益阳市发改委关于转下达公共体育普及工程2020年中央预算内投资计划的通知》下达我中心中央预算内投资足球场项目建设资金330万元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仿宋_GB2312" w:hAnsi="微软雅黑" w:eastAsia="仿宋_GB2312"/>
          <w:b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333333"/>
          <w:sz w:val="32"/>
          <w:szCs w:val="32"/>
        </w:rPr>
        <w:t>（三）资金使用情况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1、资金计划及到位。赫山区社会足球场建设项目总投资330万元，2020年12月项目资金到位。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2、资金使用。2021年3月，中心组织专班对足球场建设开展验收后，4月6日一次性支付工程款。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hint="eastAsia" w:ascii="仿宋_GB2312" w:hAnsi="微软雅黑" w:eastAsia="仿宋_GB2312"/>
          <w:b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333333"/>
          <w:sz w:val="32"/>
          <w:szCs w:val="32"/>
        </w:rPr>
        <w:t>（四）项目组织实施情况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赫山区11块社会足球场建设项目于2020年10月上旬施工招标挂网，10月下旬完成招标，11月初开工建设，2021年2月底全部建设完成。施工过程中组织专班全程参与工程质量监管，确保了项目施工进度及质量安全。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color w:val="3D3D3D"/>
          <w:sz w:val="32"/>
          <w:szCs w:val="32"/>
        </w:rPr>
      </w:pPr>
      <w:r>
        <w:rPr>
          <w:rFonts w:hint="eastAsia" w:ascii="黑体" w:hAnsi="黑体" w:eastAsia="黑体"/>
          <w:color w:val="3D3D3D"/>
          <w:sz w:val="32"/>
          <w:szCs w:val="32"/>
        </w:rPr>
        <w:t>二、绩效评价工作开展情况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（1）绩效评价目的、对象、范围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目的就是该项目是否建设完成，资金使用是否合理，社会效益是否显著。评价对象是已经建成的11块社会足球场。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（2）绩效评价原则、评价指标体系、评价方法、评价标准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采取公开、公正、公平、专业等评价原则。通过数量指标、时效指标、质量指标等进行评价。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（3）绩效评价工作过程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482"/>
        <w:rPr>
          <w:rFonts w:hint="eastAsia" w:ascii="仿宋_GB2312" w:hAnsi="微软雅黑" w:eastAsia="仿宋_GB2312"/>
          <w:color w:val="3D3D3D"/>
          <w:sz w:val="32"/>
          <w:szCs w:val="32"/>
        </w:rPr>
      </w:pPr>
      <w:r>
        <w:rPr>
          <w:rFonts w:hint="eastAsia" w:ascii="仿宋_GB2312" w:hAnsi="微软雅黑" w:eastAsia="仿宋_GB2312"/>
          <w:color w:val="3D3D3D"/>
          <w:sz w:val="32"/>
          <w:szCs w:val="32"/>
        </w:rPr>
        <w:t>通过由设计方、施工方、业主以及专业检测人员共同参与的评价过程。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三、评价结论和存在问题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（一）评价结果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本项目评价等级为“良”，项目总体完成情况良好，基本实现立项目标，但在前期设计、项目后期管理等方面有待改进。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（二）主要绩效：进一步改善本地区的整体体育设施质量，进一步促进全民运动。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（三）存在的问题：2个项目点选址位置偏僻，利用率不高。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四、政策建议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一是加强项目管理。管理单位要建立维护和管理制度，并严格执行，确保项目效果得到保障。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二是对使用效率低的项目点，管理单位要建立公示制，积极宣传，提高使用效率。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3200" w:firstLineChars="10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益阳市赫山区全民健身服务中心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4160" w:firstLineChars="1300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2021年11月10日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ZDRkNTkxMzRiYWQ3ODFjNjM3YTMzZWRlYjFjZmQifQ=="/>
  </w:docVars>
  <w:rsids>
    <w:rsidRoot w:val="00CA7437"/>
    <w:rsid w:val="00093C33"/>
    <w:rsid w:val="001364F6"/>
    <w:rsid w:val="001958EF"/>
    <w:rsid w:val="001C0EC0"/>
    <w:rsid w:val="003C4079"/>
    <w:rsid w:val="0041438C"/>
    <w:rsid w:val="004D0579"/>
    <w:rsid w:val="00773987"/>
    <w:rsid w:val="008C07FF"/>
    <w:rsid w:val="00A71056"/>
    <w:rsid w:val="00AC1213"/>
    <w:rsid w:val="00C63C1C"/>
    <w:rsid w:val="00CA7437"/>
    <w:rsid w:val="00CD6944"/>
    <w:rsid w:val="00E539B1"/>
    <w:rsid w:val="00E605FD"/>
    <w:rsid w:val="76C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1139</Words>
  <Characters>1200</Characters>
  <Lines>8</Lines>
  <Paragraphs>2</Paragraphs>
  <TotalTime>374</TotalTime>
  <ScaleCrop>false</ScaleCrop>
  <LinksUpToDate>false</LinksUpToDate>
  <CharactersWithSpaces>1200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2023-06-09T00:46:00Z</dcterms:created>
  <dc:creator>Administrator</dc:creator>
  <cp:lastModifiedBy>admin-3</cp:lastModifiedBy>
  <dcterms:modified xsi:type="dcterms:W3CDTF">2023-07-12T10:22:26Z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4925C5E4BF3546E7BEAC10DDCB1A3F60_12</vt:lpwstr>
  </property>
</Properties>
</file>