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黑体" w:hAnsi="黑体" w:eastAsia="黑体" w:cs="黑体"/>
          <w:sz w:val="36"/>
          <w:szCs w:val="36"/>
        </w:rPr>
      </w:pPr>
      <w:r>
        <w:rPr>
          <w:rFonts w:hint="eastAsia" w:ascii="黑体" w:hAnsi="黑体" w:eastAsia="黑体" w:cs="黑体"/>
          <w:sz w:val="36"/>
          <w:szCs w:val="36"/>
        </w:rPr>
        <w:t>赫山区接待服务中心</w:t>
      </w:r>
      <w:r>
        <w:rPr>
          <w:rFonts w:hint="eastAsia" w:ascii="黑体" w:hAnsi="黑体" w:eastAsia="黑体" w:cs="黑体"/>
          <w:sz w:val="36"/>
          <w:szCs w:val="36"/>
          <w:lang w:val="en-US" w:eastAsia="zh-CN"/>
        </w:rPr>
        <w:t>2021年度</w:t>
      </w:r>
      <w:r>
        <w:rPr>
          <w:rFonts w:hint="eastAsia" w:ascii="黑体" w:hAnsi="黑体" w:eastAsia="黑体" w:cs="黑体"/>
          <w:sz w:val="36"/>
          <w:szCs w:val="36"/>
        </w:rPr>
        <w:t>部门整体支出</w:t>
      </w:r>
    </w:p>
    <w:p>
      <w:pPr>
        <w:spacing w:line="480" w:lineRule="exact"/>
        <w:jc w:val="center"/>
        <w:rPr>
          <w:rFonts w:ascii="方正小标宋简体" w:eastAsia="方正小标宋简体"/>
          <w:bCs/>
          <w:sz w:val="44"/>
          <w:szCs w:val="44"/>
        </w:rPr>
      </w:pPr>
      <w:r>
        <w:rPr>
          <w:rFonts w:hint="eastAsia" w:ascii="黑体" w:hAnsi="黑体" w:eastAsia="黑体" w:cs="黑体"/>
          <w:sz w:val="36"/>
          <w:szCs w:val="36"/>
        </w:rPr>
        <w:t>绩效评价报告</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bookmarkStart w:id="0" w:name="YS060101"/>
      <w:r>
        <w:rPr>
          <w:rFonts w:hint="eastAsia" w:ascii="黑体" w:hAnsi="黑体" w:eastAsia="黑体" w:cs="黑体"/>
          <w:sz w:val="30"/>
          <w:szCs w:val="30"/>
        </w:rPr>
        <w:t>一、单位基本情况</w:t>
      </w:r>
      <w:bookmarkEnd w:id="0"/>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（一）主要职能</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赫山区接待服务中心是参照公务员管理的事业单位。法定代表人</w:t>
      </w:r>
      <w:r>
        <w:rPr>
          <w:rFonts w:hint="eastAsia" w:ascii="仿宋" w:hAnsi="仿宋" w:eastAsia="仿宋" w:cs="仿宋"/>
          <w:sz w:val="30"/>
          <w:szCs w:val="30"/>
          <w:lang w:val="en-US" w:eastAsia="zh-CN"/>
        </w:rPr>
        <w:t>杨楠</w:t>
      </w:r>
      <w:r>
        <w:rPr>
          <w:rFonts w:hint="eastAsia" w:ascii="仿宋" w:hAnsi="仿宋" w:eastAsia="仿宋" w:cs="仿宋"/>
          <w:sz w:val="30"/>
          <w:szCs w:val="30"/>
        </w:rPr>
        <w:t>。经费来源是全额拨款。主要职责和宗旨是负责全区重要会议重要活动的指导、接待工作，负责与省内外接待部门的对口联络，负责全区会务中心的使用管理修护，负责对全区接待工作的业务指导，做好区直单位有关接待工作的协调，及“四大家”公务商务接待工作。在职职工4人，全额4人、退休人员2人。</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（二）机构设置</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内设办公室、财务股、二个股室。各部门之间相互协调、相互配合，做到既分工又合作。</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sz w:val="30"/>
          <w:szCs w:val="30"/>
        </w:rPr>
      </w:pPr>
      <w:r>
        <w:rPr>
          <w:rFonts w:hint="eastAsia" w:ascii="黑体" w:hAnsi="黑体" w:eastAsia="黑体" w:cs="黑体"/>
          <w:sz w:val="30"/>
          <w:szCs w:val="30"/>
        </w:rPr>
        <w:t>二、一般公共预算支出情况</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2021年度年初预算数为112.51万元，调整预算数为149.23万元，调整的原因是年初预算仅为2020年8月份在职人员的一些基本支出预算。</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收入支出预算执行情况。2021年度收入决算数149.23万元，其中：一般公共预算财政拨款149.23万元。收入较去年增长68.8%万元，主要原因是全区性工作支出加大。2020年支出决算数277.00万元，其中：基本支出277.00万元，包括人员经费50.24万元和日常公用经费226.76万元，日常公用经费增加的原因是职能增加了承接全区会务接待服务及省市督查工作接待任务的原因。</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pPr>
      <w:r>
        <w:rPr>
          <w:rFonts w:hint="eastAsia" w:ascii="仿宋" w:hAnsi="仿宋" w:eastAsia="仿宋" w:cs="仿宋"/>
          <w:sz w:val="30"/>
          <w:szCs w:val="30"/>
        </w:rPr>
        <w:t>202</w:t>
      </w:r>
      <w:r>
        <w:rPr>
          <w:rFonts w:hint="eastAsia" w:ascii="仿宋" w:hAnsi="仿宋" w:eastAsia="仿宋" w:cs="仿宋"/>
          <w:sz w:val="30"/>
          <w:szCs w:val="30"/>
          <w:lang w:val="en-US" w:eastAsia="zh-CN"/>
        </w:rPr>
        <w:t>1</w:t>
      </w:r>
      <w:r>
        <w:rPr>
          <w:rFonts w:hint="eastAsia" w:ascii="仿宋" w:hAnsi="仿宋" w:eastAsia="仿宋" w:cs="仿宋"/>
          <w:sz w:val="30"/>
          <w:szCs w:val="30"/>
        </w:rPr>
        <w:t>年收支决算后年末结转和结余40.46万元。其中一般公共预算财政拨款结转40.46万元。</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基本支出</w:t>
      </w:r>
      <w:r>
        <w:rPr>
          <w:rFonts w:hint="eastAsia" w:ascii="仿宋" w:hAnsi="仿宋" w:eastAsia="仿宋" w:cs="仿宋"/>
          <w:b/>
          <w:bCs/>
          <w:sz w:val="30"/>
          <w:szCs w:val="30"/>
          <w:lang w:val="en-US" w:eastAsia="zh-CN"/>
        </w:rPr>
        <w:t>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00" w:firstLineChars="200"/>
        <w:jc w:val="left"/>
        <w:textAlignment w:val="auto"/>
        <w:rPr>
          <w:rFonts w:hint="eastAsia"/>
        </w:rPr>
      </w:pPr>
      <w:r>
        <w:rPr>
          <w:rFonts w:hint="eastAsia" w:ascii="仿宋" w:hAnsi="仿宋" w:eastAsia="仿宋" w:cs="仿宋"/>
          <w:i w:val="0"/>
          <w:caps w:val="0"/>
          <w:color w:val="333333"/>
          <w:spacing w:val="0"/>
          <w:kern w:val="0"/>
          <w:sz w:val="30"/>
          <w:szCs w:val="30"/>
          <w:shd w:val="clear" w:fill="FFFFFF"/>
          <w:lang w:val="en-US" w:eastAsia="zh-CN" w:bidi="ar"/>
        </w:rPr>
        <w:t>基本支出是指为保障单位机构正常运转、完成日常工作任务而发生的各项支出，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w:t>
      </w:r>
      <w:r>
        <w:rPr>
          <w:rFonts w:hint="eastAsia" w:ascii="仿宋" w:hAnsi="仿宋" w:eastAsia="仿宋" w:cs="仿宋"/>
          <w:sz w:val="30"/>
          <w:szCs w:val="30"/>
          <w:lang w:val="en-US" w:eastAsia="zh-CN"/>
        </w:rPr>
        <w:t>基本</w:t>
      </w:r>
      <w:r>
        <w:rPr>
          <w:rFonts w:hint="eastAsia" w:ascii="仿宋" w:hAnsi="仿宋" w:eastAsia="仿宋" w:cs="仿宋"/>
          <w:sz w:val="30"/>
          <w:szCs w:val="30"/>
        </w:rPr>
        <w:t>支出为</w:t>
      </w:r>
      <w:r>
        <w:rPr>
          <w:rFonts w:hint="eastAsia" w:ascii="仿宋" w:hAnsi="仿宋" w:eastAsia="仿宋" w:cs="仿宋"/>
          <w:sz w:val="30"/>
          <w:szCs w:val="30"/>
          <w:lang w:val="en-US" w:eastAsia="zh-CN"/>
        </w:rPr>
        <w:t>189.68</w:t>
      </w:r>
      <w:r>
        <w:rPr>
          <w:rFonts w:hint="eastAsia" w:ascii="仿宋" w:hAnsi="仿宋" w:eastAsia="仿宋" w:cs="仿宋"/>
          <w:sz w:val="30"/>
          <w:szCs w:val="30"/>
        </w:rPr>
        <w:t>万元，</w:t>
      </w:r>
      <w:r>
        <w:rPr>
          <w:rFonts w:hint="eastAsia" w:ascii="仿宋" w:hAnsi="仿宋" w:eastAsia="仿宋" w:cs="仿宋"/>
          <w:i w:val="0"/>
          <w:caps w:val="0"/>
          <w:color w:val="333333"/>
          <w:spacing w:val="0"/>
          <w:kern w:val="0"/>
          <w:sz w:val="30"/>
          <w:szCs w:val="30"/>
          <w:shd w:val="clear" w:fill="FFFFFF"/>
          <w:lang w:val="en-US" w:eastAsia="zh-CN" w:bidi="ar"/>
        </w:rPr>
        <w:t>较上年减少127.78万元，减少40.25%，其中人员经费支出60.53万元，占基本支出的 31.91%，较上年增加17%，主要是由于原因:人员异动增加  ；公用经费支出支出129.16万元,占基本支出的 68.09%,较上年减少43.04 %，主要是由于原因:人员异动调整。</w:t>
      </w:r>
    </w:p>
    <w:p>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项目支出</w:t>
      </w:r>
      <w:r>
        <w:rPr>
          <w:rFonts w:hint="eastAsia" w:ascii="仿宋" w:hAnsi="仿宋" w:eastAsia="仿宋" w:cs="仿宋"/>
          <w:b/>
          <w:bCs/>
          <w:sz w:val="30"/>
          <w:szCs w:val="30"/>
          <w:lang w:val="en-US" w:eastAsia="zh-CN"/>
        </w:rPr>
        <w:t>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i w:val="0"/>
          <w:caps w:val="0"/>
          <w:color w:val="333333"/>
          <w:spacing w:val="0"/>
          <w:kern w:val="0"/>
          <w:sz w:val="30"/>
          <w:szCs w:val="30"/>
          <w:shd w:val="clear" w:fill="FFFFFF"/>
          <w:lang w:val="en-US" w:eastAsia="zh-CN" w:bidi="ar"/>
        </w:rPr>
      </w:pPr>
      <w:r>
        <w:rPr>
          <w:rFonts w:hint="eastAsia" w:ascii="仿宋" w:hAnsi="仿宋" w:eastAsia="仿宋" w:cs="仿宋"/>
          <w:i w:val="0"/>
          <w:caps w:val="0"/>
          <w:color w:val="333333"/>
          <w:spacing w:val="0"/>
          <w:kern w:val="0"/>
          <w:sz w:val="30"/>
          <w:szCs w:val="30"/>
          <w:shd w:val="clear" w:fill="FFFFFF"/>
          <w:lang w:val="en-US" w:eastAsia="zh-CN" w:bidi="ar"/>
        </w:rPr>
        <w:t>项目支出是指单位为完成特定行政工作任务或事业发展目标而</w:t>
      </w:r>
      <w:bookmarkStart w:id="1" w:name="_GoBack"/>
      <w:bookmarkEnd w:id="1"/>
      <w:r>
        <w:rPr>
          <w:rFonts w:hint="eastAsia" w:ascii="仿宋" w:hAnsi="仿宋" w:eastAsia="仿宋" w:cs="仿宋"/>
          <w:i w:val="0"/>
          <w:caps w:val="0"/>
          <w:color w:val="333333"/>
          <w:spacing w:val="0"/>
          <w:kern w:val="0"/>
          <w:sz w:val="30"/>
          <w:szCs w:val="30"/>
          <w:shd w:val="clear" w:fill="FFFFFF"/>
          <w:lang w:val="en-US" w:eastAsia="zh-CN" w:bidi="ar"/>
        </w:rPr>
        <w:t>发生的支出。2021年项目支出0万元。</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三、政府性基金预算支出情况</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接待服务中心无政府性基金预算支出。</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四、国有资本经营预算支出情况</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接待服务中心无国有资本预算支出。</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五、社会保险基金预算支出情况</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接待服务中心社会保险基金预算纳入工资福利一起无其它支出。</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六、部门整体支出绩效情况</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（一）预决算公开：</w:t>
      </w:r>
      <w:r>
        <w:rPr>
          <w:rFonts w:hint="eastAsia" w:ascii="仿宋" w:hAnsi="仿宋" w:eastAsia="仿宋" w:cs="仿宋"/>
          <w:sz w:val="30"/>
          <w:szCs w:val="30"/>
        </w:rPr>
        <w:t>2020年，按照上级的要求，我中心在赫山区门户网站进行了预算公开。</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（二）资产管理：</w:t>
      </w:r>
      <w:r>
        <w:rPr>
          <w:rFonts w:hint="eastAsia" w:ascii="仿宋" w:hAnsi="仿宋" w:eastAsia="仿宋" w:cs="仿宋"/>
          <w:sz w:val="30"/>
          <w:szCs w:val="30"/>
        </w:rPr>
        <w:t>我们进一步加强资产的管理，制定了《益阳市赫山区接待服务中心财务管理制度》，明确了具体责任人，严格报批、销审等手续，单位无任何资产流失现象。</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（三）“三公经费”控制情况：</w:t>
      </w:r>
      <w:r>
        <w:rPr>
          <w:rFonts w:hint="eastAsia" w:ascii="仿宋" w:hAnsi="仿宋" w:eastAsia="仿宋" w:cs="仿宋"/>
          <w:sz w:val="30"/>
          <w:szCs w:val="30"/>
        </w:rPr>
        <w:t>贯彻落实上级有关精神，严格控制“三公经费”支出，取得了良好效果。2021年度在接待工作中节约开支从严把关。</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（四）绩效目标：</w:t>
      </w:r>
      <w:r>
        <w:rPr>
          <w:rFonts w:hint="eastAsia" w:ascii="仿宋" w:hAnsi="仿宋" w:eastAsia="仿宋" w:cs="仿宋"/>
          <w:sz w:val="30"/>
          <w:szCs w:val="30"/>
        </w:rPr>
        <w:t>为赫山区经济发展做好对上对外接待工作，严格把控各类接待开支,严格落实中央八项规定。</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从整体情况来看，我中心严格按照年初预算进行部门整体支出。在支出过程中，能严格遵守各项规章制度，“三公经费”明显下降。所有项目都详细制定了方案，严格按方案组织实施，并加强了监督。尤其是在专项经费支出上，我们能专款专用，按项目实施计划的进度情况进行资金拨付，无截留、无挪用等现象。</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七、存在的主要问题及原因分析</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存在的主要问题是接待工作存在不确定性因素较多，单位人员少一人多岗工作压力较大。</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八、下一步改进措施</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细化预算编制工作，认真做好预算的编制。进一步加强内部机构的预算管理意识，严格按照预算编制的相关制度和要求，本着“勤俭节约、保障运转”的原则进行预算的编制，进一步提高预算编制的科学性、合理性、严谨性和可控性。</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（二）在日常预算管理过程中，进一步加强预算支出的审核、跟踪及预算执行情况分析。</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（三）完善管理制度，进一步加强资产管理 。进一步贯彻落实中央“八项规定”和湖南省委“九条规定”，加强经费审批和控制，规范支出标准与范围，并严格执行。严格按照《固定资产管理办法》的规定加强固定资产管理，确保账账、账实相符。</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九、其它需要说明的情况</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接待服务中心无其它需要说明的情况。</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w:t>
      </w:r>
      <w:r>
        <w:rPr>
          <w:rFonts w:hint="eastAsia" w:ascii="仿宋" w:hAnsi="仿宋" w:eastAsia="仿宋" w:cs="仿宋"/>
          <w:bCs/>
          <w:sz w:val="30"/>
          <w:szCs w:val="30"/>
        </w:rPr>
        <w:t>赫山区接待办2020年部门整体支出绩效自评指标计分表</w:t>
      </w:r>
    </w:p>
    <w:p>
      <w:pPr>
        <w:keepNext w:val="0"/>
        <w:keepLines w:val="0"/>
        <w:pageBreakBefore w:val="0"/>
        <w:kinsoku/>
        <w:wordWrap/>
        <w:overflowPunct/>
        <w:topLinePunct w:val="0"/>
        <w:autoSpaceDE/>
        <w:autoSpaceDN/>
        <w:bidi w:val="0"/>
        <w:adjustRightInd/>
        <w:snapToGrid/>
        <w:spacing w:line="600" w:lineRule="exact"/>
        <w:ind w:firstLine="720" w:firstLineChars="200"/>
        <w:jc w:val="center"/>
        <w:textAlignment w:val="auto"/>
        <w:rPr>
          <w:rFonts w:hint="eastAsia" w:ascii="黑体" w:hAnsi="黑体" w:eastAsia="黑体" w:cs="黑体"/>
          <w:bCs/>
          <w:sz w:val="36"/>
          <w:szCs w:val="36"/>
        </w:rPr>
      </w:pPr>
      <w:r>
        <w:rPr>
          <w:rFonts w:hint="eastAsia" w:ascii="黑体" w:hAnsi="黑体" w:eastAsia="黑体" w:cs="黑体"/>
          <w:bCs/>
          <w:sz w:val="36"/>
          <w:szCs w:val="36"/>
        </w:rPr>
        <w:t>赫山区接待办2020年部门整体支出绩效自评指标计分表</w:t>
      </w:r>
    </w:p>
    <w:p>
      <w:pPr>
        <w:spacing w:line="80" w:lineRule="exact"/>
        <w:rPr>
          <w:rFonts w:ascii="仿宋_GB2312" w:hAnsi="仿宋_GB2312"/>
        </w:rPr>
      </w:pPr>
    </w:p>
    <w:tbl>
      <w:tblPr>
        <w:tblStyle w:val="4"/>
        <w:tblW w:w="51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857"/>
        <w:gridCol w:w="524"/>
        <w:gridCol w:w="3135"/>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29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bCs/>
                <w:szCs w:val="21"/>
              </w:rPr>
            </w:pPr>
            <w:r>
              <w:rPr>
                <w:rFonts w:hint="eastAsia" w:ascii="宋体"/>
                <w:bCs/>
                <w:szCs w:val="21"/>
              </w:rPr>
              <w:t>一级</w:t>
            </w:r>
            <w:r>
              <w:rPr>
                <w:rFonts w:hint="eastAsia" w:ascii="宋体"/>
                <w:bCs/>
                <w:szCs w:val="21"/>
              </w:rPr>
              <w:br w:type="textWrapping"/>
            </w:r>
            <w:r>
              <w:rPr>
                <w:rFonts w:hint="eastAsia" w:ascii="宋体"/>
                <w:bCs/>
                <w:szCs w:val="21"/>
              </w:rPr>
              <w:t>指标</w:t>
            </w:r>
          </w:p>
        </w:tc>
        <w:tc>
          <w:tcPr>
            <w:tcW w:w="3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bCs/>
                <w:szCs w:val="21"/>
              </w:rPr>
            </w:pPr>
            <w:r>
              <w:rPr>
                <w:rFonts w:hint="eastAsia" w:ascii="宋体"/>
                <w:bCs/>
                <w:szCs w:val="21"/>
              </w:rPr>
              <w:t>二级指标</w:t>
            </w: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bCs/>
                <w:szCs w:val="21"/>
              </w:rPr>
            </w:pPr>
            <w:r>
              <w:rPr>
                <w:rFonts w:hint="eastAsia" w:ascii="宋体"/>
                <w:bCs/>
                <w:szCs w:val="21"/>
              </w:rPr>
              <w:t>三级指标</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line="240" w:lineRule="exact"/>
              <w:jc w:val="center"/>
              <w:rPr>
                <w:rFonts w:ascii="宋体"/>
                <w:bCs/>
                <w:szCs w:val="21"/>
              </w:rPr>
            </w:pPr>
            <w:r>
              <w:rPr>
                <w:rFonts w:hint="eastAsia" w:ascii="宋体"/>
                <w:bCs/>
                <w:szCs w:val="21"/>
              </w:rPr>
              <w:t>自评分</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bCs/>
                <w:szCs w:val="21"/>
              </w:rPr>
            </w:pPr>
            <w:r>
              <w:rPr>
                <w:rFonts w:hint="eastAsia" w:ascii="宋体"/>
                <w:bCs/>
                <w:szCs w:val="21"/>
              </w:rPr>
              <w:t>指标解释</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bCs/>
                <w:szCs w:val="21"/>
              </w:rPr>
            </w:pPr>
            <w:r>
              <w:rPr>
                <w:rFonts w:hint="eastAsia" w:ascii="宋体"/>
                <w:bCs/>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98"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textDirection w:val="tbRlV"/>
            <w:vAlign w:val="center"/>
          </w:tcPr>
          <w:p>
            <w:pPr>
              <w:spacing w:line="240" w:lineRule="exact"/>
              <w:jc w:val="center"/>
              <w:rPr>
                <w:rFonts w:ascii="宋体"/>
                <w:szCs w:val="21"/>
              </w:rPr>
            </w:pPr>
            <w:r>
              <w:rPr>
                <w:rFonts w:hint="eastAsia" w:ascii="宋体"/>
                <w:szCs w:val="21"/>
              </w:rPr>
              <w:t>投   入（20分）</w:t>
            </w:r>
          </w:p>
        </w:tc>
        <w:tc>
          <w:tcPr>
            <w:tcW w:w="311"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目标</w:t>
            </w:r>
            <w:r>
              <w:rPr>
                <w:rFonts w:hint="eastAsia" w:ascii="宋体"/>
                <w:szCs w:val="21"/>
              </w:rPr>
              <w:br w:type="textWrapping"/>
            </w:r>
            <w:r>
              <w:rPr>
                <w:rFonts w:hint="eastAsia" w:ascii="宋体"/>
                <w:szCs w:val="21"/>
              </w:rPr>
              <w:t>设定（5分）</w:t>
            </w: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绩效目标合理性（2分）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2</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部门所设立的整体绩效目标依据是否充分，是否符合客观实际，用以反映和考核部门整体绩效目标与部门履职、年度工作任务的相符性情况。</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①符合国家法律法规、国民经济和社会发展总体规划计1分；②符合部门“三定”方案确定的职责计0.5分；③是否符合部门制定的中长期实施规划计0.5分。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绩效指标明确性（3分）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3</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部门依据整体绩效目标所设定的绩效指标是否清晰、细化、可衡量，用以反映和考核部门整体绩效目标的明细化情况。</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1"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预算</w:t>
            </w:r>
            <w:r>
              <w:rPr>
                <w:rFonts w:hint="eastAsia" w:ascii="宋体"/>
                <w:szCs w:val="21"/>
              </w:rPr>
              <w:br w:type="textWrapping"/>
            </w:r>
            <w:r>
              <w:rPr>
                <w:rFonts w:hint="eastAsia" w:ascii="宋体"/>
                <w:szCs w:val="21"/>
              </w:rPr>
              <w:t>配置（15分）</w:t>
            </w: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在职人员控制率（5分）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5</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部门本年度实际在职人员数与编制数的比率，用以反映和考核部门对人员成本的控制程度。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“三公经费”</w:t>
            </w:r>
          </w:p>
          <w:p>
            <w:pPr>
              <w:spacing w:line="240" w:lineRule="exact"/>
              <w:jc w:val="center"/>
              <w:rPr>
                <w:rFonts w:ascii="宋体"/>
                <w:szCs w:val="21"/>
              </w:rPr>
            </w:pPr>
            <w:r>
              <w:rPr>
                <w:rFonts w:hint="eastAsia" w:ascii="宋体"/>
                <w:szCs w:val="21"/>
              </w:rPr>
              <w:t>变动率（5分）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5</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部门本年度“三公经费”预算数与上年度“三公经费”预算数的变动比率，用以反映和考核部门对控制重点行政成本的努力程度。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重点支出安排率（5分）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5</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部门本年度预算安排的重点项目支出与部门项目总支出的比率，用以反映和考核部门对履行主要职责或完成重点任务的保障程度。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98"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textDirection w:val="tbRlV"/>
            <w:vAlign w:val="center"/>
          </w:tcPr>
          <w:p>
            <w:pPr>
              <w:spacing w:line="240" w:lineRule="exact"/>
              <w:jc w:val="center"/>
              <w:rPr>
                <w:rFonts w:ascii="宋体"/>
                <w:szCs w:val="21"/>
              </w:rPr>
            </w:pPr>
            <w:r>
              <w:rPr>
                <w:rFonts w:hint="eastAsia" w:ascii="宋体"/>
                <w:szCs w:val="21"/>
              </w:rPr>
              <w:t>过             程（30分）</w:t>
            </w:r>
          </w:p>
        </w:tc>
        <w:tc>
          <w:tcPr>
            <w:tcW w:w="311"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预算</w:t>
            </w:r>
            <w:r>
              <w:rPr>
                <w:rFonts w:hint="eastAsia" w:ascii="宋体"/>
                <w:szCs w:val="21"/>
              </w:rPr>
              <w:br w:type="textWrapping"/>
            </w:r>
            <w:r>
              <w:rPr>
                <w:rFonts w:hint="eastAsia" w:ascii="宋体"/>
                <w:szCs w:val="21"/>
              </w:rPr>
              <w:t>执行</w:t>
            </w:r>
          </w:p>
          <w:p>
            <w:pPr>
              <w:spacing w:line="240" w:lineRule="exact"/>
              <w:jc w:val="center"/>
              <w:rPr>
                <w:rFonts w:ascii="宋体"/>
                <w:szCs w:val="21"/>
              </w:rPr>
            </w:pPr>
            <w:r>
              <w:rPr>
                <w:rFonts w:hint="eastAsia" w:ascii="宋体"/>
                <w:szCs w:val="21"/>
              </w:rPr>
              <w:t>（20分）</w:t>
            </w: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预算完成率（4分）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4</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部门本年度预算完成数与预算数的比率，用以反映和考核部门预算完成程度。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预算调整率（2分）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2</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部门本年度预算调整数与预算数的比率，用以反映和考核部门预算的调整程度。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支付进度率（2分）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2</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部门实际支付进度与既定支付进度的比率，用以反映和考核部门预算执行的及时性和均衡性程度。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textDirection w:val="tbRlV"/>
            <w:vAlign w:val="center"/>
          </w:tcPr>
          <w:p/>
        </w:tc>
        <w:tc>
          <w:tcPr>
            <w:tcW w:w="318" w:type="pct"/>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结转结余控制率（4分）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4</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部门本年度结转结余总额与上年结转结余总额增减比例，用以反映和考核部门对存量资金的实际控制程度。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公用经费</w:t>
            </w:r>
          </w:p>
          <w:p>
            <w:pPr>
              <w:spacing w:line="240" w:lineRule="exact"/>
              <w:jc w:val="center"/>
              <w:rPr>
                <w:rFonts w:ascii="宋体"/>
                <w:szCs w:val="21"/>
              </w:rPr>
            </w:pPr>
            <w:r>
              <w:rPr>
                <w:rFonts w:hint="eastAsia" w:ascii="宋体"/>
                <w:szCs w:val="21"/>
              </w:rPr>
              <w:t>控制率（2分）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2</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部门本年度实际支出的公用经费总额与预算安排的公用经费总额的比率，用以反映和考核部门对机构运转成本的实际控制程度。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“三公经费”控制率（2分）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2</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部门本年度“三公经费”实际支出数与预算安排数的比率，用以反映和考核部门对“三公经费”的实际控制程度。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政府采购</w:t>
            </w:r>
          </w:p>
          <w:p>
            <w:pPr>
              <w:spacing w:line="240" w:lineRule="exact"/>
              <w:jc w:val="center"/>
              <w:rPr>
                <w:rFonts w:ascii="宋体"/>
                <w:szCs w:val="21"/>
              </w:rPr>
            </w:pPr>
            <w:r>
              <w:rPr>
                <w:rFonts w:hint="eastAsia" w:ascii="宋体"/>
                <w:szCs w:val="21"/>
              </w:rPr>
              <w:t>执行率（4分）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4</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部门本年度实际政府采购金额与年初政府采购预算的比率，用以反映和考核部门政府采购预算执行情况。</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1"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预算</w:t>
            </w:r>
          </w:p>
          <w:p>
            <w:pPr>
              <w:spacing w:line="240" w:lineRule="exact"/>
              <w:jc w:val="center"/>
              <w:rPr>
                <w:rFonts w:ascii="宋体"/>
                <w:szCs w:val="21"/>
              </w:rPr>
            </w:pPr>
            <w:r>
              <w:rPr>
                <w:rFonts w:hint="eastAsia" w:ascii="宋体"/>
                <w:szCs w:val="21"/>
              </w:rPr>
              <w:t>管理</w:t>
            </w:r>
          </w:p>
          <w:p>
            <w:pPr>
              <w:spacing w:line="240" w:lineRule="exact"/>
              <w:jc w:val="center"/>
              <w:rPr>
                <w:rFonts w:ascii="宋体"/>
                <w:szCs w:val="21"/>
              </w:rPr>
            </w:pPr>
            <w:r>
              <w:rPr>
                <w:rFonts w:hint="eastAsia" w:ascii="宋体"/>
                <w:szCs w:val="21"/>
              </w:rPr>
              <w:t>（5分）</w:t>
            </w: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管理制度</w:t>
            </w:r>
          </w:p>
          <w:p>
            <w:pPr>
              <w:spacing w:line="240" w:lineRule="exact"/>
              <w:jc w:val="center"/>
              <w:rPr>
                <w:rFonts w:ascii="宋体"/>
                <w:szCs w:val="21"/>
              </w:rPr>
            </w:pPr>
            <w:r>
              <w:rPr>
                <w:rFonts w:hint="eastAsia" w:ascii="宋体"/>
                <w:szCs w:val="21"/>
              </w:rPr>
              <w:t>健全性（2分）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1</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部门为加强预算管理、规范财务行为而制定的管理制度是否健全完整，用以反映和考核部门预算管理制度对完成主要职责或促进事业发展的保障情况。</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资金使用</w:t>
            </w:r>
          </w:p>
          <w:p>
            <w:pPr>
              <w:spacing w:line="240" w:lineRule="exact"/>
              <w:jc w:val="center"/>
              <w:rPr>
                <w:rFonts w:ascii="宋体"/>
                <w:szCs w:val="21"/>
              </w:rPr>
            </w:pPr>
            <w:r>
              <w:rPr>
                <w:rFonts w:hint="eastAsia" w:ascii="宋体"/>
                <w:szCs w:val="21"/>
              </w:rPr>
              <w:t>合规性（1分）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1</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部门使用预算资金是否符合相关的预算财务管理制度的规定，用以反映和考核部门预算资金的规范运行情况。</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预决算信</w:t>
            </w:r>
          </w:p>
          <w:p>
            <w:pPr>
              <w:spacing w:line="240" w:lineRule="exact"/>
              <w:jc w:val="center"/>
              <w:rPr>
                <w:rFonts w:ascii="宋体"/>
                <w:szCs w:val="21"/>
              </w:rPr>
            </w:pPr>
            <w:r>
              <w:rPr>
                <w:rFonts w:hint="eastAsia" w:ascii="宋体"/>
                <w:szCs w:val="21"/>
              </w:rPr>
              <w:t>息公开性（1分）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1</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部门是否按照政府信息公开有关规定公开相关预决算信息，用以反映和考核部门预决算管理的公开透明情况。</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基础信息</w:t>
            </w:r>
          </w:p>
          <w:p>
            <w:pPr>
              <w:spacing w:line="240" w:lineRule="exact"/>
              <w:jc w:val="center"/>
              <w:rPr>
                <w:rFonts w:ascii="宋体"/>
                <w:szCs w:val="21"/>
              </w:rPr>
            </w:pPr>
            <w:r>
              <w:rPr>
                <w:rFonts w:hint="eastAsia" w:ascii="宋体"/>
                <w:szCs w:val="21"/>
              </w:rPr>
              <w:t>完善性（1分）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1</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部门基础信息是否完善，用以反映和考核基础信息对预算管理工作的支撑情况。</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textDirection w:val="tbRlV"/>
            <w:vAlign w:val="center"/>
          </w:tcPr>
          <w:p/>
        </w:tc>
        <w:tc>
          <w:tcPr>
            <w:tcW w:w="311"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资产</w:t>
            </w:r>
            <w:r>
              <w:rPr>
                <w:rFonts w:hint="eastAsia" w:ascii="宋体"/>
                <w:szCs w:val="21"/>
              </w:rPr>
              <w:br w:type="textWrapping"/>
            </w:r>
            <w:r>
              <w:rPr>
                <w:rFonts w:hint="eastAsia" w:ascii="宋体"/>
                <w:szCs w:val="21"/>
              </w:rPr>
              <w:t>管理</w:t>
            </w:r>
          </w:p>
          <w:p>
            <w:pPr>
              <w:spacing w:line="240" w:lineRule="exact"/>
              <w:jc w:val="center"/>
              <w:rPr>
                <w:rFonts w:ascii="宋体"/>
                <w:szCs w:val="21"/>
              </w:rPr>
            </w:pPr>
            <w:r>
              <w:rPr>
                <w:rFonts w:hint="eastAsia" w:ascii="宋体"/>
                <w:szCs w:val="21"/>
              </w:rPr>
              <w:t>（5分）</w:t>
            </w: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管理制度</w:t>
            </w:r>
          </w:p>
          <w:p>
            <w:pPr>
              <w:spacing w:line="240" w:lineRule="exact"/>
              <w:jc w:val="center"/>
              <w:rPr>
                <w:rFonts w:ascii="宋体"/>
                <w:szCs w:val="21"/>
              </w:rPr>
            </w:pPr>
            <w:r>
              <w:rPr>
                <w:rFonts w:hint="eastAsia" w:ascii="宋体"/>
                <w:szCs w:val="21"/>
              </w:rPr>
              <w:t>健全性（2分）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1</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部门为加强资产管理、规范资产管理行为而制定的管理制度是否健全完整，用以反映和考核部门资产管理制度对完成主要职责或促进社会发展的保障情况。</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资产管理</w:t>
            </w:r>
          </w:p>
          <w:p>
            <w:pPr>
              <w:spacing w:line="240" w:lineRule="exact"/>
              <w:jc w:val="center"/>
              <w:rPr>
                <w:rFonts w:ascii="宋体"/>
                <w:szCs w:val="21"/>
              </w:rPr>
            </w:pPr>
            <w:r>
              <w:rPr>
                <w:rFonts w:hint="eastAsia" w:ascii="宋体"/>
                <w:szCs w:val="21"/>
              </w:rPr>
              <w:t>安全性（2分）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761"/>
                <w:tab w:val="left" w:pos="2604"/>
              </w:tabs>
              <w:spacing w:line="240" w:lineRule="exact"/>
              <w:jc w:val="center"/>
              <w:rPr>
                <w:rFonts w:ascii="宋体"/>
                <w:szCs w:val="21"/>
              </w:rPr>
            </w:pPr>
            <w:r>
              <w:rPr>
                <w:rFonts w:hint="eastAsia" w:ascii="宋体"/>
                <w:szCs w:val="21"/>
              </w:rPr>
              <w:t>2</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761"/>
                <w:tab w:val="left" w:pos="2604"/>
              </w:tabs>
              <w:spacing w:line="240" w:lineRule="exact"/>
              <w:rPr>
                <w:rFonts w:ascii="宋体"/>
                <w:szCs w:val="21"/>
              </w:rPr>
            </w:pPr>
            <w:r>
              <w:rPr>
                <w:rFonts w:hint="eastAsia" w:ascii="宋体"/>
                <w:szCs w:val="21"/>
              </w:rPr>
              <w:t>部门的资产是否保存完整、使用合规、配置合理、处置规范、收入及时足额上缴，用以反映和考核部门资产安全运行情况。</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固定资产</w:t>
            </w:r>
          </w:p>
          <w:p>
            <w:pPr>
              <w:spacing w:line="240" w:lineRule="exact"/>
              <w:jc w:val="center"/>
              <w:rPr>
                <w:rFonts w:ascii="宋体"/>
                <w:szCs w:val="21"/>
              </w:rPr>
            </w:pPr>
            <w:r>
              <w:rPr>
                <w:rFonts w:hint="eastAsia" w:ascii="宋体"/>
                <w:szCs w:val="21"/>
              </w:rPr>
              <w:t>利用率（1分）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1</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部门实际在用固定资产总额与所有固定资产总额的比率，用以反映和考核部门固定资产使用效率程度。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98"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textDirection w:val="tbRlV"/>
            <w:vAlign w:val="center"/>
          </w:tcPr>
          <w:p>
            <w:pPr>
              <w:spacing w:line="240" w:lineRule="exact"/>
              <w:jc w:val="center"/>
              <w:rPr>
                <w:rFonts w:ascii="宋体"/>
                <w:szCs w:val="21"/>
              </w:rPr>
            </w:pPr>
            <w:r>
              <w:rPr>
                <w:rFonts w:hint="eastAsia" w:ascii="宋体"/>
                <w:szCs w:val="21"/>
              </w:rPr>
              <w:t>产   出（30分）</w:t>
            </w:r>
          </w:p>
        </w:tc>
        <w:tc>
          <w:tcPr>
            <w:tcW w:w="311"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职责</w:t>
            </w:r>
            <w:r>
              <w:rPr>
                <w:rFonts w:hint="eastAsia" w:ascii="宋体"/>
                <w:szCs w:val="21"/>
              </w:rPr>
              <w:br w:type="textWrapping"/>
            </w:r>
            <w:r>
              <w:rPr>
                <w:rFonts w:hint="eastAsia" w:ascii="宋体"/>
                <w:szCs w:val="21"/>
              </w:rPr>
              <w:t>履行</w:t>
            </w: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实际完成率（8分）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8</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部门履行职责而实际完成工作数与计划工作数的比率，用以反映和考核部门履职工作任务目标的实现程度。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完成及时率（4分）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3</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部门在规定时限内及时完成的实际工作数与计划工作数的比率,用以反映和考核部门履职时效目标的实现程度。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完成及时率=（及时完成实际工作数/计划工作数）×100%。1-4季度各得1分</w:t>
            </w:r>
            <w:r>
              <w:rPr>
                <w:rFonts w:hint="eastAsia" w:ascii="宋体"/>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质量达标率（8分）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7</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达到质量标准（绩效标准值）的实际工作数与计划工作数的比率,用以反映和考核部门履职质量目标的实现程度。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重点工作</w:t>
            </w:r>
          </w:p>
          <w:p>
            <w:pPr>
              <w:spacing w:line="240" w:lineRule="exact"/>
              <w:jc w:val="center"/>
              <w:rPr>
                <w:rFonts w:ascii="宋体"/>
                <w:szCs w:val="21"/>
              </w:rPr>
            </w:pPr>
            <w:r>
              <w:rPr>
                <w:rFonts w:hint="eastAsia" w:ascii="宋体"/>
                <w:szCs w:val="21"/>
              </w:rPr>
              <w:t>办结率（10分）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10</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部门年度重点工作实际完成数与交办或下达数的比率，用以反映部门对重点工作的办理落实程度。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szCs w:val="21"/>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98"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textDirection w:val="tbRlV"/>
            <w:vAlign w:val="center"/>
          </w:tcPr>
          <w:p>
            <w:pPr>
              <w:spacing w:line="240" w:lineRule="exact"/>
              <w:jc w:val="center"/>
              <w:rPr>
                <w:rFonts w:ascii="宋体"/>
                <w:szCs w:val="21"/>
              </w:rPr>
            </w:pPr>
            <w:r>
              <w:rPr>
                <w:rFonts w:hint="eastAsia" w:ascii="宋体"/>
                <w:szCs w:val="21"/>
              </w:rPr>
              <w:t>效   果（20分）</w:t>
            </w:r>
          </w:p>
        </w:tc>
        <w:tc>
          <w:tcPr>
            <w:tcW w:w="311"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履职</w:t>
            </w:r>
            <w:r>
              <w:rPr>
                <w:rFonts w:hint="eastAsia" w:ascii="宋体"/>
                <w:szCs w:val="21"/>
              </w:rPr>
              <w:br w:type="textWrapping"/>
            </w:r>
            <w:r>
              <w:rPr>
                <w:rFonts w:hint="eastAsia" w:ascii="宋体"/>
                <w:szCs w:val="21"/>
              </w:rPr>
              <w:t>效益（20分）</w:t>
            </w: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经济效益（5分）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5</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部门履行职责对经济发展所带来的直接或间接影响。</w:t>
            </w:r>
          </w:p>
        </w:tc>
        <w:tc>
          <w:tcPr>
            <w:tcW w:w="1923" w:type="pct"/>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cs="宋体"/>
                <w:szCs w:val="21"/>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社会效益（5分）</w:t>
            </w:r>
          </w:p>
        </w:tc>
        <w:tc>
          <w:tcPr>
            <w:tcW w:w="286" w:type="pct"/>
            <w:tcBorders>
              <w:top w:val="single" w:color="auto" w:sz="4" w:space="0"/>
              <w:left w:val="single" w:color="auto" w:sz="4" w:space="0"/>
              <w:bottom w:val="single" w:color="auto" w:sz="4" w:space="0"/>
              <w:right w:val="single" w:color="auto" w:sz="4" w:space="0"/>
            </w:tcBorders>
            <w:noWrap/>
            <w:vAlign w:val="center"/>
          </w:tcPr>
          <w:p>
            <w:pPr>
              <w:tabs>
                <w:tab w:val="left" w:pos="2604"/>
              </w:tabs>
              <w:spacing w:line="240" w:lineRule="exact"/>
              <w:jc w:val="center"/>
              <w:rPr>
                <w:rFonts w:ascii="宋体"/>
                <w:szCs w:val="21"/>
              </w:rPr>
            </w:pPr>
            <w:r>
              <w:rPr>
                <w:rFonts w:hint="eastAsia" w:ascii="宋体"/>
                <w:szCs w:val="21"/>
              </w:rPr>
              <w:t>5</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部门履行职责对社会发展所带来的直接或间接影响。</w:t>
            </w:r>
          </w:p>
        </w:tc>
        <w:tc>
          <w:tcPr>
            <w:tcW w:w="213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生态效益（5分）</w:t>
            </w:r>
          </w:p>
        </w:tc>
        <w:tc>
          <w:tcPr>
            <w:tcW w:w="286" w:type="pct"/>
            <w:tcBorders>
              <w:top w:val="single" w:color="auto" w:sz="4" w:space="0"/>
              <w:left w:val="single" w:color="auto" w:sz="4" w:space="0"/>
              <w:bottom w:val="single" w:color="auto" w:sz="4" w:space="0"/>
              <w:right w:val="single" w:color="auto" w:sz="4" w:space="0"/>
            </w:tcBorders>
            <w:noWrap/>
            <w:vAlign w:val="center"/>
          </w:tcPr>
          <w:p>
            <w:pPr>
              <w:tabs>
                <w:tab w:val="left" w:pos="2604"/>
              </w:tabs>
              <w:spacing w:line="240" w:lineRule="exact"/>
              <w:jc w:val="center"/>
              <w:rPr>
                <w:rFonts w:ascii="宋体"/>
                <w:szCs w:val="21"/>
              </w:rPr>
            </w:pPr>
            <w:r>
              <w:rPr>
                <w:rFonts w:hint="eastAsia" w:ascii="宋体"/>
                <w:szCs w:val="21"/>
              </w:rPr>
              <w:t>5</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部门履行职责对生态环境所带来的直接或间接影响。</w:t>
            </w:r>
          </w:p>
        </w:tc>
        <w:tc>
          <w:tcPr>
            <w:tcW w:w="213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tcBorders>
              <w:top w:val="single" w:color="auto" w:sz="4" w:space="0"/>
              <w:left w:val="single" w:color="auto" w:sz="4" w:space="0"/>
              <w:bottom w:val="single" w:color="auto" w:sz="4" w:space="0"/>
              <w:right w:val="single" w:color="auto" w:sz="4" w:space="0"/>
            </w:tcBorders>
            <w:noWrap/>
            <w:vAlign w:val="center"/>
          </w:tcPr>
          <w:p/>
        </w:tc>
        <w:tc>
          <w:tcPr>
            <w:tcW w:w="318" w:type="pct"/>
            <w:vMerge w:val="continue"/>
            <w:tcBorders>
              <w:top w:val="single" w:color="auto" w:sz="4" w:space="0"/>
              <w:left w:val="single" w:color="auto" w:sz="4" w:space="0"/>
              <w:bottom w:val="single" w:color="auto" w:sz="4" w:space="0"/>
              <w:right w:val="single" w:color="auto" w:sz="4" w:space="0"/>
            </w:tcBorders>
            <w:noWrap/>
            <w:vAlign w:val="center"/>
          </w:tcPr>
          <w:p/>
        </w:tc>
        <w:tc>
          <w:tcPr>
            <w:tcW w:w="468"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jc w:val="center"/>
              <w:rPr>
                <w:rFonts w:ascii="宋体"/>
                <w:szCs w:val="21"/>
              </w:rPr>
            </w:pPr>
            <w:r>
              <w:rPr>
                <w:rFonts w:hint="eastAsia" w:ascii="宋体"/>
                <w:szCs w:val="21"/>
              </w:rPr>
              <w:t>社会公众</w:t>
            </w:r>
          </w:p>
          <w:p>
            <w:pPr>
              <w:spacing w:line="240" w:lineRule="exact"/>
              <w:jc w:val="center"/>
              <w:rPr>
                <w:rFonts w:ascii="宋体"/>
                <w:szCs w:val="21"/>
              </w:rPr>
            </w:pPr>
            <w:r>
              <w:rPr>
                <w:rFonts w:hint="eastAsia" w:ascii="宋体"/>
                <w:szCs w:val="21"/>
              </w:rPr>
              <w:t>或服务对</w:t>
            </w:r>
          </w:p>
          <w:p>
            <w:pPr>
              <w:spacing w:line="240" w:lineRule="exact"/>
              <w:jc w:val="center"/>
              <w:rPr>
                <w:rFonts w:ascii="宋体"/>
                <w:szCs w:val="21"/>
              </w:rPr>
            </w:pPr>
            <w:r>
              <w:rPr>
                <w:rFonts w:hint="eastAsia" w:ascii="宋体"/>
                <w:szCs w:val="21"/>
              </w:rPr>
              <w:t>象满意度（5分）</w:t>
            </w:r>
          </w:p>
        </w:tc>
        <w:tc>
          <w:tcPr>
            <w:tcW w:w="286"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tabs>
                <w:tab w:val="left" w:pos="2604"/>
              </w:tabs>
              <w:spacing w:line="240" w:lineRule="exact"/>
              <w:jc w:val="center"/>
              <w:rPr>
                <w:rFonts w:ascii="宋体"/>
                <w:szCs w:val="21"/>
              </w:rPr>
            </w:pPr>
            <w:r>
              <w:rPr>
                <w:rFonts w:hint="eastAsia" w:ascii="宋体"/>
                <w:szCs w:val="21"/>
              </w:rPr>
              <w:t>5</w:t>
            </w:r>
          </w:p>
        </w:tc>
        <w:tc>
          <w:tcPr>
            <w:tcW w:w="1711"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tabs>
                <w:tab w:val="left" w:pos="2604"/>
              </w:tabs>
              <w:spacing w:line="240" w:lineRule="exact"/>
              <w:rPr>
                <w:rFonts w:ascii="宋体"/>
                <w:szCs w:val="21"/>
              </w:rPr>
            </w:pPr>
            <w:r>
              <w:rPr>
                <w:rFonts w:hint="eastAsia" w:ascii="宋体"/>
                <w:szCs w:val="21"/>
              </w:rPr>
              <w:t>社会公众或部门的服务对象对部门履职效果的满意程度。</w:t>
            </w:r>
          </w:p>
        </w:tc>
        <w:tc>
          <w:tcPr>
            <w:tcW w:w="1923"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spacing w:line="240" w:lineRule="exact"/>
              <w:rPr>
                <w:rFonts w:ascii="宋体"/>
                <w:szCs w:val="21"/>
              </w:rPr>
            </w:pPr>
            <w:r>
              <w:rPr>
                <w:rFonts w:hint="eastAsia" w:ascii="宋体" w:cs="宋体"/>
                <w:szCs w:val="21"/>
              </w:rPr>
              <w:t>按收集到的服务对象的满意率计算得分（5分）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98" w:type="pc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szCs w:val="21"/>
              </w:rPr>
            </w:pPr>
            <w:r>
              <w:rPr>
                <w:rFonts w:ascii="宋体"/>
                <w:szCs w:val="21"/>
              </w:rPr>
              <w:t>总分</w:t>
            </w:r>
          </w:p>
        </w:tc>
        <w:tc>
          <w:tcPr>
            <w:tcW w:w="311" w:type="pc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szCs w:val="21"/>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szCs w:val="21"/>
              </w:rPr>
            </w:pPr>
          </w:p>
        </w:tc>
        <w:tc>
          <w:tcPr>
            <w:tcW w:w="286" w:type="pct"/>
            <w:tcBorders>
              <w:top w:val="single" w:color="auto" w:sz="4" w:space="0"/>
              <w:left w:val="single" w:color="auto" w:sz="4" w:space="0"/>
              <w:bottom w:val="single" w:color="auto" w:sz="4" w:space="0"/>
              <w:right w:val="single" w:color="auto" w:sz="4" w:space="0"/>
            </w:tcBorders>
            <w:noWrap/>
            <w:vAlign w:val="center"/>
          </w:tcPr>
          <w:p>
            <w:pPr>
              <w:tabs>
                <w:tab w:val="left" w:pos="2604"/>
              </w:tabs>
              <w:spacing w:line="240" w:lineRule="exact"/>
              <w:jc w:val="center"/>
              <w:rPr>
                <w:rFonts w:ascii="宋体"/>
                <w:szCs w:val="21"/>
              </w:rPr>
            </w:pPr>
            <w:r>
              <w:rPr>
                <w:rFonts w:ascii="宋体"/>
                <w:szCs w:val="21"/>
              </w:rPr>
              <w:t>96</w:t>
            </w:r>
          </w:p>
        </w:tc>
        <w:tc>
          <w:tcPr>
            <w:tcW w:w="1711" w:type="pct"/>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2604"/>
              </w:tabs>
              <w:spacing w:line="240" w:lineRule="exact"/>
              <w:rPr>
                <w:rFonts w:ascii="宋体"/>
                <w:szCs w:val="21"/>
              </w:rPr>
            </w:pPr>
          </w:p>
        </w:tc>
        <w:tc>
          <w:tcPr>
            <w:tcW w:w="192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ascii="宋体" w:cs="宋体"/>
                <w:szCs w:val="21"/>
              </w:rPr>
            </w:pPr>
          </w:p>
        </w:tc>
      </w:tr>
    </w:tbl>
    <w:p>
      <w:pPr>
        <w:spacing w:line="560" w:lineRule="exact"/>
        <w:ind w:firstLine="5280" w:firstLineChars="1650"/>
        <w:rPr>
          <w:rFonts w:ascii="仿宋_GB2312" w:eastAsia="仿宋_GB2312"/>
          <w:sz w:val="32"/>
          <w:szCs w:val="32"/>
        </w:rPr>
      </w:pPr>
    </w:p>
    <w:p/>
    <w:sectPr>
      <w:pgSz w:w="11906" w:h="16838"/>
      <w:pgMar w:top="1134" w:right="1531" w:bottom="1134" w:left="1531" w:header="851" w:footer="1701"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7D5222"/>
    <w:multiLevelType w:val="singleLevel"/>
    <w:tmpl w:val="4B7D52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NGE3MThlZjZkMTVmZWRiMGFhMDI3OTk0ZDc1NmMifQ=="/>
  </w:docVars>
  <w:rsids>
    <w:rsidRoot w:val="00000000"/>
    <w:rsid w:val="44EC27F7"/>
    <w:rsid w:val="5B5D5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topLinePunct/>
    </w:pPr>
    <w:rPr>
      <w:rFonts w:hint="eastAsia"/>
      <w:szCs w:val="24"/>
    </w:rPr>
  </w:style>
  <w:style w:type="paragraph" w:styleId="3">
    <w:name w:val="annotation text"/>
    <w:basedOn w:val="1"/>
    <w:semiHidden/>
    <w:unhideWhenUsed/>
    <w:qFormat/>
    <w:uiPriority w:val="99"/>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2023-06-18T13:42:00Z</dcterms:created>
  <dc:creator>admin-3</dc:creator>
  <cp:lastModifiedBy>Administrator</cp:lastModifiedBy>
  <dcterms:modified xsi:type="dcterms:W3CDTF">2023-10-05T08:16:10Z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0CC7AC2110824D91BC0C4B2797570E6A_12</vt:lpwstr>
  </property>
</Properties>
</file>