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sz w:val="36"/>
          <w:szCs w:val="36"/>
          <w:highlight w:val="none"/>
          <w:lang w:eastAsia="zh-CN"/>
        </w:rPr>
      </w:pPr>
      <w:r>
        <w:rPr>
          <w:rFonts w:hint="eastAsia" w:hAnsi="黑体" w:cs="黑体"/>
          <w:b w:val="0"/>
          <w:bCs/>
          <w:sz w:val="36"/>
          <w:szCs w:val="36"/>
          <w:highlight w:val="none"/>
          <w:lang w:val="en-US" w:eastAsia="zh-CN"/>
        </w:rPr>
        <w:t>益阳市</w:t>
      </w:r>
      <w:r>
        <w:rPr>
          <w:rFonts w:hint="eastAsia" w:ascii="黑体" w:hAnsi="黑体" w:eastAsia="黑体" w:cs="黑体"/>
          <w:b w:val="0"/>
          <w:bCs/>
          <w:sz w:val="36"/>
          <w:szCs w:val="36"/>
          <w:highlight w:val="none"/>
          <w:lang w:eastAsia="zh-CN"/>
        </w:rPr>
        <w:t>赫山区</w:t>
      </w:r>
      <w:r>
        <w:rPr>
          <w:rFonts w:hint="eastAsia" w:ascii="黑体" w:hAnsi="黑体" w:eastAsia="黑体" w:cs="黑体"/>
          <w:b w:val="0"/>
          <w:bCs/>
          <w:sz w:val="36"/>
          <w:szCs w:val="36"/>
          <w:highlight w:val="none"/>
          <w:lang w:val="en-US" w:eastAsia="zh-CN"/>
        </w:rPr>
        <w:t>商务局</w:t>
      </w:r>
      <w:r>
        <w:rPr>
          <w:rFonts w:hint="eastAsia" w:ascii="黑体" w:hAnsi="黑体" w:eastAsia="黑体" w:cs="黑体"/>
          <w:b w:val="0"/>
          <w:bCs/>
          <w:sz w:val="36"/>
          <w:szCs w:val="36"/>
          <w:highlight w:val="none"/>
          <w:lang w:eastAsia="zh-CN"/>
        </w:rPr>
        <w:t>202</w:t>
      </w:r>
      <w:r>
        <w:rPr>
          <w:rFonts w:hint="eastAsia" w:ascii="黑体" w:hAnsi="黑体" w:eastAsia="黑体" w:cs="黑体"/>
          <w:b w:val="0"/>
          <w:bCs/>
          <w:sz w:val="36"/>
          <w:szCs w:val="36"/>
          <w:highlight w:val="none"/>
          <w:lang w:val="en-US" w:eastAsia="zh-CN"/>
        </w:rPr>
        <w:t>1</w:t>
      </w:r>
      <w:r>
        <w:rPr>
          <w:rFonts w:hint="eastAsia" w:ascii="黑体" w:hAnsi="黑体" w:eastAsia="黑体" w:cs="黑体"/>
          <w:b w:val="0"/>
          <w:bCs/>
          <w:sz w:val="36"/>
          <w:szCs w:val="36"/>
          <w:highlight w:val="none"/>
          <w:lang w:eastAsia="zh-CN"/>
        </w:rPr>
        <w:t>年</w:t>
      </w:r>
      <w:r>
        <w:rPr>
          <w:rFonts w:hint="eastAsia" w:hAnsi="黑体" w:cs="黑体"/>
          <w:b w:val="0"/>
          <w:bCs/>
          <w:sz w:val="36"/>
          <w:szCs w:val="36"/>
          <w:highlight w:val="none"/>
          <w:lang w:val="en-US" w:eastAsia="zh-CN"/>
        </w:rPr>
        <w:t>度</w:t>
      </w:r>
      <w:r>
        <w:rPr>
          <w:rFonts w:hint="eastAsia" w:ascii="黑体" w:hAnsi="黑体" w:eastAsia="黑体" w:cs="黑体"/>
          <w:b w:val="0"/>
          <w:bCs/>
          <w:sz w:val="36"/>
          <w:szCs w:val="36"/>
          <w:highlight w:val="none"/>
          <w:lang w:eastAsia="zh-CN"/>
        </w:rPr>
        <w:t>部门整体支出</w:t>
      </w:r>
    </w:p>
    <w:p>
      <w:pPr>
        <w:pStyle w:val="5"/>
        <w:keepNext w:val="0"/>
        <w:keepLines w:val="0"/>
        <w:pageBreakBefore w:val="0"/>
        <w:kinsoku/>
        <w:wordWrap/>
        <w:overflowPunct/>
        <w:topLinePunct w:val="0"/>
        <w:bidi w:val="0"/>
        <w:snapToGrid/>
        <w:spacing w:line="600" w:lineRule="exact"/>
        <w:jc w:val="center"/>
        <w:textAlignment w:val="auto"/>
        <w:rPr>
          <w:rFonts w:hint="eastAsia" w:ascii="黑体" w:hAnsi="黑体" w:eastAsia="黑体" w:cs="黑体"/>
          <w:b w:val="0"/>
          <w:bCs/>
          <w:sz w:val="36"/>
          <w:szCs w:val="36"/>
          <w:highlight w:val="none"/>
          <w:lang w:eastAsia="zh-CN"/>
        </w:rPr>
      </w:pPr>
      <w:r>
        <w:rPr>
          <w:rFonts w:hint="eastAsia" w:ascii="黑体" w:hAnsi="黑体" w:eastAsia="黑体" w:cs="黑体"/>
          <w:b w:val="0"/>
          <w:bCs/>
          <w:sz w:val="36"/>
          <w:szCs w:val="36"/>
          <w:highlight w:val="none"/>
          <w:lang w:eastAsia="zh-CN"/>
        </w:rPr>
        <w:t>绩效评价报告</w:t>
      </w:r>
    </w:p>
    <w:p>
      <w:pPr>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eastAsia="zh-CN"/>
        </w:rPr>
      </w:pP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根据《中共中央国务院关于全面实施预算绩效管理的意见》（中发〔2018〕34号）、《财政部关于印发&lt;项目支出绩效评价管理办法&gt;的通知》（财预〔2020〕10号）和《中共湖南省委办公厅 湖南省人民政府办公厅关于全面实施预算绩效管理的实施意见》（湘政发〔2019〕10号）、《益阳市赫山区财政局关于做好2021年度预算绩效自评工作的通知》（益赫财绩〔2022〕1号）等有关文件精神，本着独立、客观、公正、科学的原则，按照公认的绩效评价方法，我局积极组织，对2021年度本单位整体支出进行了绩效自评，现将具体绩效评价情况报告如下：</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一、单位基本情况</w:t>
      </w:r>
    </w:p>
    <w:p>
      <w:pPr>
        <w:pStyle w:val="5"/>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（一）职能职责</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3.拟订全区国内贸易发展规划，促进城乡市场发展，指导大宗产品批发市场规划和城市商业网点规划、商业体系建设工作，推进农村市场体系建设，组织实施农村现代流通网络工程。</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4.承担牵头协调整顿和规范市场经济秩序工作的责任，提出整顿和规范全区市场秩序的工作建议；推动商务领域信用建设，指导商业信用销售。</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承担组织实施重要消费品市场调控和重要生产资料流通管理的责任，建立健全生活必需品市场供应应急管理机制，监测分析市场运行、商品供求状况，调查分析商品价格信息，进行预测预警和信息引导；按分工负责重要消费品储备管理和市场调控工作；指导全区报汽车回收企业经营管理。</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贯彻执行国家进出口商品、加工贸易管理办法和进出口管理商品、技术目录，协助拟订促进外贸增长方式转变的政策措施，组织实施重要工业品、原材料和重要农产品进出口总量计划，会同有关部门协调大宗进出口商品，指导贸易促进活动和外贸促进体系建设。</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7.贯彻执行国家对外技术贸易、出口管制以及鼓励技术和成套设备进出口的贸易政策，推进进出口贸易标准化工作；依法监督技术引进、设备进口、国家限制出口技术的工作。</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8.拟订服务贸易发展规划并开展相关工作；会同有关部门制定促进服务出口、服务外包的规划、政策并组织实施，推动服务外包平台建设。</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9.贯彻执行我国多双边(含区域、自由贸易区)经贸合</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作战略和政策，推进我区与其他国家(地区)的经贸往来与投资贸易合作；承担全区商务领域涉及世界贸易组织事务的相关工作，负责对外经济贸易协调工作。指导我区对港、澳、台地区贸易和经贸合作活动，协调港、澳、台投资管理工作。</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10.协助开展反倾销、反补贴、保障措施及其他与进出口公平贸易相关的工作，协助开展对外贸易调查和产业损害调查，指导协调产业安全应对工作。</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11.宏观指导全区招商引资和承接产业转移工作，组织实施招商引资和承接产业转移政策；协助投资促进及全区外商投资企业审批工作，规范招商引资活动；承接会展业促进与管理有关工作，指导区级经济技术开发区的有关工作。</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12.承担全区对外经济技术合作工作。指导和监督全区对外承包工程、劳务合作等对外经济合作业务；指导和组织实施市制定的出境就业管理政策，协助实施外派劳务和境外就业人员的权益保护工作。</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13.贯彻执行国家对外援助政策和方案，协调管理全区承担的对外援助项目；协调管理多双边对我区的无偿援助和赠款(不含财政合作项下外国政府及国际金融组织的赠款)等发展合作业务。</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14.负责组织协调相关企业参加商务部、省政府、省商务厅、市政府、市商务局举办的内外贸易促销活动和对外经济技术合作活动，指导、协调以赫山区名义在境内外举办的各种内外贸交易会、展览会、展销会等活动。</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15.负责直属企业及行业服务中心的监督管理。</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16.承担全区商务系统统计及其信息发布工作，提供信息咨询服务，指导全区流通领域信息网络和电子商务建设。</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17.完成区委、区政府交办的其他任务。</w:t>
      </w:r>
    </w:p>
    <w:p>
      <w:pPr>
        <w:pStyle w:val="5"/>
        <w:keepNext w:val="0"/>
        <w:keepLines w:val="0"/>
        <w:pageBreakBefore w:val="0"/>
        <w:kinsoku/>
        <w:wordWrap/>
        <w:overflowPunct/>
        <w:topLinePunct w:val="0"/>
        <w:bidi w:val="0"/>
        <w:snapToGrid/>
        <w:spacing w:line="600" w:lineRule="exact"/>
        <w:ind w:firstLine="602" w:firstLineChars="200"/>
        <w:textAlignment w:val="auto"/>
        <w:rPr>
          <w:rFonts w:hint="default"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（二）机构设置及人员编制情况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根据赫山区编制委员会核定，区商务局其有9个内设机构，分别是：1、办公室； 2、外经外贸股；3、市场调节股；4市场建设股；5、市场秩序股（法规股、政务服务股）；6、电子商务股； 7、投资管理股；8、财务审计股； 9、人事股（企业改制办公室）。</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所属二级机构分别是：1、益阳市赫山区投资促进服务中心（副科级公益一类事业单位）；2、益阳市赫山区行业服务中心（股级公益一类事业单位）。益阳市赫山区商务局机关编制人数13人，实际人数11人，益阳市赫山区行业服务中心编制人数5人，实际人数11人。</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二、一般公共预算支出情况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 xml:space="preserve">2021年赫山区商务局一般公共预算拨款收入331.03万元，年末结转和结余124.97万元。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基本支出</w:t>
      </w:r>
      <w:r>
        <w:rPr>
          <w:rFonts w:hint="eastAsia" w:ascii="仿宋" w:hAnsi="仿宋" w:eastAsia="仿宋" w:cs="仿宋"/>
          <w:b/>
          <w:bCs/>
          <w:sz w:val="30"/>
          <w:szCs w:val="30"/>
          <w:lang w:val="en-US" w:eastAsia="zh-CN"/>
        </w:rPr>
        <w:t>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00" w:firstLineChars="200"/>
        <w:jc w:val="left"/>
        <w:textAlignment w:val="auto"/>
        <w:rPr>
          <w:rFonts w:hint="eastAsia"/>
        </w:rPr>
      </w:pPr>
      <w:r>
        <w:rPr>
          <w:rFonts w:hint="eastAsia" w:ascii="仿宋" w:hAnsi="仿宋" w:eastAsia="仿宋" w:cs="仿宋"/>
          <w:i w:val="0"/>
          <w:caps w:val="0"/>
          <w:color w:val="333333"/>
          <w:spacing w:val="0"/>
          <w:kern w:val="0"/>
          <w:sz w:val="30"/>
          <w:szCs w:val="30"/>
          <w:shd w:val="clear" w:fill="FFFFFF"/>
          <w:lang w:val="en-US" w:eastAsia="zh-CN" w:bidi="ar"/>
        </w:rPr>
        <w:t>基本支出是指为保障单位机构正常运转、完成日常工作任务而发生的各项支出，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362.40</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fill="FFFFFF"/>
          <w:lang w:val="en-US" w:eastAsia="zh-CN" w:bidi="ar"/>
        </w:rPr>
        <w:t>较上年减少202.96万元，减少35.9%，其中人员经费支出288.74万元，占基本支出的 79.67%，较上年减少22.83%，主要是由于:人员减少；公用经费支出支出73.65万元,占基本支出的 20.32%,较上年增加18.60 %，主要是由于:创文创卫防疫经费增加。</w:t>
      </w: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i w:val="0"/>
          <w:caps w:val="0"/>
          <w:color w:val="333333"/>
          <w:spacing w:val="0"/>
          <w:kern w:val="0"/>
          <w:sz w:val="30"/>
          <w:szCs w:val="30"/>
          <w:shd w:val="clear" w:fill="FFFFFF"/>
          <w:lang w:val="en-US" w:eastAsia="zh-CN" w:bidi="ar"/>
        </w:rPr>
      </w:pPr>
      <w:r>
        <w:rPr>
          <w:rFonts w:hint="eastAsia" w:ascii="仿宋" w:hAnsi="仿宋" w:eastAsia="仿宋" w:cs="仿宋"/>
          <w:i w:val="0"/>
          <w:caps w:val="0"/>
          <w:color w:val="333333"/>
          <w:spacing w:val="0"/>
          <w:kern w:val="0"/>
          <w:sz w:val="30"/>
          <w:szCs w:val="30"/>
          <w:shd w:val="clear" w:fill="FFFFFF"/>
          <w:lang w:val="en-US" w:eastAsia="zh-CN" w:bidi="ar"/>
        </w:rPr>
        <w:t>项目支出是指单位为完成特定行政工作任务或事业发展目标而发生的支出。2021年项目支出93.60万元，较上年减少769.31万元，减少89.15%，主要是由于今年没有发展开放型经济专项资金（外贸促进资金）。主要用于其他商贸事务农贸市场卫生保洁费及奖励方面支出40万元，其他涉外发展服务外贸企业扶持资金53.6万元。</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highlight w:val="none"/>
          <w:lang w:val="en-US" w:eastAsia="zh-CN"/>
        </w:rPr>
      </w:pPr>
      <w:r>
        <w:rPr>
          <w:rFonts w:hint="eastAsia" w:ascii="黑体" w:hAnsi="黑体" w:eastAsia="黑体" w:cs="黑体"/>
          <w:b w:val="0"/>
          <w:bCs w:val="0"/>
          <w:sz w:val="30"/>
          <w:szCs w:val="30"/>
          <w:highlight w:val="none"/>
          <w:lang w:val="en-US" w:eastAsia="zh-CN"/>
        </w:rPr>
        <w:t>三、政府性基金预算支出情况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2021年度区商务局无政府性基金预算支出。</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highlight w:val="none"/>
          <w:lang w:val="en-US" w:eastAsia="zh-CN"/>
        </w:rPr>
      </w:pPr>
      <w:r>
        <w:rPr>
          <w:rFonts w:hint="eastAsia" w:ascii="黑体" w:hAnsi="黑体" w:eastAsia="黑体" w:cs="黑体"/>
          <w:b w:val="0"/>
          <w:bCs w:val="0"/>
          <w:sz w:val="30"/>
          <w:szCs w:val="30"/>
          <w:highlight w:val="none"/>
          <w:lang w:val="en-US" w:eastAsia="zh-CN"/>
        </w:rPr>
        <w:t>四、国有资本经营预算支出情况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2021年度区商务局无国有资本经营预算支出。</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highlight w:val="none"/>
          <w:lang w:val="en-US" w:eastAsia="zh-CN"/>
        </w:rPr>
      </w:pPr>
      <w:r>
        <w:rPr>
          <w:rFonts w:hint="eastAsia" w:ascii="黑体" w:hAnsi="黑体" w:eastAsia="黑体" w:cs="黑体"/>
          <w:b w:val="0"/>
          <w:bCs w:val="0"/>
          <w:sz w:val="30"/>
          <w:szCs w:val="30"/>
          <w:highlight w:val="none"/>
          <w:lang w:val="en-US" w:eastAsia="zh-CN"/>
        </w:rPr>
        <w:t>五、社会保险基金预算支出情况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本单位2021年无社会保险基金预算支出情况。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b w:val="0"/>
          <w:bCs w:val="0"/>
          <w:sz w:val="30"/>
          <w:szCs w:val="30"/>
          <w:highlight w:val="none"/>
          <w:lang w:val="en-US" w:eastAsia="zh-CN"/>
        </w:rPr>
      </w:pPr>
      <w:r>
        <w:rPr>
          <w:rFonts w:hint="eastAsia" w:ascii="黑体" w:hAnsi="黑体" w:eastAsia="黑体" w:cs="黑体"/>
          <w:b w:val="0"/>
          <w:bCs w:val="0"/>
          <w:sz w:val="30"/>
          <w:szCs w:val="30"/>
          <w:highlight w:val="none"/>
          <w:lang w:val="en-US" w:eastAsia="zh-CN"/>
        </w:rPr>
        <w:t>六、部门整体支出绩效情况</w:t>
      </w:r>
    </w:p>
    <w:p>
      <w:pPr>
        <w:pStyle w:val="5"/>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（一）绩效评价目的</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为加强预算绩效管理，强化支出责任，建立科学、合理的财政支出绩效评价管理体系，提高财政资金使用效益。根据《益阳市赫山区财政局关于做好2021年度预算绩效自评工作的通知》（益赫财绩〔2022〕1号）等文件精神，在本部门开展财政预算绩效评价工作。</w:t>
      </w:r>
    </w:p>
    <w:p>
      <w:pPr>
        <w:pStyle w:val="5"/>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（二）绩效评价工作情况</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根据绩效自评工作要求，我单位成立了绩效评价工作领导小组，负责绩效评价工作的组织领导和具体实施。评价小组采取座谈等方式听取情况，检查基本支出、项目支出有关账目，收集整理支出相关资料，并根据各部门报送的绩效自评材料进行分析，形成评价结论。</w:t>
      </w:r>
    </w:p>
    <w:p>
      <w:pPr>
        <w:pStyle w:val="5"/>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（三）主要绩效及评价结论</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1.招商引资成果丰硕</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通过找准项目合作点、制定招商方案，运用小分队招商、云招商、以商招商等多种招商方式，积极开展招商引资工作。2021年，我区招商引资指标均超额完成任务。全年签约3家“三类500强”企业：投资30亿元的大唐华银光伏发电项目、投资5亿元的顺丰智慧物流产业园项目、投资1亿元的正泰屋顶发电项目，完成全年目标任务2家的150%；外商直接投资到位798万美元，完成年度任务630万美元的127%；引进省外境内资金128.28亿元，完成年度任务的101%；引进区域外省内资金7.7亿元，完成全年任务的110%；新签约项目46个，完成年度任务的115%；新开工项目35个，完成年度任务的117%；新投产项目35个，完成年度任务的117%。</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2.外经外贸稳中有进</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外贸方面：我区成立龙岭外贸服务中心，降低中小企业开展外贸的成本，增强企业开展外贸进出口的信心；重点扶持外贸重点行业，充分发挥龙头企业集聚带动作用；支持鼓励外贸企业参加中国首届消费品进博会、第四届进出口博览会等大型展会，并帮助参加境外展的企业积极申报资金，帮助我区28家外贸企业申请稳外贸项目资金233.92万元。</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外经方面：做好对外企业跟踪服务，组织我区对外投资企业以及有意向投资企业进行培训。指导企业加强深化中非经贸合作，组织纵横电缆、华冠置业等企业参加湖南非洲三国贸易合作推介会、第二届中非经贸博览会，为我区对非投资合作提供良好平台。</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3.内贸流通攻坚克难</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我区社零企业为适应大经营环境，业态调整变化加快，两家2020年销售数据为3.28亿元的入库骨干医药企业进行了清算和注销，直接导致我区社零数据连续几月排名靠后。面对压力，我局领导和相关股室迎难而上，多次去往产业园调研、召开大型企业座谈会，抓紧促进重点行业优质企业入规，目前已有3家企业通过了市统计局入库审定，另有8家企业入库待审；同时已组织25家大个体准备入库，我区社零排名已从垫底稍有回升。</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为拉动内需、促进消费，我区制定了《益阳市赫山区2021年消费促进活动实施方案》。根据省市相关文件精神，我区于“十一”黄金周期间组织举办了“味道湖南”益阳味道赫山美食周活动。七天的活动期，万达主会场（商场+美食街）人流量达74万人次，同比增长36.8%，销售总额达到4138.8万元，同比增长18.9%；海洋城唐风夜肆小吃街分会场人流量达28万人次，销售总额达196万元，全力拉动内需。</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4.电子商务亮点纷呈</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我区组织外贸企业入驻亚马逊、易贝等国际跨境电商品台；将本地竹木企业出口的产品推介到国内线上销售平台。积极组织企业参加“2021年全国网上年货节”、“2021年电子商务博览会”、“跨境电商培训会”等活动，引导企业抓住当前直播、短视频电商发展新机遇。</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5.乡村振兴助力有方</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我区积极对接农商银行、兴盛优选、仓买买等平台机构，充实村级商务中心功能，完善农村电商物流体系建设。现全区142个行政村已建成基础型村商务中心91个，标准型）村商务中心51个，金融服务、物流快递覆盖率100%。同时，举办乡村电商物流培训会、村级商务代办员培训会等，培育优秀商务代办员。</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6.疫情防控成效显著</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建立了商务领域农贸市场疫情防控常态化工作机制。一是由局领导带队，分工负责：抓好农贸市场“三专两保”，督查、指导商贸流通企业疫情防控措施落实，协助社区疫情防控及局机关日常防控。二是对8个农贸市场（含益阳海吉星）专项清理、专项消毒、体温检测等疫情防控措施落实情况进行专项巡查，确保农贸市场防控到位、供给充足、物价稳定。三是确保防疫物质保障到位。发放口罩5万余个，84消毒液200余箱，体温监测枪50支，宣传喇叭30个。</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7.安全生产不辱使命</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按照安全生产排查方案和《赫山区商务局安全生产工作执法计划》，我局定期聘请有安全生产资质证的第三方专业人员对安全生产监管对象包括加油站、局属二级机构、农贸市场和大中型超市不留死角进行排查，对排查中发现的问题及时进行整改。现场整改安全隐患6处，发出整改通知6份。确保了商贸流通领域安全生产工作得到落实，全年无安全生产事故发生。</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七、存在的问题及原因分析</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highlight w:val="none"/>
          <w:lang w:val="en-US" w:eastAsia="zh-CN"/>
        </w:rPr>
      </w:pPr>
      <w:r>
        <w:rPr>
          <w:rFonts w:hint="eastAsia" w:ascii="仿宋" w:hAnsi="仿宋" w:eastAsia="仿宋" w:cs="仿宋"/>
          <w:sz w:val="30"/>
          <w:szCs w:val="30"/>
          <w:highlight w:val="none"/>
          <w:lang w:val="en-US" w:eastAsia="zh-CN"/>
        </w:rPr>
        <w:t>预算编制不够明确和细化，预算编制的合理性需要提高。因部分工作是年中或年末根据省市相关要求开展，未纳入年初预算，另外还有部分不可预见经费的追加，无法纳入预算，导致预算执行存在偏差。</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黑体" w:hAnsi="黑体" w:eastAsia="黑体" w:cs="黑体"/>
          <w:sz w:val="30"/>
          <w:szCs w:val="30"/>
          <w:highlight w:val="none"/>
          <w:lang w:val="en-US" w:eastAsia="zh-CN"/>
        </w:rPr>
      </w:pPr>
      <w:r>
        <w:rPr>
          <w:rFonts w:hint="eastAsia" w:ascii="黑体" w:hAnsi="黑体" w:eastAsia="黑体" w:cs="黑体"/>
          <w:sz w:val="30"/>
          <w:szCs w:val="30"/>
          <w:highlight w:val="none"/>
          <w:lang w:val="en-US" w:eastAsia="zh-CN"/>
        </w:rPr>
        <w:t>八、下一步改进措施</w:t>
      </w:r>
      <w:bookmarkStart w:id="0" w:name="_GoBack"/>
      <w:bookmarkEnd w:id="0"/>
    </w:p>
    <w:p>
      <w:pPr>
        <w:pStyle w:val="5"/>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（一）应科学合理编制预算，严格执行预算</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加强预算编制的前瞻性，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pStyle w:val="5"/>
        <w:keepNext w:val="0"/>
        <w:keepLines w:val="0"/>
        <w:pageBreakBefore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（二）完善管理制度，进一步加强经费管理</w:t>
      </w:r>
    </w:p>
    <w:p>
      <w:pPr>
        <w:pStyle w:val="5"/>
        <w:keepNext w:val="0"/>
        <w:keepLines w:val="0"/>
        <w:pageBreakBefore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进步贯彻落实中央“八项规定”和湖南省委“九条规定”，建立本部门“三公经费”等公务支出管理制度及厉行节约制度，加强经费审批和控制，规范支出标准与范围，并严格执行。</w:t>
      </w:r>
    </w:p>
    <w:p>
      <w:pPr>
        <w:rPr>
          <w:rFonts w:hint="eastAsia" w:cs="黑体" w:asciiTheme="minorEastAsia" w:hAnsiTheme="minorEastAsia" w:eastAsiaTheme="minorEastAsia"/>
          <w:color w:val="000000"/>
          <w:kern w:val="0"/>
          <w:sz w:val="32"/>
          <w:szCs w:val="32"/>
          <w:lang w:val="en-US" w:eastAsia="zh-CN" w:bidi="ar-SA"/>
        </w:rPr>
      </w:pPr>
    </w:p>
    <w:p/>
    <w:sectPr>
      <w:pgSz w:w="11906" w:h="16838"/>
      <w:pgMar w:top="720" w:right="1531" w:bottom="72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6DC45"/>
    <w:multiLevelType w:val="singleLevel"/>
    <w:tmpl w:val="12D6DC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9CF6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0"/>
    <w:pPr>
      <w:spacing w:beforeLines="0" w:afterLines="0"/>
    </w:pPr>
    <w:rPr>
      <w:rFonts w:hint="eastAsia"/>
      <w:sz w:val="21"/>
      <w:szCs w:val="24"/>
    </w:rPr>
  </w:style>
  <w:style w:type="paragraph" w:customStyle="1" w:styleId="5">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2023-06-18T15:30:20Z</dcterms:created>
  <dc:creator>admin-3</dc:creator>
  <cp:lastModifiedBy>admin-3</cp:lastModifiedBy>
  <dcterms:modified xsi:type="dcterms:W3CDTF">2023-06-18T15:31:08Z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7247A00364724F529DD33A3019100C17_12</vt:lpwstr>
  </property>
</Properties>
</file>