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sz w:val="36"/>
          <w:szCs w:val="36"/>
          <w:highlight w:val="none"/>
          <w:lang w:eastAsia="zh-CN"/>
        </w:rPr>
      </w:pPr>
      <w:r>
        <w:rPr>
          <w:rFonts w:hint="eastAsia" w:hAnsi="黑体" w:cs="黑体"/>
          <w:b w:val="0"/>
          <w:bCs/>
          <w:sz w:val="36"/>
          <w:szCs w:val="36"/>
          <w:highlight w:val="none"/>
          <w:lang w:val="en-US" w:eastAsia="zh-CN"/>
        </w:rPr>
        <w:t>益阳市</w:t>
      </w:r>
      <w:r>
        <w:rPr>
          <w:rFonts w:hint="eastAsia" w:ascii="黑体" w:hAnsi="黑体" w:eastAsia="黑体" w:cs="黑体"/>
          <w:b w:val="0"/>
          <w:bCs/>
          <w:sz w:val="36"/>
          <w:szCs w:val="36"/>
          <w:highlight w:val="none"/>
          <w:lang w:eastAsia="zh-CN"/>
        </w:rPr>
        <w:t>赫山区</w:t>
      </w:r>
      <w:r>
        <w:rPr>
          <w:rFonts w:hint="eastAsia" w:ascii="黑体" w:hAnsi="黑体" w:eastAsia="黑体" w:cs="黑体"/>
          <w:b w:val="0"/>
          <w:bCs/>
          <w:sz w:val="36"/>
          <w:szCs w:val="36"/>
          <w:highlight w:val="none"/>
          <w:lang w:val="en-US" w:eastAsia="zh-CN"/>
        </w:rPr>
        <w:t>商务局</w:t>
      </w:r>
      <w:r>
        <w:rPr>
          <w:rFonts w:hint="eastAsia" w:ascii="黑体" w:hAnsi="黑体" w:eastAsia="黑体" w:cs="黑体"/>
          <w:b w:val="0"/>
          <w:bCs/>
          <w:sz w:val="36"/>
          <w:szCs w:val="36"/>
          <w:highlight w:val="none"/>
          <w:lang w:eastAsia="zh-CN"/>
        </w:rPr>
        <w:t>202</w:t>
      </w:r>
      <w:r>
        <w:rPr>
          <w:rFonts w:hint="eastAsia" w:ascii="黑体" w:hAnsi="黑体" w:eastAsia="黑体" w:cs="黑体"/>
          <w:b w:val="0"/>
          <w:bCs/>
          <w:sz w:val="36"/>
          <w:szCs w:val="36"/>
          <w:highlight w:val="none"/>
          <w:lang w:val="en-US" w:eastAsia="zh-CN"/>
        </w:rPr>
        <w:t>1</w:t>
      </w:r>
      <w:r>
        <w:rPr>
          <w:rFonts w:hint="eastAsia" w:ascii="黑体" w:hAnsi="黑体" w:eastAsia="黑体" w:cs="黑体"/>
          <w:b w:val="0"/>
          <w:bCs/>
          <w:sz w:val="36"/>
          <w:szCs w:val="36"/>
          <w:highlight w:val="none"/>
          <w:lang w:eastAsia="zh-CN"/>
        </w:rPr>
        <w:t>年</w:t>
      </w:r>
      <w:r>
        <w:rPr>
          <w:rFonts w:hint="eastAsia" w:hAnsi="黑体" w:cs="黑体"/>
          <w:b w:val="0"/>
          <w:bCs/>
          <w:sz w:val="36"/>
          <w:szCs w:val="36"/>
          <w:highlight w:val="none"/>
          <w:lang w:val="en-US" w:eastAsia="zh-CN"/>
        </w:rPr>
        <w:t>度</w:t>
      </w:r>
      <w:r>
        <w:rPr>
          <w:rFonts w:hint="eastAsia" w:ascii="黑体" w:hAnsi="黑体" w:eastAsia="黑体" w:cs="黑体"/>
          <w:b w:val="0"/>
          <w:bCs/>
          <w:sz w:val="36"/>
          <w:szCs w:val="36"/>
          <w:highlight w:val="none"/>
          <w:lang w:eastAsia="zh-CN"/>
        </w:rPr>
        <w:t>部门整体支出</w:t>
      </w:r>
    </w:p>
    <w:p>
      <w:pPr>
        <w:pStyle w:val="5"/>
        <w:keepNext w:val="0"/>
        <w:keepLines w:val="0"/>
        <w:pageBreakBefore w:val="0"/>
        <w:kinsoku/>
        <w:wordWrap/>
        <w:overflowPunct/>
        <w:topLinePunct w:val="0"/>
        <w:bidi w:val="0"/>
        <w:snapToGrid/>
        <w:spacing w:line="600" w:lineRule="exact"/>
        <w:jc w:val="center"/>
        <w:textAlignment w:val="auto"/>
        <w:rPr>
          <w:rFonts w:hint="eastAsia" w:ascii="黑体" w:hAnsi="黑体" w:eastAsia="黑体" w:cs="黑体"/>
          <w:b w:val="0"/>
          <w:bCs/>
          <w:sz w:val="36"/>
          <w:szCs w:val="36"/>
          <w:highlight w:val="none"/>
          <w:lang w:eastAsia="zh-CN"/>
        </w:rPr>
      </w:pPr>
      <w:r>
        <w:rPr>
          <w:rFonts w:hint="eastAsia" w:ascii="黑体" w:hAnsi="黑体" w:eastAsia="黑体" w:cs="黑体"/>
          <w:b w:val="0"/>
          <w:bCs/>
          <w:sz w:val="36"/>
          <w:szCs w:val="36"/>
          <w:highlight w:val="none"/>
          <w:lang w:eastAsia="zh-CN"/>
        </w:rPr>
        <w:t>绩效评价报告</w:t>
      </w:r>
    </w:p>
    <w:p>
      <w:pPr>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eastAsia="zh-CN"/>
        </w:rPr>
      </w:pP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根据《中共中央国务院关于全面实施预算绩效管理的意见》（中发〔2018〕34号）、《财政部关于印发&lt;项目支出绩效评价管理办法&gt;的通知》（财预〔2020〕10号）和《中共湖南省委办公厅 湖南省人民政府办公厅关于全面实施预算绩效管理的实施意见》（湘政发〔2019〕10号）、《益阳市赫山区财政局关于做好2021年度预算绩效自评工作的通知》（益赫财绩〔2022〕1号）等有关文件精神，本着独立、客观、公正、科学的原则，按照公认的绩效评价方法，我局积极组织，对2021年度本单位整体支出进行了绩效自评，现将具体绩效评价情况报告如下：</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一、单位基本情况</w:t>
      </w:r>
    </w:p>
    <w:p>
      <w:pPr>
        <w:pStyle w:val="5"/>
        <w:keepNext w:val="0"/>
        <w:keepLines w:val="0"/>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（一）职能职责</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贯彻执行国家国内外贸易、国际经济合作和区域经济合作的发展战略、政策，起草我区国内外贸易、招商引资、承接产业转移、对外援助、对外投资和对外经济合作的政策措施和实施办法，研究经济全球化、区域经济合作、现代流通方式的发展趋势和流通体制改革并提出建议。</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负责推进流通产业结构调整，指导流通企业改革，促进商贸服务业和社区商业发展，提出促进商贸中小企业发展的政策建议，推动流通标准化和连锁经营、商业特许经营、物流配送、电子商务等现代流通方式的发展。</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3.拟订全区国内贸易发展规划，促进城乡市场发展，指导大宗产品批发市场规划和城市商业网点规划、商业体系建设工作，推进农村市场体系建设，组织实施农村现代流通网络工程。</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4.承担牵头协调整顿和规范市场经济秩序工作的责任，提出整顿和规范全区市场秩序的工作建议；推动商务领域信用建设，指导商业信用销售。</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承担组织实施重要消费品市场调控和重要生产资料流通管理的责任，建立健全生活必需品市场供应应急管理机制，监测分析市场运行、商品供求状况，调查分析商品价格信息，进行预测预警和信息引导；按分工负责重要消费品储备管理和市场调控工作；指导全区报汽车回收企业经营管理。</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贯彻执行国家进出口商品、加工贸易管理办法和进出口管理商品、技术目录，协助拟订促进外贸增长方式转变的政策措施，组织实施重要工业品、原材料和重要农产品进出口总量计划，会同有关部门协调大宗进出口商品，指导贸易促进活动和外贸促进体系建设。</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7.贯彻执行国家对外技术贸易、出口管制以及鼓励技术和成套设备进出口的贸易政策，推进进出口贸易标准化工作；依法监督技术引进、设备进口、国家限制出口技术的工作。</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8.拟订服务贸易发展规划并开展相关工作；会同有关部门制定促进服务出口、服务外包的规划、政策并组织实施，推动服务外包平台建设。</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9.贯彻执行我国多双边(含区域、自由贸易区)经贸合</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作战略和政策，推进我区与其他国家(地区)的经贸往来与投资贸易合作；承担全区商务领域涉及世界贸易组织事务的相关工作，负责对外经济贸易协调工作。指导我区对港、澳、台地区贸易和经贸合作活动，协调港、澳、台投资管理工作。</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10.协助开展反倾销、反补贴、保障措施及其他与进出口公平贸易相关的工作，协助开展对外贸易调查和产业损害调查，指导协调产业安全应对工作。</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11.宏观指导全区招商引资和承接产业转移工作，组织实施招商引资和承接产业转移政策；协助投资促进及全区外商投资企业审批工作，规范招商引资活动；承接会展业促进与管理有关工作，指导区级经济技术开发区的有关工作。</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12.承担全区对外经济技术合作工作。指导和监督全区对外承包工程、劳务合作等对外经济合作业务；指导和组织实施市制定的出境就业管理政策，协助实施外派劳务和境外就业人员的权益保护工作。</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13.贯彻执行国家对外援助政策和方案，协调管理全区承担的对外援助项目；协调管理多双边对我区的无偿援助和赠款(不含财政合作项下外国政府及国际金融组织的赠款)等发展合作业务。</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14.负责组织协调相关企业参加商务部、省政府、省商务厅、市政府、市商务局举办的内外贸易促销活动和对外经济技术合作活动，指导、协调以赫山区名义在境内外举办的各种内外贸交易会、展览会、展销会等活动。</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15.负责直属企业及行业服务中心的监督管理。</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16.承担全区商务系统统计及其信息发布工作，提供信息咨询服务，指导全区流通领域信息网络和电子商务建设。</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17.完成区委、区政府交办的其他任务。</w:t>
      </w:r>
    </w:p>
    <w:p>
      <w:pPr>
        <w:pStyle w:val="5"/>
        <w:keepNext w:val="0"/>
        <w:keepLines w:val="0"/>
        <w:pageBreakBefore w:val="0"/>
        <w:kinsoku/>
        <w:wordWrap/>
        <w:overflowPunct/>
        <w:topLinePunct w:val="0"/>
        <w:bidi w:val="0"/>
        <w:snapToGrid/>
        <w:spacing w:line="600" w:lineRule="exact"/>
        <w:ind w:firstLine="602" w:firstLineChars="200"/>
        <w:textAlignment w:val="auto"/>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（二）机构设置及人员编制情况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根据赫山区编制委员会核定，区商务局其有9个内设机构，分别是：1、办公室； 2、外经外贸股；3、市场调节股；4市场建设股；5、市场秩序股（法规股、政务服务股）；6、电子商务股； 7、投资管理股；8、财务审计股； 9、人事股（企业改制办公室）。</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所属二级机构分别是：1、益阳市赫山区投资促进服务中心（副科级公益一类事业单位）；2、益阳市赫山区行业服务中心（股级公益一类事业单位）。益阳市赫山区商务局机关编制人数13人，实际人数11人，益阳市赫山区行业服务中心编制人数5人，实际人数11人。</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二、一般公共预算支出情况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2021年赫山区商务局一般公共预算拨款收入331.03万元，年末结转和结余124.97万元。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lang w:val="en-US" w:eastAsia="zh-CN"/>
        </w:rPr>
      </w:pPr>
      <w:r>
        <w:rPr>
          <w:rFonts w:hint="eastAsia" w:ascii="仿宋" w:hAnsi="仿宋" w:eastAsia="仿宋" w:cs="仿宋"/>
          <w:b/>
          <w:bCs/>
          <w:sz w:val="30"/>
          <w:szCs w:val="30"/>
        </w:rPr>
        <w:t>基本支出</w:t>
      </w:r>
      <w:r>
        <w:rPr>
          <w:rFonts w:hint="eastAsia" w:ascii="仿宋" w:hAnsi="仿宋" w:eastAsia="仿宋" w:cs="仿宋"/>
          <w:b/>
          <w:bCs/>
          <w:sz w:val="30"/>
          <w:szCs w:val="30"/>
          <w:lang w:val="en-US" w:eastAsia="zh-CN"/>
        </w:rPr>
        <w:t>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jc w:val="left"/>
        <w:textAlignment w:val="auto"/>
        <w:rPr>
          <w:rFonts w:hint="eastAsia"/>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362.40</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较上年减少202.96万元，减少35.9%，其中人员经费支出288.74万元，占基本支出的 79.67%，较上年减少22.83%，主要是由于:人员减少；公用经费支出支出73.65万元,占基本支出的 20.32%,较上年增加18.60 %，主要是由于:创文创卫防疫经费增加。</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default" w:ascii="仿宋" w:hAnsi="仿宋" w:eastAsia="仿宋" w:cs="仿宋"/>
          <w:i w:val="0"/>
          <w:caps w:val="0"/>
          <w:color w:val="333333"/>
          <w:spacing w:val="0"/>
          <w:kern w:val="0"/>
          <w:sz w:val="30"/>
          <w:szCs w:val="30"/>
          <w:shd w:val="clear" w:fill="FFFFFF"/>
          <w:lang w:val="en-US" w:eastAsia="zh-CN" w:bidi="ar"/>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93.60万元，较上年减少769.31万元，减少89.15%，主要是由于今年没有发展开放型经济专项资金（外贸促进资金）。主要用于其他商贸事务农贸市场卫生保洁费及奖励方面支出40万元，其他涉外发展服务外贸企业扶持资金53.6万元。</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三、政府性基金预算支出情况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2021年度区商务局无政府性基金预算支出。</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四、国有资本经营预算支出情况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2021年度区商务局无国有资本经营预算支出。</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五、社会保险基金预算支出情况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本单位2021年无社会保险基金预算支出情况。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六、部门整体支出绩效情况</w:t>
      </w:r>
    </w:p>
    <w:p>
      <w:pPr>
        <w:pStyle w:val="5"/>
        <w:keepNext w:val="0"/>
        <w:keepLines w:val="0"/>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（一）绩效评价目的</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为加强预算绩效管理，强化支出责任，建立科学、合理的财政支出绩效评价管理体系，提高财政资金使用效益。根据《益阳市赫山区财政局关于做好2021年度预算绩效自评工作的通知》（益赫财绩〔2022〕1号）等文件精神，在本部门开展财政预算绩效评价工作。</w:t>
      </w:r>
    </w:p>
    <w:p>
      <w:pPr>
        <w:pStyle w:val="5"/>
        <w:keepNext w:val="0"/>
        <w:keepLines w:val="0"/>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（二）绩效评价工作情况</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根据绩效自评工作要求，我单位成立了绩效评价工作领导小组，负责绩效评价工作的组织领导和具体实施。评价小组采取座谈等方式听取情况，检查基本支出、项目支出有关账目，收集整理支出相关资料，并根据各部门报送的绩效自评材料进行分析，形成评价结论。</w:t>
      </w:r>
    </w:p>
    <w:p>
      <w:pPr>
        <w:pStyle w:val="5"/>
        <w:keepNext w:val="0"/>
        <w:keepLines w:val="0"/>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（三）主要绩效及评价结论</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1.招商引资成果丰硕</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通过找准项目合作点、制定招商方案，运用小分队招商、云招商、以商招商等多种招商方式，积极开展招商引资工作。2021年，我区招商引资指标均超额完成任务。全年签约3家“三类500强”企业：投资30亿元的大唐华银光伏发电项目、投资5亿元的顺丰智慧物流产业园项目、投资1亿元的正泰屋顶发电项目，完成全年目标任务2家的150%；外商直接投资到位798万美元，完成年度任务630万美元的127%；引进省外境内资金128.28亿元，完成年度任务的101%；引进区域外省内资金7.7亿元，完成全年任务的110%；新签约项目46个，完成年度任务的115%；新开工项目35个，完成年度任务的117%；新投产项目35个，完成年度任务的117%。</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2.外经外贸稳中有进</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外贸方面：我区成立龙岭外贸服务中心，降低中小企业开展外贸的成本，增强企业开展外贸进出口的信心；重点扶持外贸重点行业，充分发挥龙头企业集聚带动作用；支持鼓励外贸企业参加中国首届消费品进博会、第四届进出口博览会等大型展会，并帮助参加境外展的企业积极申报资金，帮助我区28家外贸企业申请稳外贸项目资金233.92万元。</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外经方面：做好对外企业跟踪服务，组织我区对外投资企业以及有意向投资企业进行培训。指导企业加强深化中非经贸合作，组织纵横电缆、华冠置业等企业参加湖南非洲三国贸易合作推介会、第二届中非经贸博览会，为我区对非投资合作提供良好平台。</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3.内贸流通攻坚克难</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区社零企业为适应大经营环境，业态调整变化加快，两家2020年销售数据为3.28亿元的入库骨干医药企业进行了清算和注销，直接导致我区社零数据连续几月排名靠后。面对压力，我局领导和相关股室迎难而上，多次去往产业园调研、召开大型企业座谈会，抓紧促进重点行业优质企业入规，目前已有3家企业通过了市统计局入库审定，另有8家企业入库待审；同时已组织25家大个体准备入库，我区社零排名已从垫底稍有回升。</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为拉动内需、促进消费，我区制定了《益阳市赫山区2021年消费促进活动实施方案》。根据省市相关文件精神，我区于“十一”黄金周期间组织举办了“味道湖南”益阳味道赫山美食周活动。七天的活动期，万达主会场（商场+美食街）人流量达74万人次，同比增长36.8%，销售总额达到4138.8万元，同比增长18.9%；海洋城唐风夜肆小吃街分会场人流量达28万人次，销售总额达196万元，全力拉动内需。</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4.电子商务亮点纷呈</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区组织外贸企业入驻亚马逊、易贝等国际跨境电商品台；将本地竹木企业出口的产品推介到国内线上销售平台。积极组织企业参加“2021年全国网上年货节”、“2021年电子商务博览会”、“跨境电商培训会”等活动，引导企业抓住当前直播、短视频电商发展新机遇。</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5.乡村振兴助力有方</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我区积极对接农商银行、兴盛优选、仓买买等平台机构，充实村级商务中心功能，完善农村电商物流体系建设。现全区142个行政村已建成基础型村商务中心91个，标准型）村商务中心51个，金融服务、物流快递覆盖率100%。同时，举办乡村电商物流培训会、村级商务代办员培训会等，培育优秀商务代办员。</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6.疫情防控成效显著</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建立了商务领域农贸市场疫情防控常态化工作机制。一是由局领导带队，分工负责：抓好农贸市场“三专两保”，督查、指导商贸流通企业疫情防控措施落实，协助社区疫情防控及局机关日常防控。二是对8个农贸市场（含益阳海吉星）专项清理、专项消毒、体温检测等疫情防控措施落实情况进行专项巡查，确保农贸市场防控到位、供给充足、物价稳定。三是确保防疫物质保障到位。发放口罩5万余个，84消毒液200余箱，体温监测枪50支，宣传喇叭30个。</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7.安全生产不辱使命</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按照安全生产排查方案和《赫山区商务局安全生产工作执法计划》，我局定期聘请有安全生产资质证的第三方专业人员对安全生产监管对象包括加油站、局属二级机构、农贸市场和大中型超市不留死角进行排查，对排查中发现的问题及时进行整改。现场整改安全隐患6处，发出整改通知6份。确保了商贸流通领域安全生产工作得到落实，全年无安全生产事故发生。</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七、存在的问题及原因分析</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sz w:val="30"/>
          <w:szCs w:val="30"/>
          <w:highlight w:val="none"/>
          <w:lang w:val="en-US" w:eastAsia="zh-CN"/>
        </w:rPr>
      </w:pPr>
      <w:r>
        <w:rPr>
          <w:rFonts w:hint="eastAsia" w:ascii="仿宋" w:hAnsi="仿宋" w:eastAsia="仿宋" w:cs="仿宋"/>
          <w:sz w:val="30"/>
          <w:szCs w:val="30"/>
          <w:highlight w:val="none"/>
          <w:lang w:val="en-US" w:eastAsia="zh-CN"/>
        </w:rPr>
        <w:t>预算编制不够明确和细化，预算编制的合理性需要提高。因部分工作是年中或年末根据省市相关要求开展，未纳入年初预算，另外还有部分不可预见经费的追加，无法纳入预算，导致预算执行存在偏差。</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八、下一步改进措施</w:t>
      </w:r>
      <w:bookmarkStart w:id="0" w:name="_GoBack"/>
      <w:bookmarkEnd w:id="0"/>
    </w:p>
    <w:p>
      <w:pPr>
        <w:pStyle w:val="5"/>
        <w:keepNext w:val="0"/>
        <w:keepLines w:val="0"/>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（一）应科学合理编制预算，严格执行预算</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加强预算编制的前瞻性，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pStyle w:val="5"/>
        <w:keepNext w:val="0"/>
        <w:keepLines w:val="0"/>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（二）完善管理制度，进一步加强经费管理</w:t>
      </w:r>
    </w:p>
    <w:p>
      <w:pPr>
        <w:pStyle w:val="5"/>
        <w:keepNext w:val="0"/>
        <w:keepLines w:val="0"/>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进步贯彻落实中央“八项规定”和湖南省委“九条规定”，建立本部门“三公经费”等公务支出管理制度及厉行节约制度，加强经费审批和控制，规范支出标准与范围，并严格执行。</w:t>
      </w:r>
    </w:p>
    <w:p>
      <w:pPr>
        <w:rPr>
          <w:rFonts w:hint="eastAsia" w:cs="黑体" w:asciiTheme="minorEastAsia" w:hAnsiTheme="minorEastAsia" w:eastAsiaTheme="minorEastAsia"/>
          <w:color w:val="000000"/>
          <w:kern w:val="0"/>
          <w:sz w:val="32"/>
          <w:szCs w:val="32"/>
          <w:lang w:val="en-US" w:eastAsia="zh-CN" w:bidi="ar-SA"/>
        </w:rPr>
      </w:pPr>
    </w:p>
    <w:p/>
    <w:sectPr>
      <w:pgSz w:w="11906" w:h="16838"/>
      <w:pgMar w:top="720" w:right="1531" w:bottom="720"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D6DC45"/>
    <w:multiLevelType w:val="singleLevel"/>
    <w:tmpl w:val="12D6DC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9C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0"/>
    <w:pPr>
      <w:spacing w:beforeLines="0" w:afterLines="0"/>
    </w:pPr>
    <w:rPr>
      <w:rFonts w:hint="eastAsia"/>
      <w:sz w:val="21"/>
      <w:szCs w:val="24"/>
    </w:rPr>
  </w:style>
  <w:style w:type="paragraph" w:customStyle="1" w:styleId="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2023-06-18T15:30:20Z</dcterms:created>
  <dc:creator>admin-3</dc:creator>
  <cp:lastModifiedBy>admin-3</cp:lastModifiedBy>
  <dcterms:modified xsi:type="dcterms:W3CDTF">2023-06-18T15:31:08Z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7247A00364724F529DD33A3019100C17_12</vt:lpwstr>
  </property>
</Properties>
</file>