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b w:val="0"/>
          <w:bCs w:val="0"/>
          <w:color w:val="333333"/>
          <w:kern w:val="0"/>
          <w:sz w:val="36"/>
          <w:szCs w:val="36"/>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b w:val="0"/>
          <w:bCs w:val="0"/>
          <w:sz w:val="36"/>
          <w:szCs w:val="36"/>
        </w:rPr>
      </w:pPr>
      <w:r>
        <w:rPr>
          <w:rFonts w:hint="eastAsia" w:ascii="黑体" w:hAnsi="黑体" w:eastAsia="黑体" w:cs="黑体"/>
          <w:b w:val="0"/>
          <w:bCs w:val="0"/>
          <w:color w:val="333333"/>
          <w:kern w:val="0"/>
          <w:sz w:val="36"/>
          <w:szCs w:val="36"/>
          <w:shd w:val="clear" w:fill="FFFFFF"/>
          <w:lang w:val="en-US" w:eastAsia="zh-CN" w:bidi="ar"/>
        </w:rPr>
        <w:t>益阳市赫山区国库集中支付核算中心2021年度部门整体支出绩效评价报告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黑体" w:hAnsi="黑体" w:eastAsia="黑体" w:cs="黑体"/>
          <w:color w:val="333333"/>
          <w:kern w:val="0"/>
          <w:sz w:val="30"/>
          <w:szCs w:val="30"/>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黑体" w:hAnsi="黑体" w:eastAsia="黑体" w:cs="黑体"/>
          <w:color w:val="333333"/>
          <w:kern w:val="0"/>
          <w:sz w:val="30"/>
          <w:szCs w:val="30"/>
          <w:shd w:val="clear" w:fill="FFFFFF"/>
          <w:lang w:val="en-US"/>
        </w:rPr>
      </w:pPr>
      <w:r>
        <w:rPr>
          <w:rFonts w:hint="eastAsia" w:ascii="黑体" w:hAnsi="黑体" w:eastAsia="黑体" w:cs="黑体"/>
          <w:color w:val="333333"/>
          <w:kern w:val="0"/>
          <w:sz w:val="30"/>
          <w:szCs w:val="30"/>
          <w:shd w:val="clear" w:fill="FFFFFF"/>
          <w:lang w:val="en-US" w:eastAsia="zh-CN" w:bidi="ar"/>
        </w:rPr>
        <w:t>一、基本情况</w:t>
      </w:r>
    </w:p>
    <w:p>
      <w:pPr>
        <w:keepNext w:val="0"/>
        <w:keepLines w:val="0"/>
        <w:pageBreakBefore w:val="0"/>
        <w:kinsoku/>
        <w:wordWrap/>
        <w:overflowPunct/>
        <w:topLinePunct w:val="0"/>
        <w:bidi w:val="0"/>
        <w:snapToGrid/>
        <w:spacing w:line="600" w:lineRule="exact"/>
        <w:ind w:firstLine="602" w:firstLineChars="200"/>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部门</w:t>
      </w:r>
      <w:r>
        <w:rPr>
          <w:rFonts w:hint="eastAsia" w:ascii="仿宋" w:hAnsi="仿宋" w:eastAsia="仿宋" w:cs="仿宋"/>
          <w:b/>
          <w:bCs/>
          <w:sz w:val="30"/>
          <w:szCs w:val="30"/>
        </w:rPr>
        <w:t>职责</w:t>
      </w:r>
    </w:p>
    <w:p>
      <w:pPr>
        <w:keepNext w:val="0"/>
        <w:keepLines w:val="0"/>
        <w:pageBreakBefore w:val="0"/>
        <w:numPr>
          <w:ilvl w:val="0"/>
          <w:numId w:val="0"/>
        </w:numPr>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贯彻执行国家有关法律、法规和方针政策，实施区本级国库集中支付工作；</w:t>
      </w:r>
    </w:p>
    <w:p>
      <w:pPr>
        <w:keepNext w:val="0"/>
        <w:keepLines w:val="0"/>
        <w:pageBreakBefore w:val="0"/>
        <w:numPr>
          <w:ilvl w:val="0"/>
          <w:numId w:val="0"/>
        </w:numPr>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参与拟定区级财政国库集中支付管理制度和国库集中支付信息系统管理制度，协助管理国库集中支付信息系统建设和运行；</w:t>
      </w:r>
    </w:p>
    <w:p>
      <w:pPr>
        <w:keepNext w:val="0"/>
        <w:keepLines w:val="0"/>
        <w:pageBreakBefore w:val="0"/>
        <w:numPr>
          <w:ilvl w:val="0"/>
          <w:numId w:val="0"/>
        </w:numPr>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根据财政批复的单位用款计划具体办理财政直接支付和授权支付的审核和拨付；</w:t>
      </w:r>
    </w:p>
    <w:p>
      <w:pPr>
        <w:keepNext w:val="0"/>
        <w:keepLines w:val="0"/>
        <w:pageBreakBefore w:val="0"/>
        <w:numPr>
          <w:ilvl w:val="0"/>
          <w:numId w:val="0"/>
        </w:numPr>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负责管理经市财政局批准的零余额账户及特设专户；</w:t>
      </w:r>
    </w:p>
    <w:p>
      <w:pPr>
        <w:keepNext w:val="0"/>
        <w:keepLines w:val="0"/>
        <w:pageBreakBefore w:val="0"/>
        <w:numPr>
          <w:ilvl w:val="0"/>
          <w:numId w:val="0"/>
        </w:numPr>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汇总并及时向财政国库部门提供财政集中支付信息；</w:t>
      </w:r>
    </w:p>
    <w:p>
      <w:pPr>
        <w:keepNext w:val="0"/>
        <w:keepLines w:val="0"/>
        <w:pageBreakBefore w:val="0"/>
        <w:numPr>
          <w:ilvl w:val="0"/>
          <w:numId w:val="0"/>
        </w:numPr>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协助个人所得税等税收的代扣代缴及政府与财政部门安排的相关款项代扣工作；</w:t>
      </w:r>
    </w:p>
    <w:p>
      <w:pPr>
        <w:keepNext w:val="0"/>
        <w:keepLines w:val="0"/>
        <w:pageBreakBefore w:val="0"/>
        <w:numPr>
          <w:ilvl w:val="0"/>
          <w:numId w:val="0"/>
        </w:numPr>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建立预警支付制度；</w:t>
      </w:r>
    </w:p>
    <w:p>
      <w:pPr>
        <w:keepNext w:val="0"/>
        <w:keepLines w:val="0"/>
        <w:pageBreakBefore w:val="0"/>
        <w:numPr>
          <w:ilvl w:val="0"/>
          <w:numId w:val="0"/>
        </w:numPr>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配合做好推进全区国库集中支付工作，指导全区国库集中支付机构业务工作。</w:t>
      </w:r>
    </w:p>
    <w:p>
      <w:pPr>
        <w:keepNext w:val="0"/>
        <w:keepLines w:val="0"/>
        <w:pageBreakBefore w:val="0"/>
        <w:widowControl/>
        <w:kinsoku/>
        <w:wordWrap/>
        <w:overflowPunct/>
        <w:topLinePunct w:val="0"/>
        <w:bidi w:val="0"/>
        <w:snapToGrid/>
        <w:spacing w:line="600" w:lineRule="exact"/>
        <w:ind w:firstLine="602" w:firstLineChars="200"/>
        <w:textAlignment w:val="auto"/>
        <w:rPr>
          <w:rFonts w:hint="eastAsia" w:ascii="仿宋" w:hAnsi="仿宋" w:eastAsia="仿宋" w:cs="仿宋"/>
          <w:b/>
          <w:bCs w:val="0"/>
          <w:kern w:val="0"/>
          <w:sz w:val="30"/>
          <w:szCs w:val="30"/>
          <w:lang w:val="en-US" w:eastAsia="zh-CN"/>
        </w:rPr>
      </w:pPr>
      <w:r>
        <w:rPr>
          <w:rFonts w:hint="eastAsia" w:ascii="仿宋" w:hAnsi="仿宋" w:eastAsia="仿宋" w:cs="仿宋"/>
          <w:b/>
          <w:bCs w:val="0"/>
          <w:kern w:val="0"/>
          <w:sz w:val="30"/>
          <w:szCs w:val="30"/>
        </w:rPr>
        <w:t>（</w:t>
      </w:r>
      <w:r>
        <w:rPr>
          <w:rFonts w:hint="eastAsia" w:ascii="仿宋" w:hAnsi="仿宋" w:eastAsia="仿宋" w:cs="仿宋"/>
          <w:b/>
          <w:bCs w:val="0"/>
          <w:kern w:val="0"/>
          <w:sz w:val="30"/>
          <w:szCs w:val="30"/>
          <w:lang w:val="en-US" w:eastAsia="zh-CN"/>
        </w:rPr>
        <w:t>二</w:t>
      </w:r>
      <w:r>
        <w:rPr>
          <w:rFonts w:hint="eastAsia" w:ascii="仿宋" w:hAnsi="仿宋" w:eastAsia="仿宋" w:cs="仿宋"/>
          <w:b/>
          <w:bCs w:val="0"/>
          <w:kern w:val="0"/>
          <w:sz w:val="30"/>
          <w:szCs w:val="30"/>
        </w:rPr>
        <w:t>）机构设置</w:t>
      </w:r>
      <w:r>
        <w:rPr>
          <w:rFonts w:hint="eastAsia" w:ascii="仿宋" w:hAnsi="仿宋" w:eastAsia="仿宋" w:cs="仿宋"/>
          <w:b/>
          <w:bCs w:val="0"/>
          <w:kern w:val="0"/>
          <w:sz w:val="30"/>
          <w:szCs w:val="30"/>
          <w:lang w:val="en-US" w:eastAsia="zh-CN"/>
        </w:rPr>
        <w:t>情况</w:t>
      </w:r>
    </w:p>
    <w:p>
      <w:pPr>
        <w:keepNext w:val="0"/>
        <w:keepLines w:val="0"/>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bCs/>
          <w:kern w:val="0"/>
          <w:sz w:val="30"/>
          <w:szCs w:val="30"/>
        </w:rPr>
      </w:pPr>
      <w:r>
        <w:rPr>
          <w:rFonts w:hint="eastAsia" w:ascii="仿宋" w:hAnsi="仿宋" w:eastAsia="仿宋" w:cs="仿宋"/>
          <w:sz w:val="30"/>
          <w:szCs w:val="30"/>
        </w:rPr>
        <w:t>本单位性质为参照公务员管理的事业单位，机构编制管理部门核定编制人数15人，内设会计股，出纳股，综合股三个股室。</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color w:val="333333"/>
          <w:kern w:val="0"/>
          <w:sz w:val="30"/>
          <w:szCs w:val="30"/>
          <w:shd w:val="clear" w:fill="FFFFFF"/>
          <w:lang w:val="en-US" w:eastAsia="zh-CN" w:bidi="ar"/>
        </w:rPr>
      </w:pPr>
      <w:r>
        <w:rPr>
          <w:rFonts w:hint="eastAsia" w:ascii="仿宋" w:hAnsi="仿宋" w:eastAsia="仿宋" w:cs="仿宋"/>
          <w:b/>
          <w:bCs/>
          <w:color w:val="333333"/>
          <w:kern w:val="0"/>
          <w:sz w:val="30"/>
          <w:szCs w:val="30"/>
          <w:shd w:val="clear" w:fill="FFFFFF"/>
          <w:lang w:val="en-US" w:eastAsia="zh-CN" w:bidi="ar"/>
        </w:rPr>
        <w:t>（三）机构设置及人员情况</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独立核算单位1个，无二级机构，本单位经区编委核定的编制人数为15人。年末实有人数10人。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黑体" w:hAnsi="黑体" w:eastAsia="黑体" w:cs="黑体"/>
          <w:color w:val="333333"/>
          <w:kern w:val="0"/>
          <w:sz w:val="30"/>
          <w:szCs w:val="30"/>
          <w:shd w:val="clear" w:fill="FFFFFF"/>
          <w:lang w:val="en-US" w:eastAsia="zh-CN" w:bidi="ar"/>
        </w:rPr>
      </w:pPr>
      <w:r>
        <w:rPr>
          <w:rFonts w:hint="eastAsia" w:ascii="黑体" w:hAnsi="黑体" w:eastAsia="黑体" w:cs="黑体"/>
          <w:color w:val="333333"/>
          <w:kern w:val="0"/>
          <w:sz w:val="30"/>
          <w:szCs w:val="30"/>
          <w:shd w:val="clear" w:fill="FFFFFF"/>
          <w:lang w:val="en-US" w:eastAsia="zh-CN" w:bidi="ar"/>
        </w:rPr>
        <w:t>二、一般公共预算支出情况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基本支出</w:t>
      </w:r>
      <w:r>
        <w:rPr>
          <w:rFonts w:hint="eastAsia" w:ascii="仿宋" w:hAnsi="仿宋" w:eastAsia="仿宋" w:cs="仿宋"/>
          <w:b/>
          <w:bCs/>
          <w:sz w:val="30"/>
          <w:szCs w:val="30"/>
          <w:lang w:val="en-US" w:eastAsia="zh-CN"/>
        </w:rPr>
        <w:t>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jc w:val="left"/>
        <w:textAlignment w:val="auto"/>
        <w:rPr>
          <w:rFonts w:hint="default"/>
          <w:lang w:val="en-US"/>
        </w:rPr>
      </w:pPr>
      <w:r>
        <w:rPr>
          <w:rFonts w:hint="eastAsia" w:ascii="仿宋" w:hAnsi="仿宋" w:eastAsia="仿宋" w:cs="仿宋"/>
          <w:i w:val="0"/>
          <w:caps w:val="0"/>
          <w:color w:val="333333"/>
          <w:spacing w:val="0"/>
          <w:kern w:val="0"/>
          <w:sz w:val="30"/>
          <w:szCs w:val="30"/>
          <w:shd w:val="clear" w:fill="FFFFFF"/>
          <w:lang w:val="en-US" w:eastAsia="zh-CN" w:bidi="ar"/>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170.25</w:t>
      </w:r>
      <w:r>
        <w:rPr>
          <w:rFonts w:hint="eastAsia" w:ascii="仿宋" w:hAnsi="仿宋" w:eastAsia="仿宋" w:cs="仿宋"/>
          <w:sz w:val="30"/>
          <w:szCs w:val="30"/>
        </w:rPr>
        <w:t>万元，</w:t>
      </w:r>
      <w:r>
        <w:rPr>
          <w:rFonts w:hint="eastAsia" w:ascii="仿宋" w:hAnsi="仿宋" w:eastAsia="仿宋" w:cs="仿宋"/>
          <w:i w:val="0"/>
          <w:caps w:val="0"/>
          <w:color w:val="333333"/>
          <w:spacing w:val="0"/>
          <w:kern w:val="0"/>
          <w:sz w:val="30"/>
          <w:szCs w:val="30"/>
          <w:shd w:val="clear" w:fill="FFFFFF"/>
          <w:lang w:val="en-US" w:eastAsia="zh-CN" w:bidi="ar"/>
        </w:rPr>
        <w:t>较上年减少27.78万元，减少14%，其中人员经费支出121.9万元，占基本支出的 71%，较上年减少11 %，主要是由于原因人员调出；公用经费支出44.39万元,占基本支出的29%,较上年减少25 %，主要是由于原因，2020年转入机关水电费，本年度未支出。</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i w:val="0"/>
          <w:caps w:val="0"/>
          <w:color w:val="333333"/>
          <w:spacing w:val="0"/>
          <w:kern w:val="0"/>
          <w:sz w:val="30"/>
          <w:szCs w:val="30"/>
          <w:shd w:val="clear" w:fill="FFFFFF"/>
          <w:lang w:val="en-US" w:eastAsia="zh-CN" w:bidi="ar"/>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项目支出是指单位为完成特定行政工作任务或事业发展目标而发生的支出。2021年项目支出0万元，与上年持平。</w:t>
      </w:r>
      <w:bookmarkStart w:id="0" w:name="_GoBack"/>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黑体" w:hAnsi="黑体" w:eastAsia="黑体" w:cs="黑体"/>
          <w:color w:val="333333"/>
          <w:kern w:val="0"/>
          <w:sz w:val="30"/>
          <w:szCs w:val="30"/>
          <w:shd w:val="clear" w:fill="FFFFFF"/>
          <w:lang w:val="en-US" w:eastAsia="zh-CN" w:bidi="ar"/>
        </w:rPr>
      </w:pPr>
      <w:r>
        <w:rPr>
          <w:rFonts w:hint="eastAsia" w:ascii="黑体" w:hAnsi="黑体" w:eastAsia="黑体" w:cs="黑体"/>
          <w:color w:val="333333"/>
          <w:kern w:val="0"/>
          <w:sz w:val="30"/>
          <w:szCs w:val="30"/>
          <w:shd w:val="clear" w:fill="FFFFFF"/>
          <w:lang w:val="en-US" w:eastAsia="zh-CN" w:bidi="ar"/>
        </w:rPr>
        <w:t>三、政府性基金预算支出情况</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eastAsia="zh-CN" w:bidi="ar"/>
        </w:rPr>
      </w:pPr>
      <w:r>
        <w:rPr>
          <w:rFonts w:hint="eastAsia" w:ascii="仿宋" w:hAnsi="仿宋" w:eastAsia="仿宋" w:cs="仿宋"/>
          <w:color w:val="333333"/>
          <w:kern w:val="0"/>
          <w:sz w:val="30"/>
          <w:szCs w:val="30"/>
          <w:shd w:val="clear" w:fill="FFFFFF"/>
          <w:lang w:val="en-US" w:eastAsia="zh-CN" w:bidi="ar"/>
        </w:rPr>
        <w:t>本单位无政府性基金预算支出。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黑体" w:hAnsi="黑体" w:eastAsia="黑体" w:cs="黑体"/>
          <w:color w:val="333333"/>
          <w:kern w:val="0"/>
          <w:sz w:val="30"/>
          <w:szCs w:val="30"/>
          <w:shd w:val="clear" w:fill="FFFFFF"/>
          <w:lang w:val="en-US" w:eastAsia="zh-CN" w:bidi="ar"/>
        </w:rPr>
      </w:pPr>
      <w:r>
        <w:rPr>
          <w:rFonts w:hint="eastAsia" w:ascii="黑体" w:hAnsi="黑体" w:eastAsia="黑体" w:cs="黑体"/>
          <w:color w:val="333333"/>
          <w:kern w:val="0"/>
          <w:sz w:val="30"/>
          <w:szCs w:val="30"/>
          <w:shd w:val="clear" w:fill="FFFFFF"/>
          <w:lang w:val="en-US" w:eastAsia="zh-CN" w:bidi="ar"/>
        </w:rPr>
        <w:t>四、国有资本经营预算支出情况</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eastAsia="zh-CN" w:bidi="ar"/>
        </w:rPr>
      </w:pPr>
      <w:r>
        <w:rPr>
          <w:rFonts w:hint="eastAsia" w:ascii="仿宋" w:hAnsi="仿宋" w:eastAsia="仿宋" w:cs="仿宋"/>
          <w:color w:val="333333"/>
          <w:kern w:val="0"/>
          <w:sz w:val="30"/>
          <w:szCs w:val="30"/>
          <w:shd w:val="clear" w:fill="FFFFFF"/>
          <w:lang w:val="en-US" w:eastAsia="zh-CN" w:bidi="ar"/>
        </w:rPr>
        <w:t>本单位无国有资本经营预算支出。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黑体" w:hAnsi="黑体" w:eastAsia="黑体" w:cs="黑体"/>
          <w:color w:val="333333"/>
          <w:kern w:val="0"/>
          <w:sz w:val="30"/>
          <w:szCs w:val="30"/>
          <w:shd w:val="clear" w:fill="FFFFFF"/>
          <w:lang w:val="en-US" w:eastAsia="zh-CN" w:bidi="ar"/>
        </w:rPr>
      </w:pPr>
      <w:r>
        <w:rPr>
          <w:rFonts w:hint="eastAsia" w:ascii="黑体" w:hAnsi="黑体" w:eastAsia="黑体" w:cs="黑体"/>
          <w:color w:val="333333"/>
          <w:kern w:val="0"/>
          <w:sz w:val="30"/>
          <w:szCs w:val="30"/>
          <w:shd w:val="clear" w:fill="FFFFFF"/>
          <w:lang w:val="en-US" w:eastAsia="zh-CN" w:bidi="ar"/>
        </w:rPr>
        <w:t>五、社会保险基金预算支出情况</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eastAsia="zh-CN" w:bidi="ar"/>
        </w:rPr>
      </w:pPr>
      <w:r>
        <w:rPr>
          <w:rFonts w:hint="eastAsia" w:ascii="仿宋" w:hAnsi="仿宋" w:eastAsia="仿宋" w:cs="仿宋"/>
          <w:color w:val="333333"/>
          <w:kern w:val="0"/>
          <w:sz w:val="30"/>
          <w:szCs w:val="30"/>
          <w:shd w:val="clear" w:fill="FFFFFF"/>
          <w:lang w:val="en-US" w:eastAsia="zh-CN" w:bidi="ar"/>
        </w:rPr>
        <w:t>本单位无社会保险基金预算支出。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黑体" w:hAnsi="黑体" w:eastAsia="黑体" w:cs="黑体"/>
          <w:color w:val="333333"/>
          <w:kern w:val="0"/>
          <w:sz w:val="30"/>
          <w:szCs w:val="30"/>
          <w:shd w:val="clear" w:fill="FFFFFF"/>
          <w:lang w:val="en-US" w:eastAsia="zh-CN" w:bidi="ar"/>
        </w:rPr>
      </w:pPr>
      <w:r>
        <w:rPr>
          <w:rFonts w:hint="eastAsia" w:ascii="黑体" w:hAnsi="黑体" w:eastAsia="黑体" w:cs="黑体"/>
          <w:color w:val="333333"/>
          <w:kern w:val="0"/>
          <w:sz w:val="30"/>
          <w:szCs w:val="30"/>
          <w:shd w:val="clear" w:fill="FFFFFF"/>
          <w:lang w:val="en-US" w:eastAsia="zh-CN" w:bidi="ar"/>
        </w:rPr>
        <w:t>六、部门整体支出绩效情况</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color w:val="333333"/>
          <w:kern w:val="0"/>
          <w:sz w:val="30"/>
          <w:szCs w:val="30"/>
          <w:shd w:val="clear" w:fill="FFFFFF"/>
          <w:lang w:val="en-US" w:eastAsia="zh-CN" w:bidi="ar"/>
        </w:rPr>
      </w:pPr>
      <w:r>
        <w:rPr>
          <w:rFonts w:hint="eastAsia" w:ascii="仿宋" w:hAnsi="仿宋" w:eastAsia="仿宋" w:cs="仿宋"/>
          <w:b/>
          <w:bCs/>
          <w:color w:val="333333"/>
          <w:kern w:val="0"/>
          <w:sz w:val="30"/>
          <w:szCs w:val="30"/>
          <w:shd w:val="clear" w:fill="FFFFFF"/>
          <w:lang w:val="en-US" w:eastAsia="zh-CN" w:bidi="ar"/>
        </w:rPr>
        <w:t>（一）部门整体支出目标</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eastAsia="zh-CN" w:bidi="ar"/>
        </w:rPr>
      </w:pPr>
      <w:r>
        <w:rPr>
          <w:rFonts w:hint="eastAsia" w:ascii="仿宋" w:hAnsi="仿宋" w:eastAsia="仿宋" w:cs="仿宋"/>
          <w:color w:val="333333"/>
          <w:kern w:val="0"/>
          <w:sz w:val="30"/>
          <w:szCs w:val="30"/>
          <w:shd w:val="clear" w:fill="FFFFFF"/>
          <w:lang w:val="en-US" w:eastAsia="zh-CN" w:bidi="ar"/>
        </w:rPr>
        <w:t>预决算公开：按照上级的要求，我中心在赫山区门户网站进行了2021年预算公开。</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eastAsia="zh-CN" w:bidi="ar"/>
        </w:rPr>
      </w:pPr>
      <w:r>
        <w:rPr>
          <w:rFonts w:hint="eastAsia" w:ascii="仿宋" w:hAnsi="仿宋" w:eastAsia="仿宋" w:cs="仿宋"/>
          <w:color w:val="333333"/>
          <w:kern w:val="0"/>
          <w:sz w:val="30"/>
          <w:szCs w:val="30"/>
          <w:shd w:val="clear" w:fill="FFFFFF"/>
          <w:lang w:val="en-US" w:eastAsia="zh-CN" w:bidi="ar"/>
        </w:rPr>
        <w:t>资产管理：我中心进一步加强资产的管理，明确具体资产管理人，严格报批、销审等手续。</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三公经费：贯彻落实上级有关精神，严格控制“三公经费”支出，取得了良好效果。2021年“三公”经费财政拨款支出决算数为0万元，2021年“三公”经费支出决算数0万元，主要原因是：我单位实行了公车改革，已无公务用车支出，并厉行中央八项规定，无公务接待费用。</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内部管理制度建设：一是按照财政部制定的《内部会计控制规范》，进一步完善本单位内部控制制度，夯实内控基础环境；二是进一步明晰职责强化制约，推进内控机制建设。</w:t>
      </w:r>
    </w:p>
    <w:p>
      <w:pPr>
        <w:keepNext w:val="0"/>
        <w:keepLines w:val="0"/>
        <w:pageBreakBefore w:val="0"/>
        <w:widowControl/>
        <w:suppressLineNumbers w:val="0"/>
        <w:shd w:val="clear" w:fill="FFFFFF"/>
        <w:kinsoku/>
        <w:wordWrap/>
        <w:overflowPunct/>
        <w:topLinePunct w:val="0"/>
        <w:bidi w:val="0"/>
        <w:snapToGrid/>
        <w:spacing w:before="150" w:beforeAutospacing="0" w:after="0" w:afterAutospacing="0" w:line="600" w:lineRule="exact"/>
        <w:ind w:left="0" w:right="0" w:firstLine="602" w:firstLineChars="200"/>
        <w:jc w:val="left"/>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b/>
          <w:bCs/>
          <w:color w:val="333333"/>
          <w:kern w:val="0"/>
          <w:sz w:val="30"/>
          <w:szCs w:val="30"/>
          <w:shd w:val="clear" w:fill="FFFFFF"/>
          <w:lang w:val="en-US" w:eastAsia="zh-CN" w:bidi="ar"/>
        </w:rPr>
        <w:t>（二）绩效评价工作情况</w:t>
      </w:r>
    </w:p>
    <w:p>
      <w:pPr>
        <w:keepNext w:val="0"/>
        <w:keepLines w:val="0"/>
        <w:pageBreakBefore w:val="0"/>
        <w:widowControl/>
        <w:suppressLineNumbers w:val="0"/>
        <w:shd w:val="clear" w:fill="FFFFFF"/>
        <w:kinsoku/>
        <w:wordWrap/>
        <w:overflowPunct/>
        <w:topLinePunct w:val="0"/>
        <w:bidi w:val="0"/>
        <w:snapToGrid/>
        <w:spacing w:before="15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1.绩效评价目的</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认真执行年初部门预算和财政政策要求。我中心经费安排严格按照年初预算来执行，有效防止超预算；在资金使用上，严格遵守各项财经法规和财务管理制度规定，资金拨付有完整的审批程序和手续，支出符合部门预算批复的用途，无截留、挤占、挪用、虚列支出等情况。</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2.绩效评价工作过程</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根据绩效评价的要求，我们成立了自评工作领导小组，对照自评方案进行研究和部署，全体干部共同参与，按照自评方案的要求，对照各实施项目的内容逐条自评。在自评过程发现问题，查找原因，及时纠正偏差，为下一步工作夯实基础。</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b/>
          <w:bCs/>
          <w:color w:val="333333"/>
          <w:kern w:val="0"/>
          <w:sz w:val="30"/>
          <w:szCs w:val="30"/>
          <w:shd w:val="clear" w:fill="FFFFFF"/>
          <w:lang w:val="en-US" w:eastAsia="zh-CN" w:bidi="ar"/>
        </w:rPr>
        <w:t>（三）主要绩效及评价结论</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1.逐步完善、规范会计集中核算和国库集中支付工作流程，严格执行先审后核再支付的工作步骤，严格执行内部操作规程，中心主任、副主任、核算会计、资金管理出纳、银行业务联络员、档案管理员专职传岗，各司其职，分工协作，责权清晰，确保了会计集中核算和国库集中支付的平稳运行。</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2.加强银行账户管理。积极配合财政监督检查股和国库股做好财政账户第三方对账工作，加强中心与银行、单位的账务核对，按时将核对结果报送财政监督检查股，自觉接受财政内部监督。</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3.及时办理业务工作。2021年，区国库集中支付系统办理支付业务58000笔、支付金额达63亿元，直接支付金额占总支付金额的99%以上，并保持资金支付零差错。</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黑体" w:hAnsi="黑体" w:eastAsia="黑体" w:cs="黑体"/>
          <w:color w:val="333333"/>
          <w:kern w:val="0"/>
          <w:sz w:val="30"/>
          <w:szCs w:val="30"/>
          <w:shd w:val="clear" w:fill="FFFFFF"/>
          <w:lang w:val="en-US" w:eastAsia="zh-CN" w:bidi="ar"/>
        </w:rPr>
      </w:pPr>
      <w:r>
        <w:rPr>
          <w:rFonts w:hint="eastAsia" w:ascii="黑体" w:hAnsi="黑体" w:eastAsia="黑体" w:cs="黑体"/>
          <w:color w:val="333333"/>
          <w:kern w:val="0"/>
          <w:sz w:val="30"/>
          <w:szCs w:val="30"/>
          <w:shd w:val="clear" w:fill="FFFFFF"/>
          <w:lang w:val="en-US" w:eastAsia="zh-CN" w:bidi="ar"/>
        </w:rPr>
        <w:t>七、存在的问题及原因分析</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财政收付业务越来越多，管理风险加大。</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黑体" w:hAnsi="黑体" w:eastAsia="黑体" w:cs="黑体"/>
          <w:color w:val="333333"/>
          <w:kern w:val="0"/>
          <w:sz w:val="30"/>
          <w:szCs w:val="30"/>
          <w:shd w:val="clear" w:fill="FFFFFF"/>
          <w:lang w:val="en-US" w:eastAsia="zh-CN" w:bidi="ar"/>
        </w:rPr>
      </w:pPr>
      <w:r>
        <w:rPr>
          <w:rFonts w:hint="eastAsia" w:ascii="黑体" w:hAnsi="黑体" w:eastAsia="黑体" w:cs="黑体"/>
          <w:color w:val="333333"/>
          <w:kern w:val="0"/>
          <w:sz w:val="30"/>
          <w:szCs w:val="30"/>
          <w:shd w:val="clear" w:fill="FFFFFF"/>
          <w:lang w:val="en-US" w:eastAsia="zh-CN" w:bidi="ar"/>
        </w:rPr>
        <w:t>八、下一步改进措施</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（一）不断加强业务管理。目前我中心增加了工资发放、社保费用缴纳等工作，需进一步加强管理，严格控制业务差错。</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rPr>
      </w:pPr>
      <w:r>
        <w:rPr>
          <w:rFonts w:hint="eastAsia" w:ascii="仿宋" w:hAnsi="仿宋" w:eastAsia="仿宋" w:cs="仿宋"/>
          <w:color w:val="333333"/>
          <w:kern w:val="0"/>
          <w:sz w:val="30"/>
          <w:szCs w:val="30"/>
          <w:shd w:val="clear" w:fill="FFFFFF"/>
          <w:lang w:val="en-US" w:eastAsia="zh-CN" w:bidi="ar"/>
        </w:rPr>
        <w:t>（二）科学理财，强化财政职能作用。按照中央和省、市部署，进一步强化财政监督，积极推进财政预算、财政决算公开，不断提高财政透明度</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黑体" w:hAnsi="黑体" w:eastAsia="黑体" w:cs="黑体"/>
          <w:color w:val="333333"/>
          <w:kern w:val="0"/>
          <w:sz w:val="30"/>
          <w:szCs w:val="30"/>
          <w:shd w:val="clear" w:fill="FFFFFF"/>
          <w:lang w:val="en-US" w:eastAsia="zh-CN" w:bidi="ar"/>
        </w:rPr>
      </w:pPr>
      <w:r>
        <w:rPr>
          <w:rFonts w:hint="eastAsia" w:ascii="黑体" w:hAnsi="黑体" w:eastAsia="黑体" w:cs="黑体"/>
          <w:color w:val="333333"/>
          <w:kern w:val="0"/>
          <w:sz w:val="30"/>
          <w:szCs w:val="30"/>
          <w:shd w:val="clear" w:fill="FFFFFF"/>
          <w:lang w:val="en-US" w:eastAsia="zh-CN" w:bidi="ar"/>
        </w:rPr>
        <w:t>九、其他需要说明的情况</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eastAsia="zh-CN" w:bidi="ar"/>
        </w:rPr>
      </w:pPr>
      <w:r>
        <w:rPr>
          <w:rFonts w:hint="eastAsia" w:ascii="仿宋" w:hAnsi="仿宋" w:eastAsia="仿宋" w:cs="仿宋"/>
          <w:color w:val="333333"/>
          <w:kern w:val="0"/>
          <w:sz w:val="30"/>
          <w:szCs w:val="30"/>
          <w:shd w:val="clear" w:fill="FFFFFF"/>
          <w:lang w:val="en-US" w:eastAsia="zh-CN" w:bidi="ar"/>
        </w:rPr>
        <w:t>无其他需要说明的情况。</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eastAsia" w:ascii="仿宋" w:hAnsi="仿宋" w:eastAsia="仿宋" w:cs="仿宋"/>
          <w:color w:val="333333"/>
          <w:kern w:val="0"/>
          <w:sz w:val="30"/>
          <w:szCs w:val="30"/>
          <w:shd w:val="clear" w:fill="FFFFFF"/>
          <w:lang w:val="en-US" w:eastAsia="zh-CN" w:bidi="ar"/>
        </w:rPr>
      </w:pPr>
      <w:r>
        <w:rPr>
          <w:rFonts w:hint="eastAsia" w:ascii="仿宋" w:hAnsi="仿宋" w:eastAsia="仿宋" w:cs="仿宋"/>
          <w:color w:val="333333"/>
          <w:kern w:val="0"/>
          <w:sz w:val="30"/>
          <w:szCs w:val="30"/>
          <w:shd w:val="clear" w:fill="FFFFFF"/>
          <w:lang w:val="en-US" w:eastAsia="zh-CN" w:bidi="ar"/>
        </w:rPr>
        <w:t>附件：2021年度部门整体支出绩效自评指标计分表</w:t>
      </w:r>
    </w:p>
    <w:p>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firstLine="600" w:firstLineChars="200"/>
        <w:jc w:val="left"/>
        <w:textAlignment w:val="auto"/>
        <w:rPr>
          <w:rFonts w:hint="default" w:ascii="仿宋" w:hAnsi="仿宋" w:eastAsia="仿宋" w:cs="仿宋"/>
          <w:color w:val="333333"/>
          <w:kern w:val="0"/>
          <w:sz w:val="30"/>
          <w:szCs w:val="30"/>
          <w:shd w:val="clear" w:fill="FFFFFF"/>
          <w:lang w:val="en-US" w:eastAsia="zh-CN" w:bidi="ar"/>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jc w:val="both"/>
        <w:textAlignment w:val="auto"/>
        <w:rPr>
          <w:rFonts w:hint="eastAsia" w:ascii="仿宋" w:hAnsi="仿宋" w:eastAsia="仿宋" w:cs="仿宋"/>
          <w:sz w:val="30"/>
          <w:szCs w:val="30"/>
        </w:rPr>
      </w:pPr>
    </w:p>
    <w:p>
      <w:pPr>
        <w:keepNext w:val="0"/>
        <w:keepLines w:val="0"/>
        <w:pageBreakBefore w:val="0"/>
        <w:kinsoku/>
        <w:wordWrap/>
        <w:overflowPunct/>
        <w:topLinePunct w:val="0"/>
        <w:bidi w:val="0"/>
        <w:snapToGrid/>
        <w:spacing w:beforeLines="50" w:afterLines="50" w:line="600" w:lineRule="exact"/>
        <w:ind w:firstLine="600" w:firstLineChars="200"/>
        <w:jc w:val="center"/>
        <w:textAlignment w:val="auto"/>
        <w:rPr>
          <w:rFonts w:hint="eastAsia" w:ascii="黑体" w:hAnsi="黑体" w:eastAsia="黑体" w:cs="黑体"/>
          <w:sz w:val="30"/>
          <w:szCs w:val="30"/>
        </w:rPr>
      </w:pPr>
      <w:r>
        <w:rPr>
          <w:rFonts w:hint="eastAsia" w:ascii="黑体" w:hAnsi="黑体" w:eastAsia="黑体" w:cs="黑体"/>
          <w:sz w:val="30"/>
          <w:szCs w:val="30"/>
        </w:rPr>
        <w:t>202</w:t>
      </w:r>
      <w:r>
        <w:rPr>
          <w:rFonts w:hint="eastAsia" w:ascii="黑体" w:hAnsi="黑体" w:eastAsia="黑体" w:cs="黑体"/>
          <w:sz w:val="30"/>
          <w:szCs w:val="30"/>
          <w:lang w:val="en-US" w:eastAsia="zh-CN"/>
        </w:rPr>
        <w:t>1</w:t>
      </w:r>
      <w:r>
        <w:rPr>
          <w:rFonts w:hint="eastAsia" w:ascii="黑体" w:hAnsi="黑体" w:eastAsia="黑体" w:cs="黑体"/>
          <w:sz w:val="30"/>
          <w:szCs w:val="30"/>
        </w:rPr>
        <w:t>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b/>
                <w:bCs/>
              </w:rPr>
            </w:pPr>
            <w:r>
              <w:rPr>
                <w:rFonts w:hint="eastAsia" w:ascii="宋体" w:hAnsi="宋体" w:cs="宋体"/>
                <w:b/>
                <w:bCs/>
              </w:rPr>
              <w:t>一级</w:t>
            </w:r>
            <w:r>
              <w:rPr>
                <w:rFonts w:hint="default"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174" w:rightChars="-83"/>
              <w:jc w:val="center"/>
              <w:rPr>
                <w:rFonts w:hint="default" w:ascii="宋体" w:cs="宋体"/>
                <w:b/>
                <w:bCs/>
              </w:rPr>
            </w:pPr>
            <w:r>
              <w:rPr>
                <w:rFonts w:hint="eastAsia" w:ascii="宋体" w:hAnsi="宋体" w:cs="宋体"/>
                <w:b/>
                <w:bCs/>
              </w:rPr>
              <w:t>二级</w:t>
            </w:r>
          </w:p>
          <w:p>
            <w:pPr>
              <w:keepNext w:val="0"/>
              <w:keepLines w:val="0"/>
              <w:suppressLineNumbers w:val="0"/>
              <w:spacing w:before="0" w:beforeAutospacing="0" w:after="0" w:afterAutospacing="0" w:line="240" w:lineRule="exact"/>
              <w:ind w:left="0" w:right="-174" w:rightChars="-83"/>
              <w:jc w:val="center"/>
              <w:rPr>
                <w:rFonts w:hint="default"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b/>
                <w:bCs/>
              </w:rPr>
            </w:pPr>
            <w:r>
              <w:rPr>
                <w:rFonts w:hint="eastAsia" w:ascii="宋体" w:hAnsi="宋体" w:cs="宋体"/>
                <w:b/>
                <w:bCs/>
              </w:rPr>
              <w:t>三级</w:t>
            </w:r>
          </w:p>
          <w:p>
            <w:pPr>
              <w:keepNext w:val="0"/>
              <w:keepLines w:val="0"/>
              <w:suppressLineNumbers w:val="0"/>
              <w:spacing w:before="0" w:beforeAutospacing="0" w:after="0" w:afterAutospacing="0" w:line="240" w:lineRule="exact"/>
              <w:ind w:left="0" w:right="0"/>
              <w:jc w:val="center"/>
              <w:rPr>
                <w:rFonts w:hint="default" w:ascii="宋体" w:cs="宋体"/>
                <w:b/>
                <w:bCs/>
              </w:rPr>
            </w:pPr>
            <w:r>
              <w:rPr>
                <w:rFonts w:hint="eastAsia" w:ascii="宋体" w:hAnsi="宋体" w:cs="宋体"/>
                <w:b/>
                <w:bCs/>
              </w:rPr>
              <w:t>指标</w:t>
            </w:r>
          </w:p>
        </w:tc>
        <w:tc>
          <w:tcPr>
            <w:tcW w:w="375" w:type="pct"/>
            <w:vAlign w:val="center"/>
          </w:tcPr>
          <w:p>
            <w:pPr>
              <w:keepNext w:val="0"/>
              <w:keepLines w:val="0"/>
              <w:suppressLineNumbers w:val="0"/>
              <w:spacing w:before="0" w:beforeAutospacing="0" w:after="0" w:afterAutospacing="0" w:line="240" w:lineRule="exact"/>
              <w:ind w:left="105" w:leftChars="50" w:right="105" w:rightChars="50"/>
              <w:jc w:val="center"/>
              <w:rPr>
                <w:rFonts w:hint="default"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jc w:val="center"/>
              <w:rPr>
                <w:rFonts w:hint="default"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jc w:val="center"/>
              <w:rPr>
                <w:rFonts w:hint="default"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投</w:t>
            </w:r>
            <w:r>
              <w:rPr>
                <w:rFonts w:hint="default" w:ascii="宋体" w:hAnsi="宋体" w:cs="宋体"/>
              </w:rPr>
              <w:t xml:space="preserve">   </w:t>
            </w:r>
            <w:r>
              <w:rPr>
                <w:rFonts w:hint="eastAsia" w:ascii="宋体" w:hAnsi="宋体" w:cs="宋体"/>
              </w:rPr>
              <w:t>入（</w:t>
            </w:r>
            <w:r>
              <w:rPr>
                <w:rFonts w:hint="default"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目标</w:t>
            </w:r>
            <w:r>
              <w:rPr>
                <w:rFonts w:hint="default" w:ascii="宋体" w:cs="宋体"/>
              </w:rPr>
              <w:br w:type="textWrapping"/>
            </w:r>
            <w:r>
              <w:rPr>
                <w:rFonts w:hint="eastAsia" w:ascii="宋体" w:hAnsi="宋体" w:cs="宋体"/>
              </w:rPr>
              <w:t>设定（</w:t>
            </w:r>
            <w:r>
              <w:rPr>
                <w:rFonts w:hint="default"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绩效目标</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合理性（</w:t>
            </w:r>
            <w:r>
              <w:rPr>
                <w:rFonts w:hint="default" w:ascii="宋体" w:hAnsi="宋体" w:cs="宋体"/>
              </w:rPr>
              <w:t>2</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2</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评价要点：</w:t>
            </w:r>
            <w:r>
              <w:rPr>
                <w:rFonts w:hint="default" w:ascii="宋体" w:cs="宋体"/>
              </w:rPr>
              <w:br w:type="textWrapping"/>
            </w:r>
            <w:r>
              <w:rPr>
                <w:rFonts w:hint="eastAsia" w:ascii="宋体" w:hAnsi="宋体" w:cs="宋体"/>
              </w:rPr>
              <w:t>①是否符合国家法律法规、国民经济和社会发展总体规划；</w:t>
            </w:r>
            <w:r>
              <w:rPr>
                <w:rFonts w:hint="default" w:ascii="宋体" w:cs="宋体"/>
              </w:rPr>
              <w:br w:type="textWrapping"/>
            </w:r>
            <w:r>
              <w:rPr>
                <w:rFonts w:hint="eastAsia" w:ascii="宋体" w:hAnsi="宋体" w:cs="宋体"/>
              </w:rPr>
              <w:t>②是否符合部门“三定”方案确定的职责；</w:t>
            </w:r>
            <w:r>
              <w:rPr>
                <w:rFonts w:hint="default"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绩效指标</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明确性（</w:t>
            </w:r>
            <w:r>
              <w:rPr>
                <w:rFonts w:hint="default" w:ascii="宋体" w:hAnsi="宋体" w:cs="宋体"/>
              </w:rPr>
              <w:t>3</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3</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评价要点：</w:t>
            </w:r>
            <w:r>
              <w:rPr>
                <w:rFonts w:hint="default" w:ascii="宋体" w:cs="宋体"/>
              </w:rPr>
              <w:br w:type="textWrapping"/>
            </w:r>
            <w:r>
              <w:rPr>
                <w:rFonts w:hint="eastAsia" w:ascii="宋体" w:hAnsi="宋体" w:cs="宋体"/>
              </w:rPr>
              <w:t>①是否将部门整体的绩效目标细化分解为具体的工作任务；</w:t>
            </w:r>
            <w:r>
              <w:rPr>
                <w:rFonts w:hint="default" w:ascii="宋体" w:cs="宋体"/>
              </w:rPr>
              <w:br w:type="textWrapping"/>
            </w:r>
            <w:r>
              <w:rPr>
                <w:rFonts w:hint="eastAsia" w:ascii="宋体" w:hAnsi="宋体" w:cs="宋体"/>
              </w:rPr>
              <w:t>②是否通过清晰、可衡量的指标值予以体现。</w:t>
            </w:r>
            <w:r>
              <w:rPr>
                <w:rFonts w:hint="default" w:ascii="宋体" w:hAnsi="宋体" w:cs="宋体"/>
              </w:rPr>
              <w:t xml:space="preserve">    </w:t>
            </w:r>
            <w:r>
              <w:rPr>
                <w:rFonts w:hint="eastAsia" w:ascii="宋体" w:hAnsi="宋体" w:cs="宋体"/>
              </w:rPr>
              <w:t>③是否与部门年度的任务数或计划数相对应；</w:t>
            </w:r>
            <w:r>
              <w:rPr>
                <w:rFonts w:hint="default"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375" w:type="pct"/>
            <w:vMerge w:val="restar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预算</w:t>
            </w:r>
            <w:r>
              <w:rPr>
                <w:rFonts w:hint="default" w:ascii="宋体" w:cs="宋体"/>
              </w:rPr>
              <w:br w:type="textWrapping"/>
            </w:r>
            <w:r>
              <w:rPr>
                <w:rFonts w:hint="eastAsia" w:ascii="宋体" w:hAnsi="宋体" w:cs="宋体"/>
              </w:rPr>
              <w:t>配置（</w:t>
            </w:r>
            <w:r>
              <w:rPr>
                <w:rFonts w:hint="default"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在职人员</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控制率（</w:t>
            </w:r>
            <w:r>
              <w:rPr>
                <w:rFonts w:hint="default" w:ascii="宋体" w:hAnsi="宋体" w:cs="宋体"/>
              </w:rPr>
              <w:t>5</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在职人员控制率</w:t>
            </w:r>
            <w:r>
              <w:rPr>
                <w:rFonts w:hint="default" w:ascii="宋体" w:hAnsi="宋体" w:cs="宋体"/>
              </w:rPr>
              <w:t>=</w:t>
            </w:r>
            <w:r>
              <w:rPr>
                <w:rFonts w:hint="eastAsia" w:ascii="宋体" w:hAnsi="宋体" w:cs="宋体"/>
              </w:rPr>
              <w:t>（在职人员数</w:t>
            </w:r>
            <w:r>
              <w:rPr>
                <w:rFonts w:hint="default" w:ascii="宋体" w:hAnsi="宋体" w:cs="宋体"/>
              </w:rPr>
              <w:t>/</w:t>
            </w:r>
            <w:r>
              <w:rPr>
                <w:rFonts w:hint="eastAsia" w:ascii="宋体" w:hAnsi="宋体" w:cs="宋体"/>
              </w:rPr>
              <w:t>编制数）×</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在职人员数：部门实际在职人数，以财政部确定的部门决算编制口径为准。</w:t>
            </w:r>
            <w:r>
              <w:rPr>
                <w:rFonts w:hint="default"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“三公经费”</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变动率（</w:t>
            </w:r>
            <w:r>
              <w:rPr>
                <w:rFonts w:hint="default" w:ascii="宋体" w:hAnsi="宋体" w:cs="宋体"/>
              </w:rPr>
              <w:t>5</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“三公经费”变动率</w:t>
            </w:r>
            <w:r>
              <w:rPr>
                <w:rFonts w:hint="default" w:ascii="宋体" w:hAnsi="宋体" w:cs="宋体"/>
              </w:rPr>
              <w:t>=[</w:t>
            </w:r>
            <w:r>
              <w:rPr>
                <w:rFonts w:hint="eastAsia" w:ascii="宋体" w:hAnsi="宋体" w:cs="宋体"/>
              </w:rPr>
              <w:t>（本年度“三公经费”总额</w:t>
            </w:r>
            <w:r>
              <w:rPr>
                <w:rFonts w:hint="default" w:ascii="宋体" w:hAnsi="宋体" w:cs="宋体"/>
              </w:rPr>
              <w:t>-</w:t>
            </w:r>
            <w:r>
              <w:rPr>
                <w:rFonts w:hint="eastAsia" w:ascii="宋体" w:hAnsi="宋体" w:cs="宋体"/>
              </w:rPr>
              <w:t>上年度“三公经费”总额）</w:t>
            </w:r>
            <w:r>
              <w:rPr>
                <w:rFonts w:hint="default" w:ascii="宋体" w:hAnsi="宋体" w:cs="宋体"/>
              </w:rPr>
              <w:t>/</w:t>
            </w:r>
            <w:r>
              <w:rPr>
                <w:rFonts w:hint="eastAsia" w:ascii="宋体" w:hAnsi="宋体" w:cs="宋体"/>
              </w:rPr>
              <w:t>上年度“三公经费”总额</w:t>
            </w:r>
            <w:r>
              <w:rPr>
                <w:rFonts w:hint="default" w:ascii="宋体" w:hAnsi="宋体" w:cs="宋体"/>
              </w:rPr>
              <w:t>]</w:t>
            </w:r>
            <w:r>
              <w:rPr>
                <w:rFonts w:hint="eastAsia" w:ascii="宋体" w:hAnsi="宋体" w:cs="宋体"/>
              </w:rPr>
              <w:t>×</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重点支出</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安排率（</w:t>
            </w:r>
            <w:r>
              <w:rPr>
                <w:rFonts w:hint="default" w:ascii="宋体" w:hAnsi="宋体" w:cs="宋体"/>
              </w:rPr>
              <w:t>5</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重点支出安排率</w:t>
            </w:r>
            <w:r>
              <w:rPr>
                <w:rFonts w:hint="default" w:ascii="宋体" w:hAnsi="宋体" w:cs="宋体"/>
              </w:rPr>
              <w:t>=</w:t>
            </w:r>
            <w:r>
              <w:rPr>
                <w:rFonts w:hint="eastAsia" w:ascii="宋体" w:hAnsi="宋体" w:cs="宋体"/>
              </w:rPr>
              <w:t>（重点预算支出</w:t>
            </w:r>
            <w:r>
              <w:rPr>
                <w:rFonts w:hint="default" w:ascii="宋体" w:hAnsi="宋体" w:cs="宋体"/>
              </w:rPr>
              <w:t>/</w:t>
            </w:r>
            <w:r>
              <w:rPr>
                <w:rFonts w:hint="eastAsia" w:ascii="宋体" w:hAnsi="宋体" w:cs="宋体"/>
              </w:rPr>
              <w:t>预算总支出）×</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hint="default"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过</w:t>
            </w:r>
            <w:r>
              <w:rPr>
                <w:rFonts w:hint="default" w:ascii="宋体" w:hAnsi="宋体" w:cs="宋体"/>
              </w:rPr>
              <w:t xml:space="preserve">   </w:t>
            </w:r>
            <w:r>
              <w:rPr>
                <w:rFonts w:hint="eastAsia" w:ascii="宋体" w:hAnsi="宋体" w:cs="宋体"/>
              </w:rPr>
              <w:t>程（</w:t>
            </w:r>
            <w:r>
              <w:rPr>
                <w:rFonts w:hint="default"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预算</w:t>
            </w:r>
            <w:r>
              <w:rPr>
                <w:rFonts w:hint="default" w:ascii="宋体" w:cs="宋体"/>
              </w:rPr>
              <w:br w:type="textWrapping"/>
            </w:r>
            <w:r>
              <w:rPr>
                <w:rFonts w:hint="eastAsia" w:ascii="宋体" w:hAnsi="宋体" w:cs="宋体"/>
              </w:rPr>
              <w:t>执行（</w:t>
            </w:r>
            <w:r>
              <w:rPr>
                <w:rFonts w:hint="default"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预算</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执行率（</w:t>
            </w:r>
            <w:r>
              <w:rPr>
                <w:rFonts w:hint="default" w:ascii="宋体" w:hAnsi="宋体" w:cs="宋体"/>
              </w:rPr>
              <w:t>4</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4</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预算执行率</w:t>
            </w:r>
            <w:r>
              <w:rPr>
                <w:rFonts w:hint="default" w:ascii="宋体" w:hAnsi="宋体" w:cs="宋体"/>
              </w:rPr>
              <w:t>=</w:t>
            </w:r>
            <w:r>
              <w:rPr>
                <w:rFonts w:hint="eastAsia" w:ascii="宋体" w:hAnsi="宋体" w:cs="宋体"/>
              </w:rPr>
              <w:t>（预算执行数</w:t>
            </w:r>
            <w:r>
              <w:rPr>
                <w:rFonts w:hint="default" w:ascii="宋体" w:hAnsi="宋体" w:cs="宋体"/>
              </w:rPr>
              <w:t>/</w:t>
            </w:r>
            <w:r>
              <w:rPr>
                <w:rFonts w:hint="eastAsia" w:ascii="宋体" w:hAnsi="宋体" w:cs="宋体"/>
              </w:rPr>
              <w:t>预算数）×</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预算执行数：部门本年度实际完成的预算数。</w:t>
            </w:r>
            <w:r>
              <w:rPr>
                <w:rFonts w:hint="default"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预算</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调整率（</w:t>
            </w:r>
            <w:r>
              <w:rPr>
                <w:rFonts w:hint="default" w:ascii="宋体" w:hAnsi="宋体" w:cs="宋体"/>
              </w:rPr>
              <w:t>2</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2</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预算调整率</w:t>
            </w:r>
            <w:r>
              <w:rPr>
                <w:rFonts w:hint="default" w:ascii="宋体" w:hAnsi="宋体" w:cs="宋体"/>
              </w:rPr>
              <w:t>=</w:t>
            </w:r>
            <w:r>
              <w:rPr>
                <w:rFonts w:hint="eastAsia" w:ascii="宋体" w:hAnsi="宋体" w:cs="宋体"/>
              </w:rPr>
              <w:t>（预算调整数</w:t>
            </w:r>
            <w:r>
              <w:rPr>
                <w:rFonts w:hint="default" w:ascii="宋体" w:hAnsi="宋体" w:cs="宋体"/>
              </w:rPr>
              <w:t>/</w:t>
            </w:r>
            <w:r>
              <w:rPr>
                <w:rFonts w:hint="eastAsia" w:ascii="宋体" w:hAnsi="宋体" w:cs="宋体"/>
              </w:rPr>
              <w:t>预算数）×</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支付</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进度率（</w:t>
            </w:r>
            <w:r>
              <w:rPr>
                <w:rFonts w:hint="default" w:ascii="宋体" w:hAnsi="宋体" w:cs="宋体"/>
              </w:rPr>
              <w:t>2</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2</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支付进度率</w:t>
            </w:r>
            <w:r>
              <w:rPr>
                <w:rFonts w:hint="default" w:ascii="宋体" w:hAnsi="宋体" w:cs="宋体"/>
              </w:rPr>
              <w:t>=</w:t>
            </w:r>
            <w:r>
              <w:rPr>
                <w:rFonts w:hint="eastAsia" w:ascii="宋体" w:hAnsi="宋体" w:cs="宋体"/>
              </w:rPr>
              <w:t>（实际支付进度</w:t>
            </w:r>
            <w:r>
              <w:rPr>
                <w:rFonts w:hint="default" w:ascii="宋体" w:hAnsi="宋体" w:cs="宋体"/>
              </w:rPr>
              <w:t>/</w:t>
            </w:r>
            <w:r>
              <w:rPr>
                <w:rFonts w:hint="eastAsia" w:ascii="宋体" w:hAnsi="宋体" w:cs="宋体"/>
              </w:rPr>
              <w:t>既定支付进度）×</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实际支付进度：部门在某一时点的支出预算执行总数与年度支出预算数的比率。</w:t>
            </w:r>
            <w:r>
              <w:rPr>
                <w:rFonts w:hint="default"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结转</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结余率（</w:t>
            </w:r>
            <w:r>
              <w:rPr>
                <w:rFonts w:hint="default" w:ascii="宋体" w:hAnsi="宋体" w:cs="宋体"/>
              </w:rPr>
              <w:t>2</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2</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结转结余率</w:t>
            </w:r>
            <w:r>
              <w:rPr>
                <w:rFonts w:hint="default" w:ascii="宋体" w:hAnsi="宋体" w:cs="宋体"/>
              </w:rPr>
              <w:t>=</w:t>
            </w:r>
            <w:r>
              <w:rPr>
                <w:rFonts w:hint="eastAsia" w:ascii="宋体" w:hAnsi="宋体" w:cs="宋体"/>
              </w:rPr>
              <w:t>结转结余总额</w:t>
            </w:r>
            <w:r>
              <w:rPr>
                <w:rFonts w:hint="default" w:ascii="宋体" w:hAnsi="宋体" w:cs="宋体"/>
              </w:rPr>
              <w:t>/</w:t>
            </w:r>
            <w:r>
              <w:rPr>
                <w:rFonts w:hint="eastAsia" w:ascii="宋体" w:hAnsi="宋体" w:cs="宋体"/>
              </w:rPr>
              <w:t>支出预算数×</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结转结余</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变动率（</w:t>
            </w:r>
            <w:r>
              <w:rPr>
                <w:rFonts w:hint="default" w:ascii="宋体" w:hAnsi="宋体" w:cs="宋体"/>
              </w:rPr>
              <w:t>2</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2</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结转结余变动率</w:t>
            </w:r>
            <w:r>
              <w:rPr>
                <w:rFonts w:hint="default" w:ascii="宋体" w:hAnsi="宋体" w:cs="宋体"/>
              </w:rPr>
              <w:t>=[</w:t>
            </w:r>
            <w:r>
              <w:rPr>
                <w:rFonts w:hint="eastAsia" w:ascii="宋体" w:hAnsi="宋体" w:cs="宋体"/>
              </w:rPr>
              <w:t>（本年度累计结转结余资金总额</w:t>
            </w:r>
            <w:r>
              <w:rPr>
                <w:rFonts w:hint="default" w:ascii="宋体" w:hAnsi="宋体" w:cs="宋体"/>
              </w:rPr>
              <w:t>-</w:t>
            </w:r>
            <w:r>
              <w:rPr>
                <w:rFonts w:hint="eastAsia" w:ascii="宋体" w:hAnsi="宋体" w:cs="宋体"/>
              </w:rPr>
              <w:t>上年度累计结转结余资金总额）</w:t>
            </w:r>
            <w:r>
              <w:rPr>
                <w:rFonts w:hint="default" w:ascii="宋体" w:hAnsi="宋体" w:cs="宋体"/>
              </w:rPr>
              <w:t>/</w:t>
            </w:r>
            <w:r>
              <w:rPr>
                <w:rFonts w:hint="eastAsia" w:ascii="宋体" w:hAnsi="宋体" w:cs="宋体"/>
              </w:rPr>
              <w:t>上年度累计结转结余资金总额</w:t>
            </w:r>
            <w:r>
              <w:rPr>
                <w:rFonts w:hint="default" w:ascii="宋体" w:hAnsi="宋体" w:cs="宋体"/>
              </w:rPr>
              <w:t>]</w:t>
            </w:r>
            <w:r>
              <w:rPr>
                <w:rFonts w:hint="eastAsia" w:ascii="宋体" w:hAnsi="宋体" w:cs="宋体"/>
              </w:rPr>
              <w:t>×</w:t>
            </w:r>
            <w:r>
              <w:rPr>
                <w:rFonts w:hint="default"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公用经费</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控制率（</w:t>
            </w:r>
            <w:r>
              <w:rPr>
                <w:rFonts w:hint="default" w:ascii="宋体" w:hAnsi="宋体" w:cs="宋体"/>
              </w:rPr>
              <w:t>2</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2</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公用经费控制率</w:t>
            </w:r>
            <w:r>
              <w:rPr>
                <w:rFonts w:hint="default" w:ascii="宋体" w:hAnsi="宋体" w:cs="宋体"/>
              </w:rPr>
              <w:t>=</w:t>
            </w:r>
            <w:r>
              <w:rPr>
                <w:rFonts w:hint="eastAsia" w:ascii="宋体" w:hAnsi="宋体" w:cs="宋体"/>
              </w:rPr>
              <w:t>（实际支出公用经费总额</w:t>
            </w:r>
            <w:r>
              <w:rPr>
                <w:rFonts w:hint="default" w:ascii="宋体" w:hAnsi="宋体" w:cs="宋体"/>
              </w:rPr>
              <w:t>/</w:t>
            </w:r>
            <w:r>
              <w:rPr>
                <w:rFonts w:hint="eastAsia" w:ascii="宋体" w:hAnsi="宋体" w:cs="宋体"/>
              </w:rPr>
              <w:t>预算安排公用经费总额）×</w:t>
            </w:r>
            <w:r>
              <w:rPr>
                <w:rFonts w:hint="default"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“三公经费”控制率（</w:t>
            </w:r>
            <w:r>
              <w:rPr>
                <w:rFonts w:hint="default" w:ascii="宋体" w:hAnsi="宋体" w:cs="宋体"/>
              </w:rPr>
              <w:t>2</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2</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“三公经费”控制率</w:t>
            </w:r>
            <w:r>
              <w:rPr>
                <w:rFonts w:hint="default" w:ascii="宋体" w:hAnsi="宋体" w:cs="宋体"/>
              </w:rPr>
              <w:t>=</w:t>
            </w:r>
            <w:r>
              <w:rPr>
                <w:rFonts w:hint="eastAsia" w:ascii="宋体" w:hAnsi="宋体" w:cs="宋体"/>
              </w:rPr>
              <w:t>（“三公经费”实际支出数</w:t>
            </w:r>
            <w:r>
              <w:rPr>
                <w:rFonts w:hint="default" w:ascii="宋体" w:hAnsi="宋体" w:cs="宋体"/>
              </w:rPr>
              <w:t>/</w:t>
            </w:r>
            <w:r>
              <w:rPr>
                <w:rFonts w:hint="eastAsia" w:ascii="宋体" w:hAnsi="宋体" w:cs="宋体"/>
              </w:rPr>
              <w:t>“三公经费”预算安排数）×</w:t>
            </w:r>
            <w:r>
              <w:rPr>
                <w:rFonts w:hint="default"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政府采购</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执行率（</w:t>
            </w:r>
            <w:r>
              <w:rPr>
                <w:rFonts w:hint="default" w:ascii="宋体" w:hAnsi="宋体" w:cs="宋体"/>
              </w:rPr>
              <w:t>4</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3.5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hAnsi="宋体" w:cs="宋体"/>
              </w:rPr>
            </w:pPr>
            <w:r>
              <w:rPr>
                <w:rFonts w:hint="eastAsia" w:ascii="宋体" w:hAnsi="宋体" w:cs="宋体"/>
              </w:rPr>
              <w:t>政府采购执行率</w:t>
            </w:r>
            <w:r>
              <w:rPr>
                <w:rFonts w:hint="default" w:ascii="宋体" w:hAnsi="宋体" w:cs="宋体"/>
              </w:rPr>
              <w:t>=</w:t>
            </w:r>
            <w:r>
              <w:rPr>
                <w:rFonts w:hint="eastAsia" w:ascii="宋体" w:hAnsi="宋体" w:cs="宋体"/>
              </w:rPr>
              <w:t>（实际政府采购金额</w:t>
            </w:r>
            <w:r>
              <w:rPr>
                <w:rFonts w:hint="default" w:ascii="宋体" w:hAnsi="宋体" w:cs="宋体"/>
              </w:rPr>
              <w:t>/</w:t>
            </w:r>
            <w:r>
              <w:rPr>
                <w:rFonts w:hint="eastAsia" w:ascii="宋体" w:hAnsi="宋体" w:cs="宋体"/>
              </w:rPr>
              <w:t>政府采购预算数）×</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hint="default"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过</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程（</w:t>
            </w:r>
            <w:r>
              <w:rPr>
                <w:rFonts w:hint="default"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预算</w:t>
            </w:r>
            <w:r>
              <w:rPr>
                <w:rFonts w:hint="default" w:ascii="宋体" w:cs="宋体"/>
              </w:rPr>
              <w:br w:type="textWrapping"/>
            </w:r>
            <w:r>
              <w:rPr>
                <w:rFonts w:hint="eastAsia" w:ascii="宋体" w:hAnsi="宋体" w:cs="宋体"/>
              </w:rPr>
              <w:t>管理（</w:t>
            </w:r>
            <w:r>
              <w:rPr>
                <w:rFonts w:hint="default" w:ascii="宋体" w:hAnsi="宋体" w:cs="宋体"/>
              </w:rPr>
              <w:t>5</w:t>
            </w:r>
            <w:r>
              <w:rPr>
                <w:rFonts w:hint="eastAsia" w:ascii="宋体" w:hAnsi="宋体" w:cs="宋体"/>
              </w:rPr>
              <w:t>分）</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w:t>
            </w: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管理制度</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健全性（</w:t>
            </w:r>
            <w:r>
              <w:rPr>
                <w:rFonts w:hint="default" w:ascii="宋体" w:hAnsi="宋体" w:cs="宋体"/>
              </w:rPr>
              <w:t>2</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2</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评价要点：</w:t>
            </w:r>
            <w:r>
              <w:rPr>
                <w:rFonts w:hint="default" w:ascii="宋体" w:cs="宋体"/>
              </w:rPr>
              <w:br w:type="textWrapping"/>
            </w:r>
            <w:r>
              <w:rPr>
                <w:rFonts w:hint="eastAsia" w:ascii="宋体" w:hAnsi="宋体" w:cs="宋体"/>
              </w:rPr>
              <w:t>①是否已制定或具有预算资金管理办法、内部财务管理制度、会计核算制度等管理制度；</w:t>
            </w:r>
            <w:r>
              <w:rPr>
                <w:rFonts w:hint="default" w:ascii="宋体" w:cs="宋体"/>
              </w:rPr>
              <w:br w:type="textWrapping"/>
            </w:r>
            <w:r>
              <w:rPr>
                <w:rFonts w:hint="eastAsia" w:ascii="宋体" w:hAnsi="宋体" w:cs="宋体"/>
              </w:rPr>
              <w:t>②相关管理制度是否合法、合规、完整；</w:t>
            </w:r>
            <w:r>
              <w:rPr>
                <w:rFonts w:hint="default"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资金使用</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合规性（</w:t>
            </w:r>
            <w:r>
              <w:rPr>
                <w:rFonts w:hint="default" w:ascii="宋体" w:hAnsi="宋体" w:cs="宋体"/>
              </w:rPr>
              <w:t>1</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1</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评价要点：</w:t>
            </w:r>
            <w:r>
              <w:rPr>
                <w:rFonts w:hint="default" w:ascii="宋体" w:cs="宋体"/>
              </w:rPr>
              <w:br w:type="textWrapping"/>
            </w:r>
            <w:r>
              <w:rPr>
                <w:rFonts w:hint="eastAsia" w:ascii="宋体" w:hAnsi="宋体" w:cs="宋体"/>
              </w:rPr>
              <w:t>①是否符合国家财经法规和财务管理制度规定以及有关预算支出管理办法的规定；</w:t>
            </w:r>
            <w:r>
              <w:rPr>
                <w:rFonts w:hint="default" w:ascii="宋体" w:cs="宋体"/>
              </w:rPr>
              <w:br w:type="textWrapping"/>
            </w:r>
            <w:r>
              <w:rPr>
                <w:rFonts w:hint="eastAsia" w:ascii="宋体" w:hAnsi="宋体" w:cs="宋体"/>
              </w:rPr>
              <w:t>②资金的拨付是否有完整的审批程序和手续；</w:t>
            </w:r>
            <w:r>
              <w:rPr>
                <w:rFonts w:hint="default" w:ascii="宋体" w:cs="宋体"/>
              </w:rPr>
              <w:br w:type="textWrapping"/>
            </w:r>
            <w:r>
              <w:rPr>
                <w:rFonts w:hint="eastAsia" w:ascii="宋体" w:hAnsi="宋体" w:cs="宋体"/>
              </w:rPr>
              <w:t>③预算支出的重大开支是否经过评估论证；</w:t>
            </w:r>
            <w:r>
              <w:rPr>
                <w:rFonts w:hint="default" w:ascii="宋体" w:cs="宋体"/>
              </w:rPr>
              <w:br w:type="textWrapping"/>
            </w:r>
            <w:r>
              <w:rPr>
                <w:rFonts w:hint="eastAsia" w:ascii="宋体" w:hAnsi="宋体" w:cs="宋体"/>
              </w:rPr>
              <w:t>④是否符合部门预算批复的用途；</w:t>
            </w:r>
            <w:r>
              <w:rPr>
                <w:rFonts w:hint="default"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预决算信</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息公开性（</w:t>
            </w:r>
            <w:r>
              <w:rPr>
                <w:rFonts w:hint="default" w:ascii="宋体" w:hAnsi="宋体" w:cs="宋体"/>
              </w:rPr>
              <w:t>1</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1</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评价要点：</w:t>
            </w:r>
            <w:r>
              <w:rPr>
                <w:rFonts w:hint="default" w:ascii="宋体" w:cs="宋体"/>
              </w:rPr>
              <w:br w:type="textWrapping"/>
            </w:r>
            <w:r>
              <w:rPr>
                <w:rFonts w:hint="eastAsia" w:ascii="宋体" w:hAnsi="宋体" w:cs="宋体"/>
              </w:rPr>
              <w:t>①是否按规定内容公开预决算信息；</w:t>
            </w:r>
            <w:r>
              <w:rPr>
                <w:rFonts w:hint="default" w:ascii="宋体" w:cs="宋体"/>
              </w:rPr>
              <w:br w:type="textWrapping"/>
            </w:r>
            <w:r>
              <w:rPr>
                <w:rFonts w:hint="eastAsia" w:ascii="宋体" w:hAnsi="宋体" w:cs="宋体"/>
              </w:rPr>
              <w:t>②是否按规定时限公开预决算信息。</w:t>
            </w:r>
            <w:r>
              <w:rPr>
                <w:rFonts w:hint="default"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基础信息</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完善性（</w:t>
            </w:r>
            <w:r>
              <w:rPr>
                <w:rFonts w:hint="default" w:ascii="宋体" w:hAnsi="宋体" w:cs="宋体"/>
              </w:rPr>
              <w:t>1</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1</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评价要点：</w:t>
            </w:r>
            <w:r>
              <w:rPr>
                <w:rFonts w:hint="default" w:ascii="宋体" w:cs="宋体"/>
              </w:rPr>
              <w:br w:type="textWrapping"/>
            </w:r>
            <w:r>
              <w:rPr>
                <w:rFonts w:hint="eastAsia" w:ascii="宋体" w:hAnsi="宋体" w:cs="宋体"/>
              </w:rPr>
              <w:t>①基础数据信息和会计信息资料是否真实；</w:t>
            </w:r>
            <w:r>
              <w:rPr>
                <w:rFonts w:hint="default" w:ascii="宋体" w:cs="宋体"/>
              </w:rPr>
              <w:br w:type="textWrapping"/>
            </w:r>
            <w:r>
              <w:rPr>
                <w:rFonts w:hint="eastAsia" w:ascii="宋体" w:hAnsi="宋体" w:cs="宋体"/>
              </w:rPr>
              <w:t>②基础数据信息和会计信息资料是否完整；</w:t>
            </w:r>
            <w:r>
              <w:rPr>
                <w:rFonts w:hint="default"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restar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资产</w:t>
            </w:r>
            <w:r>
              <w:rPr>
                <w:rFonts w:hint="default" w:ascii="宋体" w:cs="宋体"/>
              </w:rPr>
              <w:br w:type="textWrapping"/>
            </w:r>
            <w:r>
              <w:rPr>
                <w:rFonts w:hint="eastAsia" w:ascii="宋体" w:hAnsi="宋体" w:cs="宋体"/>
              </w:rPr>
              <w:t>管理（</w:t>
            </w:r>
            <w:r>
              <w:rPr>
                <w:rFonts w:hint="default"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管理制度</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健全性（</w:t>
            </w:r>
            <w:r>
              <w:rPr>
                <w:rFonts w:hint="default" w:ascii="宋体" w:hAnsi="宋体" w:cs="宋体"/>
              </w:rPr>
              <w:t>2</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2</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评价要点：</w:t>
            </w:r>
            <w:r>
              <w:rPr>
                <w:rFonts w:hint="default" w:ascii="宋体" w:cs="宋体"/>
              </w:rPr>
              <w:br w:type="textWrapping"/>
            </w:r>
            <w:r>
              <w:rPr>
                <w:rFonts w:hint="eastAsia" w:ascii="宋体" w:hAnsi="宋体" w:cs="宋体"/>
              </w:rPr>
              <w:t>①是否已制定或具有资产管理制度；</w:t>
            </w:r>
            <w:r>
              <w:rPr>
                <w:rFonts w:hint="default" w:ascii="宋体" w:hAnsi="宋体" w:cs="宋体"/>
              </w:rPr>
              <w:t xml:space="preserve">           </w:t>
            </w:r>
            <w:r>
              <w:rPr>
                <w:rFonts w:hint="eastAsia" w:ascii="宋体" w:hAnsi="宋体" w:cs="宋体"/>
              </w:rPr>
              <w:t>②相关资金管理制度是否合法、合规、完整；</w:t>
            </w:r>
            <w:r>
              <w:rPr>
                <w:rFonts w:hint="default"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资产管理</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安全性（</w:t>
            </w:r>
            <w:r>
              <w:rPr>
                <w:rFonts w:hint="default" w:ascii="宋体" w:hAnsi="宋体" w:cs="宋体"/>
              </w:rPr>
              <w:t>2</w:t>
            </w:r>
            <w:r>
              <w:rPr>
                <w:rFonts w:hint="eastAsia" w:ascii="宋体" w:hAnsi="宋体" w:cs="宋体"/>
              </w:rPr>
              <w:t>分）</w:t>
            </w:r>
          </w:p>
        </w:tc>
        <w:tc>
          <w:tcPr>
            <w:tcW w:w="375" w:type="pct"/>
          </w:tcPr>
          <w:p>
            <w:pPr>
              <w:keepNext w:val="0"/>
              <w:keepLines w:val="0"/>
              <w:suppressLineNumbers w:val="0"/>
              <w:tabs>
                <w:tab w:val="left" w:pos="761"/>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2</w:t>
            </w:r>
          </w:p>
        </w:tc>
        <w:tc>
          <w:tcPr>
            <w:tcW w:w="1576" w:type="pct"/>
            <w:tcMar>
              <w:top w:w="10" w:type="dxa"/>
              <w:left w:w="10" w:type="dxa"/>
              <w:bottom w:w="0" w:type="dxa"/>
              <w:right w:w="10" w:type="dxa"/>
            </w:tcMar>
            <w:vAlign w:val="center"/>
          </w:tcPr>
          <w:p>
            <w:pPr>
              <w:keepNext w:val="0"/>
              <w:keepLines w:val="0"/>
              <w:suppressLineNumbers w:val="0"/>
              <w:tabs>
                <w:tab w:val="left" w:pos="761"/>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评价要点：</w:t>
            </w:r>
            <w:r>
              <w:rPr>
                <w:rFonts w:hint="default" w:ascii="宋体" w:cs="宋体"/>
              </w:rPr>
              <w:br w:type="textWrapping"/>
            </w:r>
            <w:r>
              <w:rPr>
                <w:rFonts w:hint="eastAsia" w:ascii="宋体" w:hAnsi="宋体" w:cs="宋体"/>
              </w:rPr>
              <w:t>①资产保存是否完整；</w:t>
            </w:r>
            <w:r>
              <w:rPr>
                <w:rFonts w:hint="default" w:ascii="宋体" w:cs="宋体"/>
              </w:rPr>
              <w:br w:type="textWrapping"/>
            </w:r>
            <w:r>
              <w:rPr>
                <w:rFonts w:hint="eastAsia" w:ascii="宋体" w:hAnsi="宋体" w:cs="宋体"/>
              </w:rPr>
              <w:t>②资产配置是否合理；</w:t>
            </w:r>
            <w:r>
              <w:rPr>
                <w:rFonts w:hint="default" w:ascii="宋体" w:cs="宋体"/>
              </w:rPr>
              <w:br w:type="textWrapping"/>
            </w:r>
            <w:r>
              <w:rPr>
                <w:rFonts w:hint="eastAsia" w:ascii="宋体" w:hAnsi="宋体" w:cs="宋体"/>
              </w:rPr>
              <w:t>③资产处置是否规范；</w:t>
            </w:r>
            <w:r>
              <w:rPr>
                <w:rFonts w:hint="default" w:ascii="宋体" w:cs="宋体"/>
              </w:rPr>
              <w:br w:type="textWrapping"/>
            </w:r>
            <w:r>
              <w:rPr>
                <w:rFonts w:hint="eastAsia" w:ascii="宋体" w:hAnsi="宋体" w:cs="宋体"/>
              </w:rPr>
              <w:t>④资产账务管理是否合规，是否帐实相符；</w:t>
            </w:r>
            <w:r>
              <w:rPr>
                <w:rFonts w:hint="default"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固定资产</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利用率（</w:t>
            </w:r>
            <w:r>
              <w:rPr>
                <w:rFonts w:hint="default" w:ascii="宋体" w:hAnsi="宋体" w:cs="宋体"/>
              </w:rPr>
              <w:t>1</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1</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固定资产利用率</w:t>
            </w:r>
            <w:r>
              <w:rPr>
                <w:rFonts w:hint="default" w:ascii="宋体" w:hAnsi="宋体" w:cs="宋体"/>
              </w:rPr>
              <w:t>=</w:t>
            </w:r>
            <w:r>
              <w:rPr>
                <w:rFonts w:hint="eastAsia" w:ascii="宋体" w:hAnsi="宋体" w:cs="宋体"/>
              </w:rPr>
              <w:t>（实际在用固定资产总额</w:t>
            </w:r>
            <w:r>
              <w:rPr>
                <w:rFonts w:hint="default" w:ascii="宋体" w:hAnsi="宋体" w:cs="宋体"/>
              </w:rPr>
              <w:t>/</w:t>
            </w:r>
            <w:r>
              <w:rPr>
                <w:rFonts w:hint="eastAsia" w:ascii="宋体" w:hAnsi="宋体" w:cs="宋体"/>
              </w:rPr>
              <w:t>所有固定资产总额）×</w:t>
            </w:r>
            <w:r>
              <w:rPr>
                <w:rFonts w:hint="default"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产</w:t>
            </w:r>
            <w:r>
              <w:rPr>
                <w:rFonts w:hint="default" w:ascii="宋体" w:hAnsi="宋体" w:cs="宋体"/>
              </w:rPr>
              <w:t xml:space="preserve">   </w:t>
            </w:r>
            <w:r>
              <w:rPr>
                <w:rFonts w:hint="eastAsia" w:ascii="宋体" w:hAnsi="宋体" w:cs="宋体"/>
              </w:rPr>
              <w:t>出（</w:t>
            </w:r>
            <w:r>
              <w:rPr>
                <w:rFonts w:hint="default"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职责</w:t>
            </w:r>
            <w:r>
              <w:rPr>
                <w:rFonts w:hint="default" w:ascii="宋体" w:cs="宋体"/>
              </w:rPr>
              <w:br w:type="textWrapping"/>
            </w:r>
            <w:r>
              <w:rPr>
                <w:rFonts w:hint="eastAsia" w:ascii="宋体" w:hAnsi="宋体" w:cs="宋体"/>
              </w:rPr>
              <w:t>履行（</w:t>
            </w:r>
            <w:r>
              <w:rPr>
                <w:rFonts w:hint="default"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实际</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完成率（</w:t>
            </w:r>
            <w:r>
              <w:rPr>
                <w:rFonts w:hint="default" w:ascii="宋体" w:hAnsi="宋体" w:cs="宋体"/>
              </w:rPr>
              <w:t>8</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7</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实际完成率</w:t>
            </w:r>
            <w:r>
              <w:rPr>
                <w:rFonts w:hint="default" w:ascii="宋体" w:hAnsi="宋体" w:cs="宋体"/>
              </w:rPr>
              <w:t>=</w:t>
            </w:r>
            <w:r>
              <w:rPr>
                <w:rFonts w:hint="eastAsia" w:ascii="宋体" w:hAnsi="宋体" w:cs="宋体"/>
              </w:rPr>
              <w:t>（实际完成工作数</w:t>
            </w:r>
            <w:r>
              <w:rPr>
                <w:rFonts w:hint="default" w:ascii="宋体" w:hAnsi="宋体" w:cs="宋体"/>
              </w:rPr>
              <w:t>/</w:t>
            </w:r>
            <w:r>
              <w:rPr>
                <w:rFonts w:hint="eastAsia" w:ascii="宋体" w:hAnsi="宋体" w:cs="宋体"/>
              </w:rPr>
              <w:t>计划工作数）×</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实际完成工作数：一定时期（年度或规划期）内部门实际完成工作任务的数量。</w:t>
            </w:r>
            <w:r>
              <w:rPr>
                <w:rFonts w:hint="default"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keepNext w:val="0"/>
              <w:keepLines w:val="0"/>
              <w:suppressLineNumbers w:val="0"/>
              <w:spacing w:before="0" w:beforeAutospacing="0" w:after="0" w:afterAutospacing="0" w:line="240" w:lineRule="exact"/>
              <w:ind w:left="113" w:right="0"/>
              <w:jc w:val="center"/>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完成</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及时率（</w:t>
            </w:r>
            <w:r>
              <w:rPr>
                <w:rFonts w:hint="default" w:ascii="宋体" w:hAnsi="宋体" w:cs="宋体"/>
              </w:rPr>
              <w:t>4</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3.5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部门在规定时限内及时完成的实际工作数与计划工作数的比率</w:t>
            </w:r>
            <w:r>
              <w:rPr>
                <w:rFonts w:hint="default"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完成及时率</w:t>
            </w:r>
            <w:r>
              <w:rPr>
                <w:rFonts w:hint="default" w:ascii="宋体" w:hAnsi="宋体" w:cs="宋体"/>
              </w:rPr>
              <w:t>=</w:t>
            </w:r>
            <w:r>
              <w:rPr>
                <w:rFonts w:hint="eastAsia" w:ascii="宋体" w:hAnsi="宋体" w:cs="宋体"/>
              </w:rPr>
              <w:t>（及时完成实际工作数</w:t>
            </w:r>
            <w:r>
              <w:rPr>
                <w:rFonts w:hint="default" w:ascii="宋体" w:hAnsi="宋体" w:cs="宋体"/>
              </w:rPr>
              <w:t>/</w:t>
            </w:r>
            <w:r>
              <w:rPr>
                <w:rFonts w:hint="eastAsia" w:ascii="宋体" w:hAnsi="宋体" w:cs="宋体"/>
              </w:rPr>
              <w:t>计划工作数）×</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质量</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达标率（</w:t>
            </w:r>
            <w:r>
              <w:rPr>
                <w:rFonts w:hint="default" w:ascii="宋体" w:hAnsi="宋体" w:cs="宋体"/>
              </w:rPr>
              <w:t>8</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7.5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达到质量标准（绩效标准值）的实际工作数与计划工作数的比率</w:t>
            </w:r>
            <w:r>
              <w:rPr>
                <w:rFonts w:hint="default"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质量达标率</w:t>
            </w:r>
            <w:r>
              <w:rPr>
                <w:rFonts w:hint="default" w:ascii="宋体" w:hAnsi="宋体" w:cs="宋体"/>
              </w:rPr>
              <w:t>=</w:t>
            </w:r>
            <w:r>
              <w:rPr>
                <w:rFonts w:hint="eastAsia" w:ascii="宋体" w:hAnsi="宋体" w:cs="宋体"/>
              </w:rPr>
              <w:t>（质量达标实际工作数</w:t>
            </w:r>
            <w:r>
              <w:rPr>
                <w:rFonts w:hint="default" w:ascii="宋体" w:hAnsi="宋体" w:cs="宋体"/>
              </w:rPr>
              <w:t>/</w:t>
            </w:r>
            <w:r>
              <w:rPr>
                <w:rFonts w:hint="eastAsia" w:ascii="宋体" w:hAnsi="宋体" w:cs="宋体"/>
              </w:rPr>
              <w:t>计划工作数）×</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重点工作</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办结率（</w:t>
            </w:r>
            <w:r>
              <w:rPr>
                <w:rFonts w:hint="default" w:ascii="宋体" w:hAnsi="宋体" w:cs="宋体"/>
              </w:rPr>
              <w:t>10</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9.5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重点工作办结率</w:t>
            </w:r>
            <w:r>
              <w:rPr>
                <w:rFonts w:hint="default" w:ascii="宋体" w:hAnsi="宋体" w:cs="宋体"/>
              </w:rPr>
              <w:t>=</w:t>
            </w:r>
            <w:r>
              <w:rPr>
                <w:rFonts w:hint="eastAsia" w:ascii="宋体" w:hAnsi="宋体" w:cs="宋体"/>
              </w:rPr>
              <w:t>（重点工作实际完成数</w:t>
            </w:r>
            <w:r>
              <w:rPr>
                <w:rFonts w:hint="default" w:ascii="宋体" w:hAnsi="宋体" w:cs="宋体"/>
              </w:rPr>
              <w:t>/</w:t>
            </w:r>
            <w:r>
              <w:rPr>
                <w:rFonts w:hint="eastAsia" w:ascii="宋体" w:hAnsi="宋体" w:cs="宋体"/>
              </w:rPr>
              <w:t>交办或下达数）×</w:t>
            </w:r>
            <w:r>
              <w:rPr>
                <w:rFonts w:hint="default" w:ascii="宋体" w:hAnsi="宋体" w:cs="宋体"/>
              </w:rPr>
              <w:t>100%</w:t>
            </w:r>
            <w:r>
              <w:rPr>
                <w:rFonts w:hint="eastAsia" w:ascii="宋体" w:hAnsi="宋体" w:cs="宋体"/>
              </w:rPr>
              <w:t>。</w:t>
            </w:r>
            <w:r>
              <w:rPr>
                <w:rFonts w:hint="default"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效</w:t>
            </w:r>
            <w:r>
              <w:rPr>
                <w:rFonts w:hint="default" w:ascii="宋体" w:hAnsi="宋体" w:cs="宋体"/>
              </w:rPr>
              <w:t xml:space="preserve">   </w:t>
            </w:r>
            <w:r>
              <w:rPr>
                <w:rFonts w:hint="eastAsia" w:ascii="宋体" w:hAnsi="宋体" w:cs="宋体"/>
              </w:rPr>
              <w:t>果（</w:t>
            </w:r>
            <w:r>
              <w:rPr>
                <w:rFonts w:hint="default"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履职</w:t>
            </w:r>
            <w:r>
              <w:rPr>
                <w:rFonts w:hint="default" w:ascii="宋体" w:cs="宋体"/>
              </w:rPr>
              <w:br w:type="textWrapping"/>
            </w:r>
            <w:r>
              <w:rPr>
                <w:rFonts w:hint="eastAsia" w:ascii="宋体" w:hAnsi="宋体" w:cs="宋体"/>
              </w:rPr>
              <w:t>效益（</w:t>
            </w:r>
            <w:r>
              <w:rPr>
                <w:rFonts w:hint="default"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经济效益（</w:t>
            </w:r>
            <w:r>
              <w:rPr>
                <w:rFonts w:hint="default" w:ascii="宋体" w:hAnsi="宋体" w:cs="宋体"/>
              </w:rPr>
              <w:t>5</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4.5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社会效益（</w:t>
            </w:r>
            <w:r>
              <w:rPr>
                <w:rFonts w:hint="default" w:ascii="宋体" w:hAnsi="宋体" w:cs="宋体"/>
              </w:rPr>
              <w:t>5</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部门履行职责对社会发展所带来的直接或间接影响。</w:t>
            </w:r>
          </w:p>
        </w:tc>
        <w:tc>
          <w:tcPr>
            <w:tcW w:w="1867" w:type="pct"/>
            <w:vMerge w:val="continue"/>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生态效益（</w:t>
            </w:r>
            <w:r>
              <w:rPr>
                <w:rFonts w:hint="default" w:ascii="宋体" w:hAnsi="宋体" w:cs="宋体"/>
              </w:rPr>
              <w:t>5</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4.5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部门履行职责对生态环境所带来的直接或间接影响。</w:t>
            </w:r>
          </w:p>
        </w:tc>
        <w:tc>
          <w:tcPr>
            <w:tcW w:w="1867" w:type="pct"/>
            <w:vMerge w:val="continue"/>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375" w:type="pct"/>
            <w:vMerge w:val="continue"/>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社会公众</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或服务对</w:t>
            </w:r>
          </w:p>
          <w:p>
            <w:pPr>
              <w:keepNext w:val="0"/>
              <w:keepLines w:val="0"/>
              <w:suppressLineNumbers w:val="0"/>
              <w:spacing w:before="0" w:beforeAutospacing="0" w:after="0" w:afterAutospacing="0" w:line="240" w:lineRule="exact"/>
              <w:ind w:left="0" w:right="0"/>
              <w:jc w:val="center"/>
              <w:rPr>
                <w:rFonts w:hint="default" w:ascii="宋体" w:cs="宋体"/>
              </w:rPr>
            </w:pPr>
            <w:r>
              <w:rPr>
                <w:rFonts w:hint="eastAsia" w:ascii="宋体" w:hAnsi="宋体" w:cs="宋体"/>
              </w:rPr>
              <w:t>象满意度（</w:t>
            </w:r>
            <w:r>
              <w:rPr>
                <w:rFonts w:hint="default" w:ascii="宋体" w:hAnsi="宋体" w:cs="宋体"/>
              </w:rPr>
              <w:t>5</w:t>
            </w:r>
            <w:r>
              <w:rPr>
                <w:rFonts w:hint="eastAsia" w:ascii="宋体" w:hAnsi="宋体" w:cs="宋体"/>
              </w:rPr>
              <w:t>分）</w:t>
            </w:r>
          </w:p>
        </w:tc>
        <w:tc>
          <w:tcPr>
            <w:tcW w:w="375" w:type="pct"/>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cs="宋体"/>
              </w:rPr>
              <w:t>4.5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keepNext w:val="0"/>
              <w:keepLines w:val="0"/>
              <w:suppressLineNumbers w:val="0"/>
              <w:spacing w:before="0" w:beforeAutospacing="0" w:after="0" w:afterAutospacing="0" w:line="240" w:lineRule="exact"/>
              <w:ind w:left="0" w:right="0"/>
              <w:rPr>
                <w:rFonts w:hint="default" w:ascii="宋体" w:cs="宋体"/>
              </w:rPr>
            </w:pPr>
            <w:r>
              <w:rPr>
                <w:rFonts w:hint="eastAsia" w:ascii="宋体" w:hAnsi="宋体" w:cs="宋体"/>
              </w:rPr>
              <w:t>总分</w:t>
            </w:r>
          </w:p>
        </w:tc>
        <w:tc>
          <w:tcPr>
            <w:tcW w:w="375" w:type="pct"/>
            <w:vAlign w:val="center"/>
          </w:tcPr>
          <w:p>
            <w:pPr>
              <w:keepNext w:val="0"/>
              <w:keepLines w:val="0"/>
              <w:suppressLineNumbers w:val="0"/>
              <w:spacing w:before="0" w:beforeAutospacing="0" w:after="0" w:afterAutospacing="0" w:line="240" w:lineRule="exact"/>
              <w:ind w:left="0" w:right="0"/>
              <w:rPr>
                <w:rFonts w:hint="default" w:ascii="宋体" w:cs="宋体"/>
              </w:rPr>
            </w:pPr>
          </w:p>
        </w:tc>
        <w:tc>
          <w:tcPr>
            <w:tcW w:w="500"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0" w:right="0"/>
              <w:jc w:val="center"/>
              <w:rPr>
                <w:rFonts w:hint="default" w:ascii="宋体" w:cs="宋体"/>
              </w:rPr>
            </w:pPr>
          </w:p>
        </w:tc>
        <w:tc>
          <w:tcPr>
            <w:tcW w:w="375" w:type="pct"/>
          </w:tcPr>
          <w:p>
            <w:pPr>
              <w:keepNext w:val="0"/>
              <w:keepLines w:val="0"/>
              <w:suppressLineNumbers w:val="0"/>
              <w:tabs>
                <w:tab w:val="left" w:pos="2604"/>
              </w:tabs>
              <w:spacing w:before="0" w:beforeAutospacing="0" w:after="0" w:afterAutospacing="0" w:line="240" w:lineRule="exact"/>
              <w:ind w:left="0" w:right="105" w:rightChars="50"/>
              <w:rPr>
                <w:rFonts w:hint="default" w:ascii="宋体" w:cs="宋体"/>
              </w:rPr>
            </w:pPr>
            <w:r>
              <w:rPr>
                <w:rFonts w:hint="eastAsia" w:ascii="宋体" w:cs="宋体"/>
              </w:rPr>
              <w:t>95.5</w:t>
            </w:r>
          </w:p>
        </w:tc>
        <w:tc>
          <w:tcPr>
            <w:tcW w:w="1576" w:type="pct"/>
            <w:tcMar>
              <w:top w:w="10" w:type="dxa"/>
              <w:left w:w="10" w:type="dxa"/>
              <w:bottom w:w="0" w:type="dxa"/>
              <w:right w:w="10" w:type="dxa"/>
            </w:tcMar>
            <w:vAlign w:val="center"/>
          </w:tcPr>
          <w:p>
            <w:pPr>
              <w:keepNext w:val="0"/>
              <w:keepLines w:val="0"/>
              <w:suppressLineNumbers w:val="0"/>
              <w:tabs>
                <w:tab w:val="left" w:pos="2604"/>
              </w:tabs>
              <w:spacing w:before="0" w:beforeAutospacing="0" w:after="0" w:afterAutospacing="0" w:line="240" w:lineRule="exact"/>
              <w:ind w:left="105" w:leftChars="50" w:right="105" w:rightChars="50" w:firstLine="96" w:firstLineChars="46"/>
              <w:rPr>
                <w:rFonts w:hint="default" w:ascii="宋体" w:cs="宋体"/>
              </w:rPr>
            </w:pPr>
          </w:p>
        </w:tc>
        <w:tc>
          <w:tcPr>
            <w:tcW w:w="1867" w:type="pct"/>
            <w:tcMar>
              <w:top w:w="10" w:type="dxa"/>
              <w:left w:w="10" w:type="dxa"/>
              <w:bottom w:w="0" w:type="dxa"/>
              <w:right w:w="10" w:type="dxa"/>
            </w:tcMar>
            <w:vAlign w:val="center"/>
          </w:tcPr>
          <w:p>
            <w:pPr>
              <w:keepNext w:val="0"/>
              <w:keepLines w:val="0"/>
              <w:suppressLineNumbers w:val="0"/>
              <w:spacing w:before="0" w:beforeAutospacing="0" w:after="0" w:afterAutospacing="0" w:line="240" w:lineRule="exact"/>
              <w:ind w:left="105" w:leftChars="50" w:right="105" w:rightChars="50"/>
              <w:rPr>
                <w:rFonts w:hint="default" w:ascii="宋体" w:cs="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D5222"/>
    <w:multiLevelType w:val="singleLevel"/>
    <w:tmpl w:val="4B7D52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NGE3MThlZjZkMTVmZWRiMGFhMDI3OTk0ZDc1NmMifQ=="/>
  </w:docVars>
  <w:rsids>
    <w:rsidRoot w:val="00000000"/>
    <w:rsid w:val="2C6701E1"/>
    <w:rsid w:val="5C6A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topLinePunct/>
    </w:pPr>
    <w:rPr>
      <w:rFonts w:hint="eastAsia"/>
      <w:szCs w:val="24"/>
    </w:rPr>
  </w:style>
  <w:style w:type="paragraph" w:styleId="3">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2023-06-26T11:57:00Z</dcterms:created>
  <dc:creator>admin-3</dc:creator>
  <cp:lastModifiedBy>Administrator</cp:lastModifiedBy>
  <dcterms:modified xsi:type="dcterms:W3CDTF">2023-10-05T08:18:34Z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952A23C8F6C94DA6A32FA3AA6B1BC686_12</vt:lpwstr>
  </property>
</Properties>
</file>