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p>
    <w:p>
      <w:pPr>
        <w:jc w:val="center"/>
        <w:rPr>
          <w:rFonts w:hint="eastAsia" w:ascii="黑体" w:hAnsi="黑体" w:eastAsia="黑体" w:cs="黑体"/>
          <w:sz w:val="36"/>
          <w:szCs w:val="36"/>
        </w:rPr>
      </w:pPr>
      <w:r>
        <w:rPr>
          <w:rFonts w:hint="eastAsia" w:ascii="黑体" w:hAnsi="黑体" w:eastAsia="黑体" w:cs="黑体"/>
          <w:sz w:val="36"/>
          <w:szCs w:val="36"/>
        </w:rPr>
        <w:t>益阳市赫山区交通运输局2021年度项目支出</w:t>
      </w:r>
    </w:p>
    <w:p>
      <w:pPr>
        <w:jc w:val="center"/>
        <w:rPr>
          <w:rFonts w:ascii="仿宋" w:hAnsi="仿宋" w:eastAsia="仿宋" w:cs="仿宋"/>
          <w:kern w:val="0"/>
          <w:sz w:val="30"/>
          <w:szCs w:val="30"/>
          <w:lang w:bidi="zh-CN"/>
        </w:rPr>
      </w:pPr>
      <w:r>
        <w:rPr>
          <w:rFonts w:hint="eastAsia" w:ascii="黑体" w:hAnsi="黑体" w:eastAsia="黑体" w:cs="黑体"/>
          <w:sz w:val="36"/>
          <w:szCs w:val="36"/>
        </w:rPr>
        <w:t>绩效评价报告</w:t>
      </w:r>
    </w:p>
    <w:p>
      <w:pPr>
        <w:spacing w:line="600" w:lineRule="exact"/>
        <w:ind w:firstLine="600" w:firstLineChars="200"/>
        <w:jc w:val="left"/>
        <w:rPr>
          <w:rFonts w:ascii="仿宋" w:hAnsi="仿宋" w:eastAsia="仿宋" w:cs="仿宋"/>
          <w:kern w:val="0"/>
          <w:sz w:val="30"/>
          <w:szCs w:val="30"/>
          <w:lang w:bidi="zh-CN"/>
        </w:rPr>
      </w:pPr>
    </w:p>
    <w:p>
      <w:pPr>
        <w:spacing w:line="600" w:lineRule="exact"/>
        <w:ind w:firstLine="600" w:firstLineChars="200"/>
        <w:jc w:val="left"/>
        <w:rPr>
          <w:rFonts w:ascii="仿宋" w:hAnsi="仿宋" w:eastAsia="仿宋" w:cs="仿宋"/>
          <w:kern w:val="0"/>
          <w:sz w:val="30"/>
          <w:szCs w:val="30"/>
          <w:lang w:bidi="zh-CN"/>
        </w:rPr>
      </w:pPr>
      <w:r>
        <w:rPr>
          <w:rFonts w:hint="eastAsia" w:ascii="仿宋" w:hAnsi="仿宋" w:eastAsia="仿宋" w:cs="仿宋"/>
          <w:kern w:val="0"/>
          <w:sz w:val="30"/>
          <w:szCs w:val="30"/>
          <w:lang w:bidi="zh-CN"/>
        </w:rPr>
        <w:t>为进一步规范财政资金管理，牢固树立预算绩效理念，强化部门支出责任，提高财政资金使用效益，根据《中共中央国务院关于全面实施预算绩效管理的意见》（中发〔2018〕34号）、《财政部关于印发&lt;项目支出绩效评价管理办法&gt;的通知》（财预〔2020〕10号）和《中共湖南省委办公厅 湖南省人民政府办公厅关于全面实施预算绩效管理的实施意见》（湘政发〔2019〕10号）、《益阳市赫山区财政局关于做好2021年度预算绩效自评工作的通知》（益赫财绩〔2022〕1号）等有关文件精神，本着独立、客观、公正、科学的原则，按照公认的绩效评价方法，我局积极组织，对2021年度本单位整体支出进行了绩效自评，现将具体绩效评价情况报告如下：</w:t>
      </w:r>
    </w:p>
    <w:p>
      <w:pPr>
        <w:numPr>
          <w:ilvl w:val="0"/>
          <w:numId w:val="1"/>
        </w:numPr>
        <w:spacing w:line="600" w:lineRule="exact"/>
        <w:ind w:firstLine="602" w:firstLineChars="200"/>
        <w:jc w:val="left"/>
        <w:rPr>
          <w:rFonts w:ascii="黑体" w:hAnsi="黑体" w:eastAsia="黑体" w:cs="黑体"/>
          <w:kern w:val="0"/>
          <w:sz w:val="30"/>
          <w:szCs w:val="30"/>
          <w:lang w:bidi="zh-CN"/>
        </w:rPr>
      </w:pPr>
      <w:r>
        <w:rPr>
          <w:rFonts w:hint="eastAsia" w:ascii="黑体" w:hAnsi="黑体" w:eastAsia="黑体" w:cs="黑体"/>
          <w:b/>
          <w:sz w:val="30"/>
          <w:szCs w:val="30"/>
          <w:lang w:bidi="zh-CN"/>
        </w:rPr>
        <w:t>预算支出基本情况</w:t>
      </w:r>
    </w:p>
    <w:p>
      <w:pPr>
        <w:pStyle w:val="2"/>
        <w:spacing w:line="600" w:lineRule="exact"/>
        <w:ind w:firstLine="602" w:firstLineChars="200"/>
        <w:rPr>
          <w:rFonts w:ascii="仿宋" w:hAnsi="仿宋" w:eastAsia="仿宋" w:cs="仿宋"/>
          <w:b/>
          <w:sz w:val="30"/>
          <w:szCs w:val="30"/>
          <w:lang w:bidi="zh-CN"/>
        </w:rPr>
      </w:pPr>
      <w:r>
        <w:rPr>
          <w:rFonts w:hint="eastAsia" w:ascii="仿宋" w:hAnsi="仿宋" w:eastAsia="仿宋" w:cs="仿宋"/>
          <w:b/>
          <w:sz w:val="30"/>
          <w:szCs w:val="30"/>
          <w:lang w:bidi="zh-CN"/>
        </w:rPr>
        <w:t>（一）预算支出概况</w:t>
      </w:r>
    </w:p>
    <w:p>
      <w:pPr>
        <w:pStyle w:val="2"/>
        <w:spacing w:line="600" w:lineRule="exact"/>
        <w:ind w:firstLine="600" w:firstLineChars="200"/>
        <w:rPr>
          <w:rFonts w:ascii="仿宋" w:hAnsi="仿宋" w:eastAsia="仿宋" w:cs="仿宋"/>
          <w:kern w:val="0"/>
          <w:sz w:val="30"/>
          <w:szCs w:val="30"/>
          <w:lang w:bidi="zh-CN"/>
        </w:rPr>
      </w:pPr>
      <w:r>
        <w:rPr>
          <w:rFonts w:hint="eastAsia" w:ascii="仿宋" w:hAnsi="仿宋" w:eastAsia="仿宋" w:cs="仿宋"/>
          <w:kern w:val="0"/>
          <w:sz w:val="30"/>
          <w:szCs w:val="30"/>
          <w:lang w:bidi="zh-CN"/>
        </w:rPr>
        <w:t>为提升区域路网运行效率，加速新型城镇化发展，优化我市路网布局，我单位积极推进公路项目建设。2021年我单位共收到三笔项目资金，三笔分别为：2021年车辆购置税收入补助地方资金（第一批）657万、2021年第一批车辆购置税收入补助地方资金（G234赫山区谢林港至桃花江石洞公路段）3425万元、2021年车辆购置税补助地方资金（第一批）乡镇通三级公路及旅游资源产业路371万。该三笔资金分别用于G5517长益复线高速朱良桥互通-赫山区S221公路（益阳段）、G234赫山区谢林港至桃江石洞公路段、X013线和X002线项目建设。三笔项目资金均已全额拨付至城投公司。</w:t>
      </w:r>
    </w:p>
    <w:p>
      <w:pPr>
        <w:pStyle w:val="2"/>
        <w:numPr>
          <w:ilvl w:val="0"/>
          <w:numId w:val="2"/>
        </w:numPr>
        <w:spacing w:line="600" w:lineRule="exact"/>
        <w:ind w:firstLine="602" w:firstLineChars="200"/>
        <w:rPr>
          <w:rFonts w:ascii="仿宋" w:hAnsi="仿宋" w:eastAsia="仿宋" w:cs="仿宋"/>
          <w:b/>
          <w:sz w:val="30"/>
          <w:szCs w:val="30"/>
          <w:lang w:bidi="zh-CN"/>
        </w:rPr>
      </w:pPr>
      <w:r>
        <w:rPr>
          <w:rFonts w:hint="eastAsia" w:ascii="仿宋" w:hAnsi="仿宋" w:eastAsia="仿宋" w:cs="仿宋"/>
          <w:b/>
          <w:sz w:val="30"/>
          <w:szCs w:val="30"/>
          <w:lang w:bidi="zh-CN"/>
        </w:rPr>
        <w:t>预算资金使用管理情况</w:t>
      </w:r>
    </w:p>
    <w:p>
      <w:pPr>
        <w:spacing w:line="600" w:lineRule="exact"/>
        <w:ind w:firstLine="600" w:firstLineChars="200"/>
        <w:rPr>
          <w:rFonts w:ascii="仿宋" w:hAnsi="仿宋" w:eastAsia="仿宋" w:cs="仿宋"/>
          <w:kern w:val="0"/>
          <w:sz w:val="30"/>
          <w:szCs w:val="30"/>
          <w:lang w:bidi="zh-CN"/>
        </w:rPr>
      </w:pPr>
      <w:r>
        <w:rPr>
          <w:rFonts w:hint="eastAsia" w:ascii="仿宋" w:hAnsi="仿宋" w:eastAsia="仿宋" w:cs="仿宋"/>
          <w:kern w:val="0"/>
          <w:sz w:val="30"/>
          <w:szCs w:val="30"/>
          <w:lang w:bidi="zh-CN"/>
        </w:rPr>
        <w:t>我单位建立了预算资金和项目资金财务管理制度，财务会计和出纳按岗位分设、印鉴分设管理，账务处理及时、会计核算规范，符合会计管理要求，项目资金拨付及时。项目的立项申报符合上级文件精神，严格落实项目法人制、招投标制、工程监理制和合同管理制，确保项目建设管理规范、有序；严格执行技术交底和技术代表制度，加强设计后续动态管理；严格贯彻安全生产责任制，落实安全经费和安全措施，保证安全高效完成项目建设。</w:t>
      </w:r>
    </w:p>
    <w:p>
      <w:pPr>
        <w:pStyle w:val="2"/>
        <w:numPr>
          <w:ilvl w:val="0"/>
          <w:numId w:val="2"/>
        </w:numPr>
        <w:spacing w:line="600" w:lineRule="exact"/>
        <w:ind w:firstLine="602" w:firstLineChars="200"/>
        <w:rPr>
          <w:rFonts w:ascii="仿宋" w:hAnsi="仿宋" w:eastAsia="仿宋" w:cs="仿宋"/>
          <w:b/>
          <w:sz w:val="30"/>
          <w:szCs w:val="30"/>
          <w:lang w:bidi="zh-CN"/>
        </w:rPr>
      </w:pPr>
      <w:r>
        <w:rPr>
          <w:rFonts w:hint="eastAsia" w:ascii="仿宋" w:hAnsi="仿宋" w:eastAsia="仿宋" w:cs="仿宋"/>
          <w:b/>
          <w:sz w:val="30"/>
          <w:szCs w:val="30"/>
          <w:lang w:bidi="zh-CN"/>
        </w:rPr>
        <w:t>预算资支出绩效目标完成程度</w:t>
      </w:r>
    </w:p>
    <w:p>
      <w:pPr>
        <w:pStyle w:val="2"/>
        <w:spacing w:line="600" w:lineRule="exact"/>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G5517长益复线高速朱良桥互通-赫山区S221公路（益阳段）。</w:t>
      </w:r>
    </w:p>
    <w:p>
      <w:pPr>
        <w:pStyle w:val="2"/>
        <w:spacing w:line="600" w:lineRule="exact"/>
        <w:ind w:firstLine="600" w:firstLineChars="200"/>
        <w:rPr>
          <w:rFonts w:ascii="仿宋" w:hAnsi="仿宋" w:eastAsia="仿宋" w:cs="仿宋"/>
          <w:sz w:val="30"/>
          <w:szCs w:val="30"/>
          <w:lang w:val="zh-CN"/>
        </w:rPr>
      </w:pPr>
      <w:r>
        <w:rPr>
          <w:rFonts w:hint="eastAsia" w:ascii="仿宋" w:hAnsi="仿宋" w:eastAsia="仿宋" w:cs="仿宋"/>
          <w:sz w:val="30"/>
          <w:szCs w:val="30"/>
          <w:lang w:val="zh-CN"/>
        </w:rPr>
        <w:t>该项目合同金额3031.4648万元，</w:t>
      </w:r>
      <w:r>
        <w:rPr>
          <w:rFonts w:hint="eastAsia" w:ascii="仿宋" w:hAnsi="仿宋" w:eastAsia="仿宋" w:cs="仿宋"/>
          <w:sz w:val="30"/>
          <w:szCs w:val="30"/>
        </w:rPr>
        <w:t>已完成投资3013.9万元，2021年已将将收到的</w:t>
      </w:r>
      <w:r>
        <w:rPr>
          <w:rFonts w:hint="eastAsia" w:ascii="仿宋" w:hAnsi="仿宋" w:eastAsia="仿宋" w:cs="仿宋"/>
          <w:kern w:val="0"/>
          <w:sz w:val="30"/>
          <w:szCs w:val="30"/>
          <w:lang w:bidi="zh-CN"/>
        </w:rPr>
        <w:t>2021年车辆购置税收入补助地方资金（第一批）657万</w:t>
      </w:r>
      <w:r>
        <w:rPr>
          <w:rFonts w:hint="eastAsia" w:ascii="仿宋" w:hAnsi="仿宋" w:eastAsia="仿宋" w:cs="仿宋"/>
          <w:sz w:val="30"/>
          <w:szCs w:val="30"/>
        </w:rPr>
        <w:t>全额拨付。已通过了竣工验收并投入使用。</w:t>
      </w:r>
      <w:r>
        <w:rPr>
          <w:rFonts w:hint="eastAsia" w:ascii="仿宋" w:hAnsi="仿宋" w:eastAsia="仿宋" w:cs="仿宋"/>
          <w:sz w:val="30"/>
          <w:szCs w:val="30"/>
          <w:lang w:val="zh-CN"/>
        </w:rPr>
        <w:t>实施路网有效衔接建设工程3.948公里，日常养护达标率</w:t>
      </w:r>
      <w:r>
        <w:rPr>
          <w:rFonts w:hint="eastAsia" w:ascii="仿宋" w:hAnsi="仿宋" w:eastAsia="仿宋" w:cs="仿宋"/>
          <w:sz w:val="30"/>
          <w:szCs w:val="30"/>
        </w:rPr>
        <w:t>100%，实现了</w:t>
      </w:r>
      <w:r>
        <w:rPr>
          <w:rFonts w:hint="eastAsia" w:ascii="仿宋" w:hAnsi="仿宋" w:eastAsia="仿宋" w:cs="仿宋"/>
          <w:sz w:val="30"/>
          <w:szCs w:val="30"/>
          <w:lang w:val="zh-CN"/>
        </w:rPr>
        <w:t>公路线路</w:t>
      </w:r>
      <w:r>
        <w:rPr>
          <w:rFonts w:hint="eastAsia" w:ascii="仿宋" w:hAnsi="仿宋" w:eastAsia="仿宋" w:cs="仿宋"/>
          <w:sz w:val="30"/>
          <w:szCs w:val="30"/>
        </w:rPr>
        <w:t>全</w:t>
      </w:r>
      <w:r>
        <w:rPr>
          <w:rFonts w:hint="eastAsia" w:ascii="仿宋" w:hAnsi="仿宋" w:eastAsia="仿宋" w:cs="仿宋"/>
          <w:sz w:val="30"/>
          <w:szCs w:val="30"/>
          <w:lang w:val="zh-CN"/>
        </w:rPr>
        <w:t>绿化；在质量和时效上，加强工程质量和进度的监督管理，</w:t>
      </w:r>
      <w:r>
        <w:rPr>
          <w:rFonts w:hint="eastAsia" w:ascii="仿宋" w:hAnsi="仿宋" w:eastAsia="仿宋" w:cs="仿宋"/>
          <w:sz w:val="30"/>
          <w:szCs w:val="30"/>
        </w:rPr>
        <w:t>保证了</w:t>
      </w:r>
      <w:r>
        <w:rPr>
          <w:rFonts w:hint="eastAsia" w:ascii="仿宋" w:hAnsi="仿宋" w:eastAsia="仿宋" w:cs="仿宋"/>
          <w:sz w:val="30"/>
          <w:szCs w:val="30"/>
          <w:lang w:val="zh-CN"/>
        </w:rPr>
        <w:t>工程保质保量按期完成，工程质量评定达到合格及以上标准。通过工程的实施，促进了沿线经济的发展，改善沿线居民的出行条件，提高居民的生活质量、收入水平。</w:t>
      </w:r>
    </w:p>
    <w:p>
      <w:pPr>
        <w:spacing w:line="60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2.G234赫山区谢林港至桃江石洞公路段</w:t>
      </w:r>
    </w:p>
    <w:p>
      <w:pPr>
        <w:pStyle w:val="2"/>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G234项目已将</w:t>
      </w:r>
      <w:r>
        <w:rPr>
          <w:rFonts w:hint="eastAsia" w:ascii="仿宋" w:hAnsi="仿宋" w:eastAsia="仿宋" w:cs="仿宋"/>
          <w:kern w:val="0"/>
          <w:sz w:val="30"/>
          <w:szCs w:val="30"/>
          <w:lang w:bidi="zh-CN"/>
        </w:rPr>
        <w:t>2021年第一批车辆购置税收入补助地方资金（G234赫山区谢林港至桃花江石洞公路段）3425万元拨付至城投公司</w:t>
      </w:r>
      <w:r>
        <w:rPr>
          <w:rFonts w:hint="eastAsia" w:ascii="仿宋" w:hAnsi="仿宋" w:eastAsia="仿宋" w:cs="仿宋"/>
          <w:sz w:val="30"/>
          <w:szCs w:val="30"/>
        </w:rPr>
        <w:t>，该项目计划建设质量达标里程数15.07公里，现已完成招投标，已局部开工，在质量和时效上，将加强工程质量和进度的监督管理，确保工程保质保量按期完成，工程质量评定达到合格及以上标准。预计通过工程的实施，将保持促进城乡之间、区域之间的运输通达，促进沿线经济的发展，改善沿线居民的出行条件，提高居民的生活质量、收入水平。</w:t>
      </w:r>
    </w:p>
    <w:p>
      <w:pPr>
        <w:spacing w:line="60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3.X013线和X002线</w:t>
      </w:r>
    </w:p>
    <w:p>
      <w:pPr>
        <w:pStyle w:val="6"/>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2021年已将</w:t>
      </w:r>
      <w:r>
        <w:rPr>
          <w:rFonts w:hint="eastAsia" w:ascii="仿宋" w:hAnsi="仿宋" w:eastAsia="仿宋" w:cs="仿宋"/>
          <w:kern w:val="0"/>
          <w:sz w:val="30"/>
          <w:szCs w:val="30"/>
          <w:lang w:bidi="zh-CN"/>
        </w:rPr>
        <w:t>2021年车辆购置税补助地方资金（第一批）乡镇通三级公路及旅游资源产业路371万拨付到位，现已完工。项目已</w:t>
      </w:r>
      <w:r>
        <w:rPr>
          <w:rFonts w:hint="eastAsia" w:ascii="仿宋" w:hAnsi="仿宋" w:eastAsia="仿宋" w:cs="仿宋"/>
          <w:sz w:val="30"/>
          <w:szCs w:val="30"/>
        </w:rPr>
        <w:t>完成旅游资源产业路建设工程合计15.944公里，在质量和时效上，加强工程质量和进度的监督管理，确保工程保质</w:t>
      </w:r>
      <w:r>
        <w:rPr>
          <w:rFonts w:hint="eastAsia" w:ascii="仿宋" w:hAnsi="仿宋" w:eastAsia="仿宋" w:cs="仿宋"/>
          <w:kern w:val="0"/>
          <w:sz w:val="30"/>
          <w:szCs w:val="30"/>
          <w:lang w:bidi="zh-CN"/>
        </w:rPr>
        <w:t>保量按期完成，工程质量评定达到合格及以上标准。同时做到水土保持率100%，道路复垦率100%，公路线路绿化情况实现全线绿化。通过工程的实施，促进了沿线经济的发展，改善沿线居民的出行条件，提高居民的生活质量</w:t>
      </w:r>
      <w:r>
        <w:rPr>
          <w:rFonts w:hint="eastAsia" w:ascii="仿宋" w:hAnsi="仿宋" w:eastAsia="仿宋" w:cs="仿宋"/>
          <w:sz w:val="30"/>
          <w:szCs w:val="30"/>
        </w:rPr>
        <w:t>、收入水平。</w:t>
      </w:r>
    </w:p>
    <w:p>
      <w:pPr>
        <w:pStyle w:val="6"/>
        <w:spacing w:line="600" w:lineRule="exact"/>
        <w:ind w:firstLine="600" w:firstLineChars="200"/>
        <w:rPr>
          <w:rFonts w:ascii="黑体" w:hAnsi="黑体" w:eastAsia="黑体" w:cs="黑体"/>
          <w:bCs/>
          <w:sz w:val="30"/>
          <w:szCs w:val="30"/>
          <w:lang w:bidi="zh-CN"/>
        </w:rPr>
      </w:pPr>
      <w:r>
        <w:rPr>
          <w:rFonts w:hint="eastAsia" w:ascii="黑体" w:hAnsi="黑体" w:eastAsia="黑体" w:cs="黑体"/>
          <w:bCs/>
          <w:sz w:val="30"/>
          <w:szCs w:val="30"/>
          <w:lang w:bidi="zh-CN"/>
        </w:rPr>
        <w:t>二、绩效评价工作情况</w:t>
      </w:r>
    </w:p>
    <w:p>
      <w:pPr>
        <w:spacing w:line="600" w:lineRule="exact"/>
        <w:ind w:firstLine="600" w:firstLineChars="200"/>
        <w:jc w:val="left"/>
        <w:rPr>
          <w:rFonts w:ascii="仿宋" w:hAnsi="仿宋" w:eastAsia="仿宋" w:cs="仿宋"/>
          <w:kern w:val="0"/>
          <w:sz w:val="30"/>
          <w:szCs w:val="30"/>
          <w:lang w:bidi="zh-CN"/>
        </w:rPr>
      </w:pPr>
      <w:r>
        <w:rPr>
          <w:rFonts w:hint="eastAsia" w:ascii="仿宋" w:hAnsi="仿宋" w:eastAsia="仿宋" w:cs="仿宋"/>
          <w:kern w:val="0"/>
          <w:sz w:val="30"/>
          <w:szCs w:val="30"/>
          <w:lang w:bidi="zh-CN"/>
        </w:rPr>
        <w:t>对于资金我单位根据文件积极与财政局对接工作，保证资金能按时到账，同时保存好文件和入账通知单备查。相关工程项目资金，财务股做到资金到账及时汇报领导、通知业务股室，对递交至财务股的原始凭证审慎检查、反复核对，保障票据真实、合法，程序合规后及时拨付项目资金，不滞留项目资金，保证工程项目资金链完整。</w:t>
      </w:r>
    </w:p>
    <w:p>
      <w:pPr>
        <w:spacing w:line="600" w:lineRule="exact"/>
        <w:ind w:firstLine="600" w:firstLineChars="200"/>
        <w:jc w:val="left"/>
        <w:rPr>
          <w:rFonts w:ascii="仿宋" w:hAnsi="仿宋" w:eastAsia="仿宋" w:cs="仿宋"/>
          <w:b/>
          <w:sz w:val="30"/>
          <w:szCs w:val="30"/>
          <w:lang w:bidi="zh-CN"/>
        </w:rPr>
      </w:pPr>
      <w:r>
        <w:rPr>
          <w:rFonts w:hint="eastAsia" w:ascii="仿宋" w:hAnsi="仿宋" w:eastAsia="仿宋" w:cs="仿宋"/>
          <w:kern w:val="0"/>
          <w:sz w:val="30"/>
          <w:szCs w:val="30"/>
          <w:lang w:bidi="zh-CN"/>
        </w:rPr>
        <w:t>对于留存在账上未拨付的资金，财务股积极联系相关业务股室，对于不能提供支付凭证和手续不完善的票据不予支付，坚持专款专用的原则，不挪用项目资金。</w:t>
      </w:r>
    </w:p>
    <w:p>
      <w:pPr>
        <w:pStyle w:val="2"/>
        <w:spacing w:line="600" w:lineRule="exact"/>
        <w:ind w:firstLine="600" w:firstLineChars="200"/>
        <w:rPr>
          <w:rFonts w:ascii="黑体" w:hAnsi="黑体" w:eastAsia="黑体" w:cs="黑体"/>
          <w:bCs/>
          <w:sz w:val="30"/>
          <w:szCs w:val="30"/>
          <w:lang w:bidi="zh-CN"/>
        </w:rPr>
      </w:pPr>
      <w:r>
        <w:rPr>
          <w:rFonts w:hint="eastAsia" w:ascii="黑体" w:hAnsi="黑体" w:eastAsia="黑体" w:cs="黑体"/>
          <w:bCs/>
          <w:sz w:val="30"/>
          <w:szCs w:val="30"/>
          <w:lang w:bidi="zh-CN"/>
        </w:rPr>
        <w:t>三、预算支出主要绩效及评论结论</w:t>
      </w:r>
    </w:p>
    <w:p>
      <w:pPr>
        <w:spacing w:line="600" w:lineRule="exact"/>
        <w:ind w:firstLine="600" w:firstLineChars="200"/>
        <w:jc w:val="left"/>
        <w:rPr>
          <w:rFonts w:ascii="仿宋" w:hAnsi="仿宋" w:eastAsia="仿宋" w:cs="仿宋"/>
          <w:kern w:val="0"/>
          <w:sz w:val="30"/>
          <w:szCs w:val="30"/>
          <w:lang w:bidi="zh-CN"/>
        </w:rPr>
      </w:pPr>
      <w:r>
        <w:rPr>
          <w:rFonts w:hint="eastAsia" w:ascii="仿宋" w:hAnsi="仿宋" w:eastAsia="仿宋" w:cs="仿宋"/>
          <w:kern w:val="0"/>
          <w:sz w:val="30"/>
          <w:szCs w:val="30"/>
          <w:lang w:bidi="zh-CN"/>
        </w:rPr>
        <w:t>G5517长益复线高速朱良桥互通-赫山区S221公路（益阳段）、X013线和X002线项目均已完工，项目实行“政府监督，法人管理，社会监理，企业自检”的质量保证体系，交通安全设施符合规范，沿线设施符合标准，绿化工程及环境保护措施方案基本符合《公路环境保护设计规范》（JTG B04-2010）、《公路绿色通道绿化工程建设技术规范》（DB43/T619-2011）等要求。</w:t>
      </w:r>
    </w:p>
    <w:p>
      <w:pPr>
        <w:spacing w:line="600" w:lineRule="exact"/>
        <w:ind w:firstLine="600" w:firstLineChars="200"/>
        <w:jc w:val="left"/>
        <w:rPr>
          <w:rFonts w:ascii="仿宋" w:hAnsi="仿宋" w:eastAsia="仿宋" w:cs="仿宋"/>
          <w:sz w:val="30"/>
          <w:szCs w:val="30"/>
          <w:lang w:val="zh-CN" w:bidi="zh-CN"/>
        </w:rPr>
      </w:pPr>
      <w:r>
        <w:rPr>
          <w:rFonts w:hint="eastAsia" w:ascii="仿宋" w:hAnsi="仿宋" w:eastAsia="仿宋" w:cs="仿宋"/>
          <w:kern w:val="0"/>
          <w:sz w:val="30"/>
          <w:szCs w:val="30"/>
          <w:lang w:bidi="zh-CN"/>
        </w:rPr>
        <w:t>G234赫山区谢林港至桃江石洞公路段</w:t>
      </w:r>
      <w:r>
        <w:rPr>
          <w:rFonts w:hint="eastAsia" w:ascii="仿宋" w:hAnsi="仿宋" w:eastAsia="仿宋" w:cs="仿宋"/>
          <w:kern w:val="0"/>
          <w:sz w:val="30"/>
          <w:szCs w:val="30"/>
          <w:lang w:val="zh-CN" w:bidi="zh-CN"/>
        </w:rPr>
        <w:t>已完成招投标工作，</w:t>
      </w:r>
      <w:r>
        <w:rPr>
          <w:rFonts w:hint="eastAsia" w:ascii="仿宋" w:hAnsi="仿宋" w:eastAsia="仿宋" w:cs="仿宋"/>
          <w:kern w:val="0"/>
          <w:sz w:val="30"/>
          <w:szCs w:val="30"/>
          <w:lang w:bidi="zh-CN"/>
        </w:rPr>
        <w:t>局部已</w:t>
      </w:r>
      <w:r>
        <w:rPr>
          <w:rFonts w:hint="eastAsia" w:ascii="仿宋" w:hAnsi="仿宋" w:eastAsia="仿宋" w:cs="仿宋"/>
          <w:kern w:val="0"/>
          <w:sz w:val="30"/>
          <w:szCs w:val="30"/>
          <w:lang w:val="zh-CN" w:bidi="zh-CN"/>
        </w:rPr>
        <w:t>动工建设。</w:t>
      </w:r>
      <w:r>
        <w:rPr>
          <w:rFonts w:hint="eastAsia" w:ascii="仿宋" w:hAnsi="仿宋" w:eastAsia="仿宋" w:cs="仿宋"/>
          <w:sz w:val="30"/>
          <w:szCs w:val="30"/>
          <w:lang w:val="zh-CN" w:bidi="zh-CN"/>
        </w:rPr>
        <w:t>项目的申请、设立过程符合相关要求，设定的绩效目标合理，绩效指标细化、明确、清晰、可衡量。</w:t>
      </w:r>
    </w:p>
    <w:p>
      <w:pPr>
        <w:pStyle w:val="2"/>
        <w:spacing w:line="600" w:lineRule="exact"/>
        <w:ind w:firstLine="600" w:firstLineChars="200"/>
        <w:rPr>
          <w:rFonts w:ascii="黑体" w:hAnsi="黑体" w:eastAsia="黑体" w:cs="黑体"/>
          <w:bCs/>
          <w:sz w:val="30"/>
          <w:szCs w:val="30"/>
          <w:lang w:bidi="zh-CN"/>
        </w:rPr>
      </w:pPr>
      <w:r>
        <w:rPr>
          <w:rFonts w:hint="eastAsia" w:ascii="黑体" w:hAnsi="黑体" w:eastAsia="黑体" w:cs="黑体"/>
          <w:bCs/>
          <w:sz w:val="30"/>
          <w:szCs w:val="30"/>
          <w:lang w:bidi="zh-CN"/>
        </w:rPr>
        <w:t>四、绩效评价指标分析</w:t>
      </w:r>
    </w:p>
    <w:p>
      <w:pPr>
        <w:spacing w:line="600" w:lineRule="exact"/>
        <w:ind w:firstLine="602" w:firstLineChars="200"/>
        <w:rPr>
          <w:rFonts w:ascii="仿宋" w:hAnsi="仿宋" w:eastAsia="仿宋" w:cs="仿宋"/>
          <w:b/>
          <w:sz w:val="30"/>
          <w:szCs w:val="30"/>
          <w:lang w:bidi="zh-CN"/>
        </w:rPr>
      </w:pPr>
      <w:r>
        <w:rPr>
          <w:rFonts w:hint="eastAsia" w:ascii="仿宋" w:hAnsi="仿宋" w:eastAsia="仿宋" w:cs="仿宋"/>
          <w:b/>
          <w:sz w:val="30"/>
          <w:szCs w:val="30"/>
          <w:lang w:bidi="zh-CN"/>
        </w:rPr>
        <w:t>（一）预算支出决策情况</w:t>
      </w:r>
    </w:p>
    <w:p>
      <w:pPr>
        <w:spacing w:line="600" w:lineRule="exact"/>
        <w:ind w:firstLine="600" w:firstLineChars="200"/>
        <w:jc w:val="left"/>
        <w:rPr>
          <w:rFonts w:ascii="仿宋" w:hAnsi="仿宋" w:eastAsia="仿宋" w:cs="仿宋"/>
          <w:sz w:val="30"/>
          <w:szCs w:val="30"/>
          <w:lang w:bidi="zh-CN"/>
        </w:rPr>
      </w:pPr>
      <w:r>
        <w:rPr>
          <w:rFonts w:hint="eastAsia" w:ascii="仿宋" w:hAnsi="仿宋" w:eastAsia="仿宋" w:cs="仿宋"/>
          <w:sz w:val="30"/>
          <w:szCs w:val="30"/>
          <w:lang w:bidi="zh-CN"/>
        </w:rPr>
        <w:t>三笔专项资金均已拨付至城投公司。</w:t>
      </w:r>
    </w:p>
    <w:p>
      <w:pPr>
        <w:spacing w:line="600" w:lineRule="exact"/>
        <w:ind w:firstLine="602" w:firstLineChars="200"/>
        <w:rPr>
          <w:rFonts w:ascii="仿宋" w:hAnsi="仿宋" w:eastAsia="仿宋" w:cs="仿宋"/>
          <w:b/>
          <w:sz w:val="30"/>
          <w:szCs w:val="30"/>
          <w:lang w:bidi="zh-CN"/>
        </w:rPr>
      </w:pPr>
      <w:r>
        <w:rPr>
          <w:rFonts w:hint="eastAsia" w:ascii="仿宋" w:hAnsi="仿宋" w:eastAsia="仿宋" w:cs="仿宋"/>
          <w:b/>
          <w:sz w:val="30"/>
          <w:szCs w:val="30"/>
          <w:lang w:bidi="zh-CN"/>
        </w:rPr>
        <w:t>（二）预算执行过程情况</w:t>
      </w:r>
    </w:p>
    <w:p>
      <w:pPr>
        <w:pStyle w:val="2"/>
        <w:spacing w:line="600" w:lineRule="exact"/>
        <w:ind w:firstLine="600" w:firstLineChars="200"/>
        <w:rPr>
          <w:rFonts w:ascii="仿宋" w:hAnsi="仿宋" w:eastAsia="仿宋" w:cs="仿宋"/>
          <w:sz w:val="30"/>
          <w:szCs w:val="30"/>
          <w:lang w:bidi="zh-CN"/>
        </w:rPr>
      </w:pPr>
      <w:r>
        <w:rPr>
          <w:rFonts w:hint="eastAsia" w:ascii="仿宋" w:hAnsi="仿宋" w:eastAsia="仿宋" w:cs="仿宋"/>
          <w:sz w:val="30"/>
          <w:szCs w:val="30"/>
          <w:lang w:bidi="zh-CN"/>
        </w:rPr>
        <w:t>G5517长益复线高速朱良桥互通-赫山区S221公路（益阳段）已</w:t>
      </w:r>
      <w:r>
        <w:rPr>
          <w:rFonts w:hint="eastAsia" w:ascii="仿宋" w:hAnsi="仿宋" w:eastAsia="仿宋" w:cs="仿宋"/>
          <w:sz w:val="30"/>
          <w:szCs w:val="30"/>
        </w:rPr>
        <w:t>完成全线所有的交工检测任务，专家组评定为合格工程；</w:t>
      </w:r>
      <w:r>
        <w:rPr>
          <w:rFonts w:hint="eastAsia" w:ascii="仿宋" w:hAnsi="仿宋" w:eastAsia="仿宋" w:cs="仿宋"/>
          <w:kern w:val="0"/>
          <w:sz w:val="30"/>
          <w:szCs w:val="30"/>
          <w:lang w:bidi="zh-CN"/>
        </w:rPr>
        <w:t>X013线和X002线</w:t>
      </w:r>
      <w:r>
        <w:rPr>
          <w:rFonts w:hint="eastAsia" w:ascii="仿宋" w:hAnsi="仿宋" w:eastAsia="仿宋" w:cs="仿宋"/>
          <w:sz w:val="30"/>
          <w:szCs w:val="30"/>
          <w:lang w:bidi="zh-CN"/>
        </w:rPr>
        <w:t>已</w:t>
      </w:r>
      <w:r>
        <w:rPr>
          <w:rFonts w:hint="eastAsia" w:ascii="仿宋" w:hAnsi="仿宋" w:eastAsia="仿宋" w:cs="仿宋"/>
          <w:sz w:val="30"/>
          <w:szCs w:val="30"/>
        </w:rPr>
        <w:t>完成全线所有的交工检测任务，专家组评定为合格工程；</w:t>
      </w:r>
      <w:r>
        <w:rPr>
          <w:rFonts w:hint="eastAsia" w:ascii="仿宋" w:hAnsi="仿宋" w:eastAsia="仿宋" w:cs="仿宋"/>
          <w:kern w:val="0"/>
          <w:sz w:val="30"/>
          <w:szCs w:val="30"/>
          <w:lang w:bidi="zh-CN"/>
        </w:rPr>
        <w:t>G234赫山区谢林港至桃江石洞公路段</w:t>
      </w:r>
      <w:r>
        <w:rPr>
          <w:rFonts w:hint="eastAsia" w:ascii="仿宋" w:hAnsi="仿宋" w:eastAsia="仿宋" w:cs="仿宋"/>
          <w:kern w:val="0"/>
          <w:sz w:val="30"/>
          <w:szCs w:val="30"/>
          <w:lang w:val="zh-CN" w:bidi="zh-CN"/>
        </w:rPr>
        <w:t>已完成招投标工作，</w:t>
      </w:r>
      <w:r>
        <w:rPr>
          <w:rFonts w:hint="eastAsia" w:ascii="仿宋" w:hAnsi="仿宋" w:eastAsia="仿宋" w:cs="仿宋"/>
          <w:kern w:val="0"/>
          <w:sz w:val="30"/>
          <w:szCs w:val="30"/>
          <w:lang w:bidi="zh-CN"/>
        </w:rPr>
        <w:t>已局部开工</w:t>
      </w:r>
      <w:r>
        <w:rPr>
          <w:rFonts w:hint="eastAsia" w:ascii="仿宋" w:hAnsi="仿宋" w:eastAsia="仿宋" w:cs="仿宋"/>
          <w:kern w:val="0"/>
          <w:sz w:val="30"/>
          <w:szCs w:val="30"/>
          <w:lang w:val="zh-CN" w:bidi="zh-CN"/>
        </w:rPr>
        <w:t>。</w:t>
      </w:r>
    </w:p>
    <w:p>
      <w:pPr>
        <w:spacing w:line="600" w:lineRule="exact"/>
        <w:ind w:firstLine="602" w:firstLineChars="200"/>
        <w:rPr>
          <w:rFonts w:ascii="仿宋" w:hAnsi="仿宋" w:eastAsia="仿宋" w:cs="仿宋"/>
          <w:b/>
          <w:sz w:val="30"/>
          <w:szCs w:val="30"/>
          <w:lang w:bidi="zh-CN"/>
        </w:rPr>
      </w:pPr>
      <w:r>
        <w:rPr>
          <w:rFonts w:hint="eastAsia" w:ascii="仿宋" w:hAnsi="仿宋" w:eastAsia="仿宋" w:cs="仿宋"/>
          <w:b/>
          <w:sz w:val="30"/>
          <w:szCs w:val="30"/>
          <w:lang w:bidi="zh-CN"/>
        </w:rPr>
        <w:t>（三）预算支出效益情况</w:t>
      </w:r>
    </w:p>
    <w:p>
      <w:pPr>
        <w:pStyle w:val="2"/>
        <w:spacing w:line="600" w:lineRule="exact"/>
        <w:ind w:firstLine="600" w:firstLineChars="200"/>
        <w:rPr>
          <w:rFonts w:ascii="仿宋" w:hAnsi="仿宋" w:eastAsia="仿宋" w:cs="仿宋"/>
          <w:sz w:val="30"/>
          <w:szCs w:val="30"/>
          <w:lang w:bidi="zh-CN"/>
        </w:rPr>
      </w:pPr>
      <w:r>
        <w:rPr>
          <w:rFonts w:hint="eastAsia" w:ascii="仿宋" w:hAnsi="仿宋" w:eastAsia="仿宋" w:cs="仿宋"/>
          <w:sz w:val="30"/>
          <w:szCs w:val="30"/>
          <w:lang w:bidi="zh-CN"/>
        </w:rPr>
        <w:t>G5517长益复线高速朱良桥互通-赫山区S221公路（益阳段）和</w:t>
      </w:r>
      <w:r>
        <w:rPr>
          <w:rFonts w:hint="eastAsia" w:ascii="仿宋" w:hAnsi="仿宋" w:eastAsia="仿宋" w:cs="仿宋"/>
          <w:kern w:val="0"/>
          <w:sz w:val="30"/>
          <w:szCs w:val="30"/>
          <w:lang w:bidi="zh-CN"/>
        </w:rPr>
        <w:t>X013线和X002线</w:t>
      </w:r>
      <w:r>
        <w:rPr>
          <w:rFonts w:hint="eastAsia" w:ascii="仿宋" w:hAnsi="仿宋" w:eastAsia="仿宋" w:cs="仿宋"/>
          <w:sz w:val="30"/>
          <w:szCs w:val="30"/>
          <w:lang w:bidi="zh-CN"/>
        </w:rPr>
        <w:t>项目持续发挥作用期限为长期，对生物、水、声等环境影响极小，通过工程的实施，促进了沿线经济的发展，改善沿线居民的出行条件，提高居民的生活质量、收入水平，公众满意度高。</w:t>
      </w:r>
    </w:p>
    <w:p>
      <w:pPr>
        <w:pStyle w:val="2"/>
        <w:spacing w:line="600" w:lineRule="exact"/>
        <w:ind w:firstLine="600" w:firstLineChars="200"/>
        <w:rPr>
          <w:rFonts w:ascii="黑体" w:hAnsi="黑体" w:eastAsia="黑体" w:cs="黑体"/>
          <w:bCs/>
          <w:sz w:val="30"/>
          <w:szCs w:val="30"/>
          <w:lang w:bidi="zh-CN"/>
        </w:rPr>
      </w:pPr>
      <w:r>
        <w:rPr>
          <w:rFonts w:hint="eastAsia" w:ascii="黑体" w:hAnsi="黑体" w:eastAsia="黑体" w:cs="黑体"/>
          <w:bCs/>
          <w:sz w:val="30"/>
          <w:szCs w:val="30"/>
          <w:lang w:bidi="zh-CN"/>
        </w:rPr>
        <w:t>五、主要经验及做法、存在的问题及原因分析</w:t>
      </w:r>
    </w:p>
    <w:p>
      <w:pPr>
        <w:spacing w:line="600" w:lineRule="exact"/>
        <w:ind w:firstLine="600" w:firstLineChars="200"/>
        <w:rPr>
          <w:rFonts w:ascii="仿宋" w:hAnsi="仿宋" w:eastAsia="仿宋" w:cs="仿宋"/>
          <w:sz w:val="30"/>
          <w:szCs w:val="30"/>
          <w:lang w:bidi="zh-CN"/>
        </w:rPr>
      </w:pPr>
      <w:r>
        <w:rPr>
          <w:rFonts w:hint="eastAsia" w:ascii="仿宋" w:hAnsi="仿宋" w:eastAsia="仿宋" w:cs="仿宋"/>
          <w:sz w:val="30"/>
          <w:szCs w:val="30"/>
          <w:lang w:bidi="zh-CN"/>
        </w:rPr>
        <w:t>相关业务部门未按时递交资料，影响资金的拨付；项目实施前期工作效率有待提高。</w:t>
      </w:r>
    </w:p>
    <w:p>
      <w:pPr>
        <w:pStyle w:val="2"/>
        <w:spacing w:line="600" w:lineRule="exact"/>
        <w:ind w:firstLine="600" w:firstLineChars="200"/>
        <w:rPr>
          <w:rFonts w:ascii="仿宋" w:hAnsi="仿宋" w:eastAsia="仿宋" w:cs="仿宋"/>
          <w:sz w:val="30"/>
          <w:szCs w:val="30"/>
          <w:lang w:bidi="zh-CN"/>
        </w:rPr>
      </w:pPr>
      <w:r>
        <w:rPr>
          <w:rFonts w:hint="eastAsia" w:ascii="仿宋" w:hAnsi="仿宋" w:eastAsia="仿宋" w:cs="仿宋"/>
          <w:sz w:val="30"/>
          <w:szCs w:val="30"/>
          <w:lang w:bidi="zh-CN"/>
        </w:rPr>
        <w:t>应加强部门配合，推进项目进程，保证资金及时支付。充分发挥各职能部门的积极性和自觉性，形成合力共同推进工程建设。加强工程建设管理，确保工程质量。从各个环节严把工程建设的质量关，严格落实各项管理制度，规范工程建设。</w:t>
      </w:r>
    </w:p>
    <w:p>
      <w:pPr>
        <w:pStyle w:val="2"/>
        <w:spacing w:line="600" w:lineRule="exact"/>
        <w:ind w:firstLine="600" w:firstLineChars="200"/>
        <w:rPr>
          <w:rFonts w:ascii="黑体" w:hAnsi="黑体" w:eastAsia="黑体" w:cs="黑体"/>
          <w:bCs/>
          <w:sz w:val="30"/>
          <w:szCs w:val="30"/>
          <w:lang w:bidi="zh-CN"/>
        </w:rPr>
      </w:pPr>
      <w:r>
        <w:rPr>
          <w:rFonts w:hint="eastAsia" w:ascii="黑体" w:hAnsi="黑体" w:eastAsia="黑体" w:cs="黑体"/>
          <w:bCs/>
          <w:sz w:val="30"/>
          <w:szCs w:val="30"/>
          <w:lang w:bidi="zh-CN"/>
        </w:rPr>
        <w:t>六、有关建议</w:t>
      </w:r>
    </w:p>
    <w:p>
      <w:pPr>
        <w:pStyle w:val="3"/>
        <w:autoSpaceDE w:val="0"/>
        <w:autoSpaceDN w:val="0"/>
        <w:spacing w:line="600" w:lineRule="exact"/>
        <w:ind w:firstLine="600" w:firstLineChars="200"/>
        <w:rPr>
          <w:rFonts w:hAnsi="仿宋"/>
          <w:sz w:val="30"/>
          <w:szCs w:val="30"/>
          <w:lang w:val="en-US"/>
        </w:rPr>
      </w:pPr>
      <w:r>
        <w:rPr>
          <w:rFonts w:hint="eastAsia" w:hAnsi="仿宋"/>
          <w:sz w:val="30"/>
          <w:szCs w:val="30"/>
          <w:lang w:val="en-US"/>
        </w:rPr>
        <w:t>1.建议加大项目的资金筹措力度，争取上级专项资金，保障项目的顺利实施。</w:t>
      </w:r>
    </w:p>
    <w:p>
      <w:pPr>
        <w:pStyle w:val="3"/>
        <w:autoSpaceDE w:val="0"/>
        <w:autoSpaceDN w:val="0"/>
        <w:spacing w:line="600" w:lineRule="exact"/>
        <w:ind w:firstLine="600" w:firstLineChars="200"/>
        <w:rPr>
          <w:rFonts w:hAnsi="仿宋"/>
          <w:sz w:val="30"/>
          <w:szCs w:val="30"/>
          <w:lang w:val="en-US"/>
        </w:rPr>
      </w:pPr>
      <w:r>
        <w:rPr>
          <w:rFonts w:hint="eastAsia" w:hAnsi="仿宋"/>
          <w:sz w:val="30"/>
          <w:szCs w:val="30"/>
          <w:lang w:val="en-US"/>
        </w:rPr>
        <w:t>2.应统筹协调各相关职能部门，及时递交支付所需的资料，保证项目资金链的完整。</w:t>
      </w:r>
    </w:p>
    <w:p>
      <w:pPr>
        <w:pStyle w:val="3"/>
        <w:autoSpaceDE w:val="0"/>
        <w:autoSpaceDN w:val="0"/>
        <w:spacing w:line="600" w:lineRule="exact"/>
        <w:ind w:firstLine="600" w:firstLineChars="200"/>
        <w:rPr>
          <w:rFonts w:hAnsi="仿宋"/>
          <w:sz w:val="30"/>
          <w:szCs w:val="30"/>
          <w:lang w:val="en-US"/>
        </w:rPr>
      </w:pPr>
      <w:r>
        <w:rPr>
          <w:rFonts w:hint="eastAsia" w:hAnsi="仿宋"/>
          <w:sz w:val="30"/>
          <w:szCs w:val="30"/>
          <w:lang w:val="en-US"/>
        </w:rPr>
        <w:t>3.在规划编制、施工图设计审查、建设项目施工、监理、竣工验收等环节加强监督，确保项目建设相关目标与指标的有效落实。</w:t>
      </w:r>
    </w:p>
    <w:p>
      <w:pPr>
        <w:pStyle w:val="2"/>
        <w:spacing w:line="600" w:lineRule="exact"/>
        <w:ind w:firstLine="600" w:firstLineChars="200"/>
        <w:rPr>
          <w:rFonts w:ascii="黑体" w:hAnsi="黑体" w:eastAsia="黑体" w:cs="黑体"/>
          <w:bCs/>
          <w:sz w:val="30"/>
          <w:szCs w:val="30"/>
          <w:lang w:bidi="zh-CN"/>
        </w:rPr>
      </w:pPr>
      <w:r>
        <w:rPr>
          <w:rFonts w:hint="eastAsia" w:ascii="黑体" w:hAnsi="黑体" w:eastAsia="黑体" w:cs="黑体"/>
          <w:bCs/>
          <w:sz w:val="30"/>
          <w:szCs w:val="30"/>
          <w:lang w:bidi="zh-CN"/>
        </w:rPr>
        <w:t>七、其他需要说明的问题</w:t>
      </w:r>
    </w:p>
    <w:p>
      <w:pPr>
        <w:pStyle w:val="3"/>
        <w:autoSpaceDE w:val="0"/>
        <w:autoSpaceDN w:val="0"/>
        <w:spacing w:line="600" w:lineRule="exact"/>
        <w:ind w:firstLine="600" w:firstLineChars="200"/>
        <w:rPr>
          <w:rFonts w:hAnsi="仿宋"/>
          <w:sz w:val="30"/>
          <w:szCs w:val="30"/>
          <w:lang w:val="en-US"/>
        </w:rPr>
      </w:pPr>
      <w:r>
        <w:rPr>
          <w:rFonts w:hint="eastAsia" w:hAnsi="仿宋"/>
          <w:sz w:val="30"/>
          <w:szCs w:val="30"/>
          <w:lang w:val="en-US"/>
        </w:rPr>
        <w:t>无。</w:t>
      </w:r>
    </w:p>
    <w:p>
      <w:pPr>
        <w:spacing w:afterLines="50" w:line="600" w:lineRule="exact"/>
        <w:ind w:firstLine="600" w:firstLineChars="200"/>
        <w:jc w:val="left"/>
        <w:rPr>
          <w:rFonts w:ascii="仿宋" w:hAnsi="仿宋" w:eastAsia="仿宋" w:cs="仿宋"/>
          <w:sz w:val="30"/>
          <w:szCs w:val="30"/>
          <w:lang w:bidi="zh-CN"/>
        </w:rPr>
      </w:pPr>
      <w:bookmarkStart w:id="0" w:name="_GoBack"/>
      <w:bookmarkEnd w:id="0"/>
      <w:r>
        <w:rPr>
          <w:rFonts w:hint="eastAsia" w:ascii="仿宋" w:hAnsi="仿宋" w:eastAsia="仿宋" w:cs="仿宋"/>
          <w:sz w:val="30"/>
          <w:szCs w:val="30"/>
          <w:lang w:bidi="zh-CN"/>
        </w:rPr>
        <w:t>附件：2021年度项目支出绩效自评指标计分表</w:t>
      </w:r>
    </w:p>
    <w:p>
      <w:pPr>
        <w:spacing w:afterLines="50" w:line="400" w:lineRule="exact"/>
        <w:jc w:val="center"/>
        <w:rPr>
          <w:rFonts w:ascii="黑体" w:hAnsi="黑体" w:eastAsia="黑体" w:cs="黑体"/>
          <w:sz w:val="30"/>
          <w:szCs w:val="30"/>
        </w:rPr>
      </w:pPr>
    </w:p>
    <w:p>
      <w:pPr>
        <w:spacing w:afterLines="50" w:line="400" w:lineRule="exact"/>
        <w:jc w:val="center"/>
        <w:rPr>
          <w:rFonts w:ascii="黑体" w:hAnsi="黑体" w:eastAsia="黑体" w:cs="黑体"/>
          <w:sz w:val="30"/>
          <w:szCs w:val="30"/>
        </w:rPr>
      </w:pPr>
    </w:p>
    <w:p>
      <w:pPr>
        <w:spacing w:afterLines="50" w:line="400" w:lineRule="exact"/>
        <w:jc w:val="center"/>
        <w:rPr>
          <w:rFonts w:ascii="黑体" w:hAnsi="黑体" w:eastAsia="黑体" w:cs="黑体"/>
          <w:sz w:val="30"/>
          <w:szCs w:val="30"/>
        </w:rPr>
      </w:pPr>
    </w:p>
    <w:p>
      <w:pPr>
        <w:spacing w:afterLines="50" w:line="400" w:lineRule="exact"/>
        <w:jc w:val="center"/>
        <w:rPr>
          <w:rFonts w:ascii="黑体" w:hAnsi="黑体" w:eastAsia="黑体" w:cs="黑体"/>
          <w:sz w:val="30"/>
          <w:szCs w:val="30"/>
        </w:rPr>
      </w:pPr>
    </w:p>
    <w:p>
      <w:pPr>
        <w:spacing w:afterLines="50" w:line="400" w:lineRule="exact"/>
        <w:jc w:val="center"/>
        <w:rPr>
          <w:rFonts w:ascii="黑体" w:hAnsi="黑体" w:eastAsia="黑体" w:cs="黑体"/>
          <w:sz w:val="30"/>
          <w:szCs w:val="30"/>
        </w:rPr>
      </w:pPr>
    </w:p>
    <w:p>
      <w:pPr>
        <w:spacing w:afterLines="50" w:line="400" w:lineRule="exact"/>
        <w:jc w:val="center"/>
        <w:rPr>
          <w:rFonts w:ascii="黑体" w:hAnsi="黑体" w:eastAsia="黑体" w:cs="黑体"/>
          <w:sz w:val="30"/>
          <w:szCs w:val="30"/>
        </w:rPr>
      </w:pPr>
    </w:p>
    <w:p>
      <w:pPr>
        <w:spacing w:afterLines="50" w:line="400" w:lineRule="exact"/>
        <w:jc w:val="center"/>
        <w:rPr>
          <w:rFonts w:ascii="黑体" w:hAnsi="黑体" w:eastAsia="黑体" w:cs="黑体"/>
          <w:sz w:val="30"/>
          <w:szCs w:val="30"/>
        </w:rPr>
      </w:pPr>
    </w:p>
    <w:p>
      <w:pPr>
        <w:spacing w:afterLines="50" w:line="400" w:lineRule="exact"/>
        <w:jc w:val="center"/>
        <w:rPr>
          <w:rFonts w:ascii="黑体" w:hAnsi="黑体" w:eastAsia="黑体" w:cs="黑体"/>
          <w:sz w:val="30"/>
          <w:szCs w:val="30"/>
        </w:rPr>
      </w:pPr>
      <w:r>
        <w:rPr>
          <w:rFonts w:hint="eastAsia" w:ascii="黑体" w:hAnsi="黑体" w:eastAsia="黑体" w:cs="黑体"/>
          <w:sz w:val="30"/>
          <w:szCs w:val="30"/>
        </w:rPr>
        <w:t>2021年度项目支出绩效自评指标计分表</w:t>
      </w:r>
    </w:p>
    <w:tbl>
      <w:tblPr>
        <w:tblStyle w:val="4"/>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23"/>
        <w:gridCol w:w="1533"/>
        <w:gridCol w:w="2473"/>
        <w:gridCol w:w="513"/>
        <w:gridCol w:w="9994"/>
        <w:gridCol w:w="16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95" w:type="pct"/>
            <w:noWrap/>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247" w:type="pct"/>
            <w:noWrap/>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454" w:type="pct"/>
            <w:noWrap/>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294" w:type="pct"/>
            <w:noWrap/>
            <w:tcMar>
              <w:top w:w="10" w:type="dxa"/>
              <w:left w:w="10" w:type="dxa"/>
              <w:bottom w:w="0" w:type="dxa"/>
              <w:right w:w="10" w:type="dxa"/>
            </w:tcMar>
          </w:tcPr>
          <w:p>
            <w:pPr>
              <w:spacing w:line="240" w:lineRule="exact"/>
              <w:jc w:val="center"/>
              <w:rPr>
                <w:rFonts w:ascii="宋体"/>
                <w:b/>
                <w:bCs/>
              </w:rPr>
            </w:pPr>
            <w:r>
              <w:rPr>
                <w:rFonts w:hint="eastAsia" w:ascii="宋体" w:hAnsi="宋体" w:cs="宋体"/>
                <w:b/>
                <w:bCs/>
              </w:rPr>
              <w:t>自评分</w:t>
            </w:r>
          </w:p>
        </w:tc>
        <w:tc>
          <w:tcPr>
            <w:tcW w:w="1428" w:type="pct"/>
            <w:noWrap/>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2282" w:type="pct"/>
            <w:noWrap/>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决策（</w:t>
            </w:r>
            <w:r>
              <w:rPr>
                <w:rFonts w:ascii="宋体" w:hAnsi="宋体" w:cs="宋体"/>
              </w:rPr>
              <w:t>20</w:t>
            </w:r>
            <w:r>
              <w:rPr>
                <w:rFonts w:hint="eastAsia" w:ascii="宋体" w:hAnsi="宋体" w:cs="宋体"/>
              </w:rPr>
              <w:t>分）</w:t>
            </w:r>
          </w:p>
        </w:tc>
        <w:tc>
          <w:tcPr>
            <w:tcW w:w="247" w:type="pct"/>
            <w:vMerge w:val="restart"/>
            <w:noWrap/>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454" w:type="pct"/>
            <w:noWrap/>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294" w:type="pct"/>
            <w:noWrap/>
            <w:tcMar>
              <w:top w:w="10" w:type="dxa"/>
              <w:left w:w="10" w:type="dxa"/>
              <w:bottom w:w="0" w:type="dxa"/>
              <w:right w:w="10" w:type="dxa"/>
            </w:tcMar>
            <w:vAlign w:val="center"/>
          </w:tcPr>
          <w:p>
            <w:pPr>
              <w:spacing w:line="240" w:lineRule="exact"/>
              <w:ind w:left="105" w:leftChars="50" w:right="105" w:rightChars="50"/>
              <w:jc w:val="center"/>
              <w:rPr>
                <w:rFonts w:ascii="宋体" w:eastAsia="宋体"/>
              </w:rPr>
            </w:pPr>
            <w:r>
              <w:rPr>
                <w:rFonts w:hint="eastAsia" w:ascii="宋体"/>
              </w:rPr>
              <w:t>4</w:t>
            </w:r>
          </w:p>
        </w:tc>
        <w:tc>
          <w:tcPr>
            <w:tcW w:w="1428"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2282"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continue"/>
            <w:noWrap/>
            <w:tcMar>
              <w:top w:w="10" w:type="dxa"/>
              <w:left w:w="10" w:type="dxa"/>
              <w:bottom w:w="0" w:type="dxa"/>
              <w:right w:w="10" w:type="dxa"/>
            </w:tcMar>
            <w:vAlign w:val="center"/>
          </w:tcPr>
          <w:p>
            <w:pPr>
              <w:spacing w:line="240" w:lineRule="exact"/>
              <w:jc w:val="center"/>
              <w:rPr>
                <w:rFonts w:ascii="宋体"/>
              </w:rPr>
            </w:pPr>
          </w:p>
        </w:tc>
        <w:tc>
          <w:tcPr>
            <w:tcW w:w="454" w:type="pct"/>
            <w:noWrap/>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294" w:type="pct"/>
            <w:noWrap/>
            <w:tcMar>
              <w:top w:w="10" w:type="dxa"/>
              <w:left w:w="10" w:type="dxa"/>
              <w:bottom w:w="0" w:type="dxa"/>
              <w:right w:w="10" w:type="dxa"/>
            </w:tcMar>
            <w:vAlign w:val="center"/>
          </w:tcPr>
          <w:p>
            <w:pPr>
              <w:spacing w:line="240" w:lineRule="exact"/>
              <w:ind w:left="105" w:leftChars="50" w:right="105" w:rightChars="50"/>
              <w:jc w:val="center"/>
              <w:rPr>
                <w:rFonts w:ascii="宋体" w:eastAsia="宋体"/>
              </w:rPr>
            </w:pPr>
            <w:r>
              <w:rPr>
                <w:rFonts w:hint="eastAsia" w:ascii="宋体"/>
              </w:rPr>
              <w:t>4</w:t>
            </w:r>
          </w:p>
        </w:tc>
        <w:tc>
          <w:tcPr>
            <w:tcW w:w="1428"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2282"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295" w:type="pct"/>
            <w:vMerge w:val="continue"/>
            <w:noWrap/>
            <w:vAlign w:val="center"/>
          </w:tcPr>
          <w:p>
            <w:pPr>
              <w:spacing w:line="240" w:lineRule="exact"/>
              <w:rPr>
                <w:rFonts w:ascii="宋体"/>
              </w:rPr>
            </w:pPr>
          </w:p>
        </w:tc>
        <w:tc>
          <w:tcPr>
            <w:tcW w:w="247" w:type="pct"/>
            <w:vMerge w:val="restart"/>
            <w:noWrap/>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454" w:type="pct"/>
            <w:noWrap/>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noWrap/>
            <w:tcMar>
              <w:top w:w="10" w:type="dxa"/>
              <w:left w:w="10" w:type="dxa"/>
              <w:bottom w:w="0" w:type="dxa"/>
              <w:right w:w="10" w:type="dxa"/>
            </w:tcMar>
            <w:vAlign w:val="center"/>
          </w:tcPr>
          <w:p>
            <w:pPr>
              <w:spacing w:line="240" w:lineRule="exact"/>
              <w:ind w:left="105" w:leftChars="50" w:right="105" w:rightChars="50"/>
              <w:jc w:val="center"/>
              <w:rPr>
                <w:rFonts w:ascii="宋体" w:eastAsia="宋体"/>
              </w:rPr>
            </w:pPr>
            <w:r>
              <w:rPr>
                <w:rFonts w:hint="eastAsia" w:ascii="宋体"/>
              </w:rPr>
              <w:t>3</w:t>
            </w:r>
          </w:p>
        </w:tc>
        <w:tc>
          <w:tcPr>
            <w:tcW w:w="1428"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2282"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ign w:val="center"/>
          </w:tcPr>
          <w:p>
            <w:pPr>
              <w:spacing w:line="240" w:lineRule="exact"/>
              <w:rPr>
                <w:rFonts w:ascii="宋体"/>
              </w:rPr>
            </w:pPr>
          </w:p>
        </w:tc>
        <w:tc>
          <w:tcPr>
            <w:tcW w:w="247" w:type="pct"/>
            <w:vMerge w:val="continue"/>
            <w:noWrap/>
            <w:vAlign w:val="center"/>
          </w:tcPr>
          <w:p>
            <w:pPr>
              <w:spacing w:line="240" w:lineRule="exact"/>
              <w:jc w:val="center"/>
              <w:rPr>
                <w:rFonts w:ascii="宋体"/>
              </w:rPr>
            </w:pPr>
          </w:p>
        </w:tc>
        <w:tc>
          <w:tcPr>
            <w:tcW w:w="454" w:type="pct"/>
            <w:noWrap/>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294" w:type="pct"/>
            <w:noWrap/>
            <w:tcMar>
              <w:top w:w="10" w:type="dxa"/>
              <w:left w:w="10" w:type="dxa"/>
              <w:bottom w:w="0" w:type="dxa"/>
              <w:right w:w="10" w:type="dxa"/>
            </w:tcMar>
            <w:vAlign w:val="center"/>
          </w:tcPr>
          <w:p>
            <w:pPr>
              <w:spacing w:line="240" w:lineRule="exact"/>
              <w:ind w:left="105" w:leftChars="50" w:right="105" w:rightChars="50"/>
              <w:jc w:val="center"/>
              <w:rPr>
                <w:rFonts w:ascii="宋体" w:eastAsia="宋体"/>
              </w:rPr>
            </w:pPr>
            <w:r>
              <w:rPr>
                <w:rFonts w:hint="eastAsia" w:ascii="宋体"/>
              </w:rPr>
              <w:t>3</w:t>
            </w:r>
          </w:p>
        </w:tc>
        <w:tc>
          <w:tcPr>
            <w:tcW w:w="1428"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2282"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295" w:type="pct"/>
            <w:vMerge w:val="continue"/>
            <w:noWrap/>
            <w:vAlign w:val="center"/>
          </w:tcPr>
          <w:p>
            <w:pPr>
              <w:spacing w:line="240" w:lineRule="exact"/>
              <w:rPr>
                <w:rFonts w:ascii="宋体"/>
              </w:rPr>
            </w:pPr>
          </w:p>
        </w:tc>
        <w:tc>
          <w:tcPr>
            <w:tcW w:w="247" w:type="pct"/>
            <w:vMerge w:val="restart"/>
            <w:noWrap/>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454" w:type="pct"/>
            <w:noWrap/>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294" w:type="pct"/>
            <w:noWrap/>
            <w:tcMar>
              <w:top w:w="10" w:type="dxa"/>
              <w:left w:w="10" w:type="dxa"/>
              <w:bottom w:w="0" w:type="dxa"/>
              <w:right w:w="10" w:type="dxa"/>
            </w:tcMar>
            <w:vAlign w:val="center"/>
          </w:tcPr>
          <w:p>
            <w:pPr>
              <w:spacing w:line="240" w:lineRule="exact"/>
              <w:ind w:left="105" w:leftChars="50" w:right="105" w:rightChars="50"/>
              <w:jc w:val="center"/>
              <w:rPr>
                <w:rFonts w:ascii="宋体" w:eastAsia="宋体"/>
              </w:rPr>
            </w:pPr>
            <w:r>
              <w:rPr>
                <w:rFonts w:hint="eastAsia" w:ascii="宋体"/>
              </w:rPr>
              <w:t>3</w:t>
            </w:r>
          </w:p>
        </w:tc>
        <w:tc>
          <w:tcPr>
            <w:tcW w:w="1428"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2282" w:type="pct"/>
            <w:noWrap/>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ign w:val="center"/>
          </w:tcPr>
          <w:p>
            <w:pPr>
              <w:spacing w:line="240" w:lineRule="exact"/>
              <w:rPr>
                <w:rFonts w:ascii="宋体"/>
              </w:rPr>
            </w:pPr>
          </w:p>
        </w:tc>
        <w:tc>
          <w:tcPr>
            <w:tcW w:w="247" w:type="pct"/>
            <w:vMerge w:val="continue"/>
            <w:noWrap/>
            <w:vAlign w:val="center"/>
          </w:tcPr>
          <w:p>
            <w:pPr>
              <w:spacing w:line="240" w:lineRule="exact"/>
              <w:jc w:val="center"/>
              <w:rPr>
                <w:rFonts w:ascii="宋体"/>
              </w:rPr>
            </w:pPr>
          </w:p>
        </w:tc>
        <w:tc>
          <w:tcPr>
            <w:tcW w:w="454" w:type="pct"/>
            <w:noWrap/>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noWrap/>
            <w:tcMar>
              <w:top w:w="10" w:type="dxa"/>
              <w:left w:w="10" w:type="dxa"/>
              <w:bottom w:w="0" w:type="dxa"/>
              <w:right w:w="10" w:type="dxa"/>
            </w:tcMar>
            <w:vAlign w:val="center"/>
          </w:tcPr>
          <w:p>
            <w:pPr>
              <w:spacing w:line="240" w:lineRule="exact"/>
              <w:ind w:left="105" w:leftChars="50" w:right="105" w:rightChars="50"/>
              <w:jc w:val="center"/>
              <w:rPr>
                <w:rFonts w:ascii="宋体" w:eastAsia="宋体"/>
              </w:rPr>
            </w:pPr>
            <w:r>
              <w:rPr>
                <w:rFonts w:hint="eastAsia" w:ascii="宋体"/>
              </w:rPr>
              <w:t>3</w:t>
            </w:r>
          </w:p>
        </w:tc>
        <w:tc>
          <w:tcPr>
            <w:tcW w:w="1428"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2282"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95" w:type="pct"/>
            <w:vMerge w:val="restart"/>
            <w:noWrap/>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247" w:type="pct"/>
            <w:vMerge w:val="restart"/>
            <w:noWrap/>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454" w:type="pct"/>
            <w:noWrap/>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294" w:type="pct"/>
            <w:noWrap/>
            <w:tcMar>
              <w:top w:w="10" w:type="dxa"/>
              <w:left w:w="10" w:type="dxa"/>
              <w:bottom w:w="0" w:type="dxa"/>
              <w:right w:w="10" w:type="dxa"/>
            </w:tcMar>
            <w:vAlign w:val="center"/>
          </w:tcPr>
          <w:p>
            <w:pPr>
              <w:spacing w:line="240" w:lineRule="exact"/>
              <w:ind w:left="105" w:leftChars="50" w:right="105" w:rightChars="50"/>
              <w:jc w:val="center"/>
              <w:rPr>
                <w:rFonts w:ascii="宋体" w:eastAsia="宋体"/>
              </w:rPr>
            </w:pPr>
            <w:r>
              <w:rPr>
                <w:rFonts w:hint="eastAsia" w:ascii="宋体"/>
              </w:rPr>
              <w:t>4</w:t>
            </w:r>
          </w:p>
        </w:tc>
        <w:tc>
          <w:tcPr>
            <w:tcW w:w="1428"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2282"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295" w:type="pct"/>
            <w:vMerge w:val="continue"/>
            <w:noWrap/>
            <w:vAlign w:val="center"/>
          </w:tcPr>
          <w:p>
            <w:pPr>
              <w:spacing w:line="240" w:lineRule="exact"/>
              <w:jc w:val="center"/>
              <w:rPr>
                <w:rFonts w:ascii="宋体"/>
              </w:rPr>
            </w:pPr>
          </w:p>
        </w:tc>
        <w:tc>
          <w:tcPr>
            <w:tcW w:w="247" w:type="pct"/>
            <w:vMerge w:val="continue"/>
            <w:noWrap/>
            <w:tcMar>
              <w:top w:w="10" w:type="dxa"/>
              <w:left w:w="10" w:type="dxa"/>
              <w:bottom w:w="0" w:type="dxa"/>
              <w:right w:w="10" w:type="dxa"/>
            </w:tcMar>
            <w:vAlign w:val="center"/>
          </w:tcPr>
          <w:p>
            <w:pPr>
              <w:spacing w:line="240" w:lineRule="exact"/>
              <w:jc w:val="center"/>
              <w:rPr>
                <w:rFonts w:ascii="宋体"/>
              </w:rPr>
            </w:pPr>
          </w:p>
        </w:tc>
        <w:tc>
          <w:tcPr>
            <w:tcW w:w="454" w:type="pct"/>
            <w:noWrap/>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294" w:type="pct"/>
            <w:noWrap/>
            <w:tcMar>
              <w:top w:w="10" w:type="dxa"/>
              <w:left w:w="10" w:type="dxa"/>
              <w:bottom w:w="0" w:type="dxa"/>
              <w:right w:w="10" w:type="dxa"/>
            </w:tcMar>
            <w:vAlign w:val="center"/>
          </w:tcPr>
          <w:p>
            <w:pPr>
              <w:spacing w:line="240" w:lineRule="exact"/>
              <w:ind w:left="105" w:leftChars="50" w:right="105" w:rightChars="50"/>
              <w:jc w:val="center"/>
              <w:rPr>
                <w:rFonts w:ascii="宋体" w:eastAsia="宋体"/>
              </w:rPr>
            </w:pPr>
            <w:r>
              <w:rPr>
                <w:rFonts w:hint="eastAsia" w:ascii="宋体"/>
              </w:rPr>
              <w:t>4</w:t>
            </w:r>
          </w:p>
        </w:tc>
        <w:tc>
          <w:tcPr>
            <w:tcW w:w="1428"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2282"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ign w:val="center"/>
          </w:tcPr>
          <w:p>
            <w:pPr>
              <w:spacing w:line="240" w:lineRule="exact"/>
              <w:jc w:val="center"/>
              <w:rPr>
                <w:rFonts w:ascii="宋体"/>
              </w:rPr>
            </w:pPr>
          </w:p>
        </w:tc>
        <w:tc>
          <w:tcPr>
            <w:tcW w:w="247" w:type="pct"/>
            <w:vMerge w:val="continue"/>
            <w:noWrap/>
            <w:vAlign w:val="center"/>
          </w:tcPr>
          <w:p>
            <w:pPr>
              <w:spacing w:line="240" w:lineRule="exact"/>
              <w:rPr>
                <w:rFonts w:ascii="宋体"/>
              </w:rPr>
            </w:pPr>
          </w:p>
        </w:tc>
        <w:tc>
          <w:tcPr>
            <w:tcW w:w="454" w:type="pct"/>
            <w:noWrap/>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294" w:type="pct"/>
            <w:noWrap/>
            <w:tcMar>
              <w:top w:w="10" w:type="dxa"/>
              <w:left w:w="10" w:type="dxa"/>
              <w:bottom w:w="0" w:type="dxa"/>
              <w:right w:w="10" w:type="dxa"/>
            </w:tcMar>
            <w:vAlign w:val="center"/>
          </w:tcPr>
          <w:p>
            <w:pPr>
              <w:spacing w:line="240" w:lineRule="exact"/>
              <w:ind w:left="105" w:leftChars="50" w:right="105" w:rightChars="50"/>
              <w:jc w:val="center"/>
              <w:rPr>
                <w:rFonts w:ascii="宋体" w:eastAsia="宋体"/>
              </w:rPr>
            </w:pPr>
            <w:r>
              <w:rPr>
                <w:rFonts w:hint="eastAsia" w:ascii="宋体"/>
              </w:rPr>
              <w:t>4</w:t>
            </w:r>
          </w:p>
        </w:tc>
        <w:tc>
          <w:tcPr>
            <w:tcW w:w="1428"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2282"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restart"/>
            <w:noWrap/>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454" w:type="pct"/>
            <w:noWrap/>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294" w:type="pct"/>
            <w:noWrap/>
            <w:tcMar>
              <w:top w:w="10" w:type="dxa"/>
              <w:left w:w="10" w:type="dxa"/>
              <w:bottom w:w="0" w:type="dxa"/>
              <w:right w:w="10" w:type="dxa"/>
            </w:tcMar>
            <w:vAlign w:val="center"/>
          </w:tcPr>
          <w:p>
            <w:pPr>
              <w:spacing w:line="240" w:lineRule="exact"/>
              <w:ind w:left="105" w:leftChars="50" w:right="105" w:rightChars="50"/>
              <w:jc w:val="center"/>
              <w:rPr>
                <w:rFonts w:ascii="宋体" w:eastAsia="宋体"/>
              </w:rPr>
            </w:pPr>
            <w:r>
              <w:rPr>
                <w:rFonts w:hint="eastAsia" w:ascii="宋体"/>
              </w:rPr>
              <w:t>4</w:t>
            </w:r>
          </w:p>
        </w:tc>
        <w:tc>
          <w:tcPr>
            <w:tcW w:w="1428"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2282"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ign w:val="center"/>
          </w:tcPr>
          <w:p>
            <w:pPr>
              <w:spacing w:line="240" w:lineRule="exact"/>
              <w:rPr>
                <w:rFonts w:ascii="宋体"/>
              </w:rPr>
            </w:pPr>
          </w:p>
        </w:tc>
        <w:tc>
          <w:tcPr>
            <w:tcW w:w="247" w:type="pct"/>
            <w:vMerge w:val="continue"/>
            <w:noWrap/>
            <w:vAlign w:val="center"/>
          </w:tcPr>
          <w:p>
            <w:pPr>
              <w:spacing w:line="240" w:lineRule="exact"/>
              <w:rPr>
                <w:rFonts w:ascii="宋体"/>
              </w:rPr>
            </w:pPr>
          </w:p>
        </w:tc>
        <w:tc>
          <w:tcPr>
            <w:tcW w:w="454" w:type="pct"/>
            <w:noWrap/>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294" w:type="pct"/>
            <w:noWrap/>
            <w:tcMar>
              <w:top w:w="10" w:type="dxa"/>
              <w:left w:w="10" w:type="dxa"/>
              <w:bottom w:w="0" w:type="dxa"/>
              <w:right w:w="10" w:type="dxa"/>
            </w:tcMar>
            <w:vAlign w:val="center"/>
          </w:tcPr>
          <w:p>
            <w:pPr>
              <w:spacing w:line="240" w:lineRule="exact"/>
              <w:ind w:left="105" w:leftChars="50" w:right="105" w:rightChars="50"/>
              <w:jc w:val="center"/>
              <w:rPr>
                <w:rFonts w:ascii="宋体" w:eastAsia="宋体"/>
              </w:rPr>
            </w:pPr>
            <w:r>
              <w:rPr>
                <w:rFonts w:hint="eastAsia" w:ascii="宋体"/>
              </w:rPr>
              <w:t>3</w:t>
            </w:r>
          </w:p>
        </w:tc>
        <w:tc>
          <w:tcPr>
            <w:tcW w:w="1428"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2282"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产出（</w:t>
            </w:r>
            <w:r>
              <w:rPr>
                <w:rFonts w:ascii="宋体" w:hAnsi="宋体" w:cs="宋体"/>
              </w:rPr>
              <w:t>40</w:t>
            </w:r>
            <w:r>
              <w:rPr>
                <w:rFonts w:hint="eastAsia" w:ascii="宋体" w:hAnsi="宋体" w:cs="宋体"/>
              </w:rPr>
              <w:t>分）</w:t>
            </w:r>
          </w:p>
        </w:tc>
        <w:tc>
          <w:tcPr>
            <w:tcW w:w="247" w:type="pct"/>
            <w:noWrap/>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454" w:type="pct"/>
            <w:noWrap/>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294" w:type="pct"/>
            <w:noWrap/>
            <w:tcMar>
              <w:top w:w="10" w:type="dxa"/>
              <w:left w:w="10" w:type="dxa"/>
              <w:bottom w:w="0" w:type="dxa"/>
              <w:right w:w="10" w:type="dxa"/>
            </w:tcMar>
            <w:vAlign w:val="center"/>
          </w:tcPr>
          <w:p>
            <w:pPr>
              <w:spacing w:line="240" w:lineRule="exact"/>
              <w:ind w:left="105" w:leftChars="50" w:right="105" w:rightChars="50"/>
              <w:jc w:val="center"/>
              <w:rPr>
                <w:rFonts w:ascii="宋体" w:eastAsia="宋体"/>
              </w:rPr>
            </w:pPr>
            <w:r>
              <w:rPr>
                <w:rFonts w:hint="eastAsia" w:ascii="宋体"/>
              </w:rPr>
              <w:t>9</w:t>
            </w:r>
          </w:p>
        </w:tc>
        <w:tc>
          <w:tcPr>
            <w:tcW w:w="1428"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2282"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noWrap/>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454" w:type="pct"/>
            <w:noWrap/>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294" w:type="pct"/>
            <w:noWrap/>
            <w:tcMar>
              <w:top w:w="10" w:type="dxa"/>
              <w:left w:w="10" w:type="dxa"/>
              <w:bottom w:w="0" w:type="dxa"/>
              <w:right w:w="10" w:type="dxa"/>
            </w:tcMar>
            <w:vAlign w:val="center"/>
          </w:tcPr>
          <w:p>
            <w:pPr>
              <w:spacing w:line="240" w:lineRule="exact"/>
              <w:ind w:left="105" w:leftChars="50" w:right="105" w:rightChars="50"/>
              <w:jc w:val="center"/>
              <w:rPr>
                <w:rFonts w:ascii="宋体" w:eastAsia="宋体"/>
              </w:rPr>
            </w:pPr>
            <w:r>
              <w:rPr>
                <w:rFonts w:hint="eastAsia" w:ascii="宋体"/>
              </w:rPr>
              <w:t>10</w:t>
            </w:r>
          </w:p>
        </w:tc>
        <w:tc>
          <w:tcPr>
            <w:tcW w:w="1428"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2282"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295" w:type="pct"/>
            <w:vMerge w:val="restart"/>
            <w:noWrap/>
            <w:vAlign w:val="center"/>
          </w:tcPr>
          <w:p>
            <w:pPr>
              <w:spacing w:line="240" w:lineRule="exact"/>
              <w:ind w:left="113"/>
              <w:rPr>
                <w:rFonts w:ascii="宋体"/>
              </w:rPr>
            </w:pPr>
            <w:r>
              <w:rPr>
                <w:rFonts w:hint="eastAsia" w:ascii="宋体" w:hAnsi="宋体" w:cs="宋体"/>
              </w:rPr>
              <w:t>产出（</w:t>
            </w:r>
            <w:r>
              <w:rPr>
                <w:rFonts w:ascii="宋体" w:hAnsi="宋体" w:cs="宋体"/>
              </w:rPr>
              <w:t>40</w:t>
            </w:r>
            <w:r>
              <w:rPr>
                <w:rFonts w:hint="eastAsia" w:ascii="宋体" w:hAnsi="宋体" w:cs="宋体"/>
              </w:rPr>
              <w:t>分）</w:t>
            </w:r>
          </w:p>
        </w:tc>
        <w:tc>
          <w:tcPr>
            <w:tcW w:w="247" w:type="pct"/>
            <w:noWrap/>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454" w:type="pct"/>
            <w:noWrap/>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294" w:type="pct"/>
            <w:noWrap/>
            <w:tcMar>
              <w:top w:w="10" w:type="dxa"/>
              <w:left w:w="10" w:type="dxa"/>
              <w:bottom w:w="0" w:type="dxa"/>
              <w:right w:w="10" w:type="dxa"/>
            </w:tcMar>
            <w:vAlign w:val="center"/>
          </w:tcPr>
          <w:p>
            <w:pPr>
              <w:spacing w:line="240" w:lineRule="exact"/>
              <w:ind w:left="105" w:leftChars="50" w:right="105" w:rightChars="50"/>
              <w:jc w:val="center"/>
              <w:rPr>
                <w:rFonts w:ascii="宋体" w:eastAsia="宋体"/>
              </w:rPr>
            </w:pPr>
            <w:r>
              <w:rPr>
                <w:rFonts w:hint="eastAsia" w:ascii="宋体"/>
              </w:rPr>
              <w:t>10</w:t>
            </w:r>
          </w:p>
        </w:tc>
        <w:tc>
          <w:tcPr>
            <w:tcW w:w="1428"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2282"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ign w:val="center"/>
          </w:tcPr>
          <w:p>
            <w:pPr>
              <w:spacing w:line="240" w:lineRule="exact"/>
              <w:ind w:left="113"/>
              <w:rPr>
                <w:rFonts w:ascii="宋体"/>
              </w:rPr>
            </w:pPr>
          </w:p>
        </w:tc>
        <w:tc>
          <w:tcPr>
            <w:tcW w:w="247" w:type="pct"/>
            <w:noWrap/>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454" w:type="pct"/>
            <w:noWrap/>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294" w:type="pct"/>
            <w:noWrap/>
            <w:tcMar>
              <w:top w:w="10" w:type="dxa"/>
              <w:left w:w="10" w:type="dxa"/>
              <w:bottom w:w="0" w:type="dxa"/>
              <w:right w:w="10" w:type="dxa"/>
            </w:tcMar>
            <w:vAlign w:val="center"/>
          </w:tcPr>
          <w:p>
            <w:pPr>
              <w:spacing w:line="240" w:lineRule="exact"/>
              <w:ind w:left="105" w:leftChars="50" w:right="105" w:rightChars="50"/>
              <w:jc w:val="center"/>
              <w:rPr>
                <w:rFonts w:ascii="宋体" w:eastAsia="宋体"/>
              </w:rPr>
            </w:pPr>
            <w:r>
              <w:rPr>
                <w:rFonts w:hint="eastAsia" w:ascii="宋体"/>
              </w:rPr>
              <w:t>10</w:t>
            </w:r>
          </w:p>
        </w:tc>
        <w:tc>
          <w:tcPr>
            <w:tcW w:w="1428"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2282"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效益（</w:t>
            </w:r>
            <w:r>
              <w:rPr>
                <w:rFonts w:ascii="宋体" w:hAnsi="宋体" w:cs="宋体"/>
              </w:rPr>
              <w:t>20</w:t>
            </w:r>
            <w:r>
              <w:rPr>
                <w:rFonts w:hint="eastAsia" w:ascii="宋体" w:hAnsi="宋体" w:cs="宋体"/>
              </w:rPr>
              <w:t>分）</w:t>
            </w:r>
          </w:p>
        </w:tc>
        <w:tc>
          <w:tcPr>
            <w:tcW w:w="247" w:type="pct"/>
            <w:vMerge w:val="restart"/>
            <w:noWrap/>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454" w:type="pct"/>
            <w:noWrap/>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294" w:type="pct"/>
            <w:noWrap/>
            <w:tcMar>
              <w:top w:w="10" w:type="dxa"/>
              <w:left w:w="10" w:type="dxa"/>
              <w:bottom w:w="0" w:type="dxa"/>
              <w:right w:w="10" w:type="dxa"/>
            </w:tcMar>
            <w:vAlign w:val="center"/>
          </w:tcPr>
          <w:p>
            <w:pPr>
              <w:spacing w:line="240" w:lineRule="exact"/>
              <w:ind w:left="105" w:leftChars="50" w:right="105" w:rightChars="50"/>
              <w:jc w:val="center"/>
              <w:rPr>
                <w:rFonts w:ascii="宋体" w:eastAsia="宋体"/>
              </w:rPr>
            </w:pPr>
            <w:r>
              <w:rPr>
                <w:rFonts w:hint="eastAsia" w:ascii="宋体"/>
              </w:rPr>
              <w:t>10</w:t>
            </w:r>
          </w:p>
        </w:tc>
        <w:tc>
          <w:tcPr>
            <w:tcW w:w="1428"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2282"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vAlign w:val="center"/>
          </w:tcPr>
          <w:p>
            <w:pPr>
              <w:spacing w:line="240" w:lineRule="exact"/>
              <w:rPr>
                <w:rFonts w:ascii="宋体"/>
              </w:rPr>
            </w:pPr>
          </w:p>
        </w:tc>
        <w:tc>
          <w:tcPr>
            <w:tcW w:w="247" w:type="pct"/>
            <w:vMerge w:val="continue"/>
            <w:noWrap/>
            <w:vAlign w:val="center"/>
          </w:tcPr>
          <w:p>
            <w:pPr>
              <w:spacing w:line="240" w:lineRule="exact"/>
              <w:rPr>
                <w:rFonts w:ascii="宋体"/>
              </w:rPr>
            </w:pPr>
          </w:p>
        </w:tc>
        <w:tc>
          <w:tcPr>
            <w:tcW w:w="454" w:type="pct"/>
            <w:noWrap/>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294" w:type="pct"/>
            <w:noWrap/>
            <w:tcMar>
              <w:top w:w="10" w:type="dxa"/>
              <w:left w:w="10" w:type="dxa"/>
              <w:bottom w:w="0" w:type="dxa"/>
              <w:right w:w="10" w:type="dxa"/>
            </w:tcMar>
            <w:vAlign w:val="center"/>
          </w:tcPr>
          <w:p>
            <w:pPr>
              <w:spacing w:line="240" w:lineRule="exact"/>
              <w:ind w:left="105" w:leftChars="50" w:right="105" w:rightChars="50"/>
              <w:jc w:val="center"/>
              <w:rPr>
                <w:rFonts w:ascii="宋体" w:eastAsia="宋体"/>
              </w:rPr>
            </w:pPr>
            <w:r>
              <w:rPr>
                <w:rFonts w:hint="eastAsia" w:ascii="宋体"/>
              </w:rPr>
              <w:t>10</w:t>
            </w:r>
          </w:p>
        </w:tc>
        <w:tc>
          <w:tcPr>
            <w:tcW w:w="1428"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2282" w:type="pct"/>
            <w:noWrap/>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noWrap/>
            <w:vAlign w:val="center"/>
          </w:tcPr>
          <w:p>
            <w:pPr>
              <w:spacing w:line="240" w:lineRule="exact"/>
              <w:rPr>
                <w:rFonts w:ascii="宋体"/>
              </w:rPr>
            </w:pPr>
            <w:r>
              <w:rPr>
                <w:rFonts w:hint="eastAsia" w:ascii="宋体" w:hAnsi="宋体" w:cs="宋体"/>
              </w:rPr>
              <w:t>总分</w:t>
            </w:r>
          </w:p>
        </w:tc>
        <w:tc>
          <w:tcPr>
            <w:tcW w:w="247" w:type="pct"/>
            <w:noWrap/>
            <w:vAlign w:val="center"/>
          </w:tcPr>
          <w:p>
            <w:pPr>
              <w:spacing w:line="240" w:lineRule="exact"/>
              <w:jc w:val="center"/>
              <w:rPr>
                <w:rFonts w:ascii="宋体" w:eastAsia="宋体"/>
              </w:rPr>
            </w:pPr>
            <w:r>
              <w:rPr>
                <w:rFonts w:hint="eastAsia" w:ascii="宋体"/>
              </w:rPr>
              <w:t>100</w:t>
            </w:r>
          </w:p>
        </w:tc>
        <w:tc>
          <w:tcPr>
            <w:tcW w:w="454" w:type="pct"/>
            <w:noWrap/>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294" w:type="pct"/>
            <w:noWrap/>
            <w:tcMar>
              <w:top w:w="10" w:type="dxa"/>
              <w:left w:w="10" w:type="dxa"/>
              <w:bottom w:w="0" w:type="dxa"/>
              <w:right w:w="10" w:type="dxa"/>
            </w:tcMar>
            <w:vAlign w:val="center"/>
          </w:tcPr>
          <w:p>
            <w:pPr>
              <w:spacing w:line="240" w:lineRule="exact"/>
              <w:ind w:left="105" w:leftChars="50" w:right="105" w:rightChars="50"/>
              <w:jc w:val="center"/>
              <w:rPr>
                <w:rFonts w:ascii="宋体" w:eastAsia="宋体"/>
              </w:rPr>
            </w:pPr>
            <w:r>
              <w:rPr>
                <w:rFonts w:hint="eastAsia" w:ascii="宋体"/>
              </w:rPr>
              <w:t>98</w:t>
            </w:r>
          </w:p>
        </w:tc>
        <w:tc>
          <w:tcPr>
            <w:tcW w:w="1428" w:type="pct"/>
            <w:noWrap/>
            <w:tcMar>
              <w:top w:w="10" w:type="dxa"/>
              <w:left w:w="10" w:type="dxa"/>
              <w:bottom w:w="0" w:type="dxa"/>
              <w:right w:w="10" w:type="dxa"/>
            </w:tcMar>
            <w:vAlign w:val="center"/>
          </w:tcPr>
          <w:p>
            <w:pPr>
              <w:spacing w:line="240" w:lineRule="exact"/>
              <w:ind w:left="105" w:leftChars="50" w:right="105" w:rightChars="50"/>
              <w:rPr>
                <w:rFonts w:ascii="宋体"/>
              </w:rPr>
            </w:pPr>
          </w:p>
        </w:tc>
        <w:tc>
          <w:tcPr>
            <w:tcW w:w="2282" w:type="pct"/>
            <w:noWrap/>
            <w:tcMar>
              <w:top w:w="10" w:type="dxa"/>
              <w:left w:w="10" w:type="dxa"/>
              <w:bottom w:w="0" w:type="dxa"/>
              <w:right w:w="10" w:type="dxa"/>
            </w:tcMar>
            <w:vAlign w:val="center"/>
          </w:tcPr>
          <w:p>
            <w:pPr>
              <w:spacing w:line="240" w:lineRule="exact"/>
              <w:ind w:left="105" w:leftChars="50" w:right="105" w:rightChars="50"/>
              <w:rPr>
                <w:rFonts w:ascii="宋体"/>
              </w:rPr>
            </w:pPr>
          </w:p>
        </w:tc>
      </w:tr>
    </w:tbl>
    <w:p>
      <w:pPr>
        <w:ind w:firstLine="640" w:firstLineChars="200"/>
        <w:jc w:val="left"/>
        <w:rPr>
          <w:rFonts w:cs="黑体" w:asciiTheme="minorEastAsia" w:hAnsiTheme="minorEastAsia"/>
          <w:color w:val="000000"/>
          <w:kern w:val="0"/>
          <w:sz w:val="32"/>
          <w:szCs w:val="32"/>
        </w:rPr>
      </w:pPr>
    </w:p>
    <w:p/>
    <w:sectPr>
      <w:pgSz w:w="11906" w:h="16838"/>
      <w:pgMar w:top="1134" w:right="1531" w:bottom="113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515BD"/>
    <w:multiLevelType w:val="singleLevel"/>
    <w:tmpl w:val="EEB515BD"/>
    <w:lvl w:ilvl="0" w:tentative="0">
      <w:start w:val="1"/>
      <w:numFmt w:val="chineseCounting"/>
      <w:suff w:val="nothing"/>
      <w:lvlText w:val="%1、"/>
      <w:lvlJc w:val="left"/>
      <w:rPr>
        <w:rFonts w:hint="eastAsia"/>
      </w:rPr>
    </w:lvl>
  </w:abstractNum>
  <w:abstractNum w:abstractNumId="1">
    <w:nsid w:val="090BB002"/>
    <w:multiLevelType w:val="singleLevel"/>
    <w:tmpl w:val="090BB00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56B0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Body Text"/>
    <w:basedOn w:val="1"/>
    <w:qFormat/>
    <w:uiPriority w:val="0"/>
    <w:rPr>
      <w:rFonts w:ascii="仿宋" w:eastAsia="仿宋" w:cs="仿宋"/>
      <w:sz w:val="32"/>
      <w:szCs w:val="32"/>
      <w:lang w:val="zh-CN" w:bidi="zh-CN"/>
    </w:rPr>
  </w:style>
  <w:style w:type="paragraph" w:customStyle="1" w:styleId="6">
    <w:name w:val="正文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2023-06-20T08:05:54Z</dcterms:created>
  <dc:creator>admin-3</dc:creator>
  <cp:lastModifiedBy>admin-3</cp:lastModifiedBy>
  <dcterms:modified xsi:type="dcterms:W3CDTF">2023-06-20T08:06:56Z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4E4E87FCFBB0444687A6F05D4C5EF2EE_12</vt:lpwstr>
  </property>
</Properties>
</file>