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w w:val="100"/>
          <w:sz w:val="36"/>
          <w:szCs w:val="36"/>
          <w:lang w:eastAsia="zh-CN"/>
        </w:rPr>
      </w:pPr>
      <w:r>
        <w:rPr>
          <w:rFonts w:hint="eastAsia" w:ascii="黑体" w:hAnsi="黑体" w:eastAsia="黑体" w:cs="黑体"/>
          <w:w w:val="100"/>
          <w:sz w:val="36"/>
          <w:szCs w:val="36"/>
          <w:lang w:val="en-US" w:eastAsia="zh-CN"/>
        </w:rPr>
        <w:t>益阳市</w:t>
      </w:r>
      <w:r>
        <w:rPr>
          <w:rFonts w:hint="eastAsia" w:ascii="黑体" w:hAnsi="黑体" w:eastAsia="黑体" w:cs="黑体"/>
          <w:w w:val="100"/>
          <w:sz w:val="36"/>
          <w:szCs w:val="36"/>
          <w:lang w:eastAsia="zh-CN"/>
        </w:rPr>
        <w:t>赫山区</w:t>
      </w:r>
      <w:r>
        <w:rPr>
          <w:rFonts w:hint="eastAsia" w:ascii="黑体" w:hAnsi="黑体" w:eastAsia="黑体" w:cs="黑体"/>
          <w:w w:val="100"/>
          <w:sz w:val="36"/>
          <w:szCs w:val="36"/>
          <w:lang w:val="en-US" w:eastAsia="zh-CN"/>
        </w:rPr>
        <w:t>2021年</w:t>
      </w:r>
      <w:r>
        <w:rPr>
          <w:rFonts w:hint="eastAsia" w:ascii="黑体" w:hAnsi="黑体" w:eastAsia="黑体" w:cs="黑体"/>
          <w:w w:val="100"/>
          <w:sz w:val="36"/>
          <w:szCs w:val="36"/>
          <w:lang w:eastAsia="zh-CN"/>
        </w:rPr>
        <w:t>农产品产地冷藏保鲜设施建设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w w:val="100"/>
          <w:sz w:val="36"/>
          <w:szCs w:val="36"/>
          <w:lang w:eastAsia="zh-CN"/>
        </w:rPr>
      </w:pPr>
      <w:r>
        <w:rPr>
          <w:rFonts w:hint="eastAsia" w:ascii="黑体" w:hAnsi="黑体" w:eastAsia="黑体" w:cs="黑体"/>
          <w:w w:val="100"/>
          <w:sz w:val="36"/>
          <w:szCs w:val="36"/>
          <w:lang w:eastAsia="zh-CN"/>
        </w:rPr>
        <w:t>资金</w:t>
      </w:r>
      <w:r>
        <w:rPr>
          <w:rFonts w:hint="eastAsia" w:ascii="黑体" w:hAnsi="黑体" w:eastAsia="黑体" w:cs="黑体"/>
          <w:w w:val="100"/>
          <w:sz w:val="36"/>
          <w:szCs w:val="36"/>
          <w:lang w:val="en-US" w:eastAsia="zh-CN"/>
        </w:rPr>
        <w:t>项目支出</w:t>
      </w:r>
      <w:r>
        <w:rPr>
          <w:rFonts w:hint="eastAsia" w:ascii="黑体" w:hAnsi="黑体" w:eastAsia="黑体" w:cs="黑体"/>
          <w:w w:val="100"/>
          <w:sz w:val="36"/>
          <w:szCs w:val="36"/>
          <w:lang w:eastAsia="zh-CN"/>
        </w:rPr>
        <w:t>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预算支出概况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2021年我区农产品产地冷藏保鲜设施建设项目按照“农有、农用、农享”的原则，根据产业发展和市场消费升级需求，紧紧围绕全省乡村振兴示范创建区建设，重点以蔬菜、水果，兼顾薯类、食用菌、茶叶、中药材等地方优势特色农产品，依托区级以上家庭农场、农民合作社等新型农业经营主体开展农产品产地冷藏保鲜冷链设施建设。</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二</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4"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资金均按照实施方案和项目要求执行，资金支出符合相关规定，账务处理较为规范，报账资料齐全，无截留、挪用的现象。2021年共有项目资金126万元，其中，益阳市跃飞食用菌种植农民专业合作社24万元；益阳市赫山区木易家庭农场62万元；益阳市湘京跃达蔬菜种植专业合作社22万元；益阳市赫山区东林家庭农场18万元。</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三</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预算支出绩效目标完成程度</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该项目</w:t>
      </w:r>
      <w:r>
        <w:rPr>
          <w:rFonts w:hint="eastAsia" w:ascii="仿宋" w:hAnsi="仿宋" w:eastAsia="仿宋" w:cs="仿宋"/>
          <w:sz w:val="30"/>
          <w:szCs w:val="30"/>
        </w:rPr>
        <w:t>明显提升</w:t>
      </w:r>
      <w:r>
        <w:rPr>
          <w:rFonts w:hint="eastAsia" w:ascii="仿宋" w:hAnsi="仿宋" w:eastAsia="仿宋" w:cs="仿宋"/>
          <w:sz w:val="30"/>
          <w:szCs w:val="30"/>
          <w:lang w:val="en-US" w:eastAsia="zh-CN"/>
        </w:rPr>
        <w:t>了</w:t>
      </w:r>
      <w:r>
        <w:rPr>
          <w:rFonts w:hint="eastAsia" w:ascii="仿宋" w:hAnsi="仿宋" w:eastAsia="仿宋" w:cs="仿宋"/>
          <w:sz w:val="30"/>
          <w:szCs w:val="30"/>
        </w:rPr>
        <w:t>鲜活农产品产地冷藏保鲜能力，显著降低</w:t>
      </w:r>
      <w:r>
        <w:rPr>
          <w:rFonts w:hint="eastAsia" w:ascii="仿宋" w:hAnsi="仿宋" w:eastAsia="仿宋" w:cs="仿宋"/>
          <w:sz w:val="30"/>
          <w:szCs w:val="30"/>
          <w:lang w:val="en-US" w:eastAsia="zh-CN"/>
        </w:rPr>
        <w:t>了</w:t>
      </w:r>
      <w:r>
        <w:rPr>
          <w:rFonts w:hint="eastAsia" w:ascii="仿宋" w:hAnsi="仿宋" w:eastAsia="仿宋" w:cs="仿宋"/>
          <w:sz w:val="30"/>
          <w:szCs w:val="30"/>
        </w:rPr>
        <w:t>鲜活农产品产后损失率；全面增强经营主体商品化处理能力，大幅提高鲜活农产品附加值；全面促进仓储保鲜冷链信息化与品牌化水平；更加顺畅产销对接，明显增强主体服务带动能力，大幅提升“互联网+农产品出村进城”能力。</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sz w:val="30"/>
          <w:szCs w:val="30"/>
        </w:rPr>
      </w:pPr>
      <w:r>
        <w:rPr>
          <w:rFonts w:hint="eastAsia" w:ascii="黑体" w:hAnsi="黑体" w:eastAsia="黑体" w:cs="黑体"/>
          <w:sz w:val="30"/>
          <w:szCs w:val="30"/>
        </w:rPr>
        <w:t>二、绩效评价工作情况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省、市项目实施方案要求，结合我区实际情况，由区人民政府成立了赫山区农产品仓储保鲜冷链物流设施建设项目领导小组、制定实施方案、制定了《赫山区农产品仓储保鲜冷链设施建设技术方案》，并遴选了4家建设主体，和财政局联合行文下印发了《赫山区2021年农产品产地冷藏保鲜设施建设实施方案》的通知（益赫农联〔2021〕5号）文件。实施主体及项目资金及时在益阳市赫山区人民政府网上进行了公示。同时，实施主体资证及建设内容在农产品仓储保鲜冷链物流信息系统及农业农村部新型农业经营主体信息直报系统进行填报，主体在系统中立项，上传验收资料。同时省厅也实时跟踪建设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最后联合省冷链物流行业协会专家、市农业农村局、区财政局对全区4家农产品产地冷藏保鲜设施建设项目实施主体进行了项目验收，验收合格后对拟拨付资金，经在赫山区人民政府网上公示后，由业务股室站长和分管领导审核把关后的正规票据及相关附件资料，按联审会签程序审签。所有资金的拨付坚持专款专用，国库集中支付的原则，不得挤占、挪用、截留、套取、贪污。</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sz w:val="30"/>
          <w:szCs w:val="30"/>
        </w:rPr>
      </w:pPr>
      <w:r>
        <w:rPr>
          <w:rFonts w:hint="eastAsia" w:ascii="黑体" w:hAnsi="黑体" w:eastAsia="黑体" w:cs="黑体"/>
          <w:sz w:val="30"/>
          <w:szCs w:val="30"/>
        </w:rPr>
        <w:t>三、预算支出主要绩效及评价结论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省下达我区农产品产地冷藏保鲜冷链设施建设项目目标任务主体数4个，省下拨补贴资金126万元。我区项目申报主体4个，立项主体4个，建设设施均符合冷链设施技术参数。该项目在规定绩效目标时限内完成，实际执行成本总量控制在预算范围内。</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项目可有效地促进当地农业产业结构调整及农村经济的发展，使农民收入增收，种植户每亩增收300元以上。该项目使蔬菜产品供给质量和效率持续改善并提升，农产品质量安全水平不断提高，蔬菜产品商品化处理和错峰销售能力不断提高，能满足100万户消费者的消费升级需求，实施主体服务满意度达100%。</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一</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今年我区农产品产地冷藏保鲜冷链设施建设项目申报主体4个，立项主体4个，建设冷链设施14个，总库容2907.59立方米，省下拨补贴资金126万元，实施主体验收公示后，126万元项目资金已拨付到位。其中，益阳市跃飞食用菌种植农民专业合作社24万元；益阳市赫山区木易家庭农场62万元；益阳市湘京跃达蔬菜种植专业合作社22万元；益阳市赫山区东林家庭农场18万元。</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二</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预算执行过程情况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上级项目要求，结合我区实际情况，成立了领导小组，制定实施方案、《赫山区农产品仓储保鲜冷链设施建设技术方案》，并遴选了4家建设主体，实施主体及项目资金及时在益阳市赫山区人民政府网上进行了公示。同时，实施主体资证及建设内容在农产品仓储保鲜冷链物流信息系统及农业农村部新型农业经营主体信息直报系统进行填报，主体在系统中立项，上传验收资料。项目建设完工后由主体提出验收申请，区农业农村局联合省冷链物流行业协会专家、市农业农村局、区财政局对全区4家农产品产地冷藏保鲜设施建设项目实施主体进行了项目验收，验收合格后对拟拨付资金，经在赫山区人民政府网上公示后，由业务股室站长和分管领导审核把关后的正规票据及相关附件资料，按联审会签程序审签。所有资金的拨付坚持专款专用，国库集中支付的原则，无挤占、挪用、截留、套取、贪污。</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三</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预算支出产出情况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明显提升了鲜活农产品产地冷藏保鲜能力，显著降低了鲜活农产品产后损失率；全面增强经营主体商品化处理能力，大幅提高鲜活农产品附加值；全面促进仓储保鲜冷链信息化与品牌化水平；更加顺畅产销对接，明显增强主体服务带动能力，大幅提升“互联网+农产品出村进城”能力。</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w:t>
      </w:r>
      <w:r>
        <w:rPr>
          <w:rFonts w:hint="eastAsia" w:ascii="仿宋" w:hAnsi="仿宋" w:eastAsia="仿宋" w:cs="仿宋"/>
          <w:b/>
          <w:bCs/>
          <w:sz w:val="30"/>
          <w:szCs w:val="30"/>
        </w:rPr>
        <w:t>四</w:t>
      </w:r>
      <w:r>
        <w:rPr>
          <w:rFonts w:hint="eastAsia" w:ascii="仿宋" w:hAnsi="仿宋" w:eastAsia="仿宋" w:cs="仿宋"/>
          <w:b/>
          <w:bCs/>
          <w:sz w:val="30"/>
          <w:szCs w:val="30"/>
          <w:lang w:val="en-US" w:eastAsia="zh-CN"/>
        </w:rPr>
        <w:t>)</w:t>
      </w:r>
      <w:r>
        <w:rPr>
          <w:rFonts w:hint="eastAsia" w:ascii="仿宋" w:hAnsi="仿宋" w:eastAsia="仿宋" w:cs="仿宋"/>
          <w:b/>
          <w:bCs/>
          <w:sz w:val="30"/>
          <w:szCs w:val="30"/>
        </w:rPr>
        <w:t>预算支出效益情况</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益阳市跃飞食用菌种植农民专业合作社用地24亩，菌棚面积8000平方米，年产288吨鲜菇。300吨容量的农产品仓储保鲜冷链设施建设完工后，通过超短链的方式，让“鲜菇”直连“小区”，不仅将“最初一公里”的效果最大化，还极大减少了中间流通环节的时间和费用成本，让农产品以更新鲜、更实惠的价格抵达消费者手中。合作社拥有保鲜设施后年产值增加约100万元，新增就业岗位15个，有效改善了当地农户的生活条件，促进了当地农业经济发展。</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1.我区农产品产地冷藏保鲜设施需求量大，上级奖补标准过低，又因基础建设投入大，难以推动冷链仓储规模建设。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2.冷链设施耗电大，部分主体冷链设施使用的是工业用电，电价成本相较农业用电成本较高，实施主体难以承担。</w:t>
      </w:r>
    </w:p>
    <w:p>
      <w:pPr>
        <w:keepNext w:val="0"/>
        <w:keepLines w:val="0"/>
        <w:pageBreakBefore w:val="0"/>
        <w:widowControl w:val="0"/>
        <w:kinsoku/>
        <w:wordWrap/>
        <w:overflowPunct/>
        <w:topLinePunct w:val="0"/>
        <w:autoSpaceDE/>
        <w:autoSpaceDN/>
        <w:bidi w:val="0"/>
        <w:adjustRightInd/>
        <w:snapToGrid/>
        <w:spacing w:line="600" w:lineRule="exact"/>
        <w:ind w:firstLine="604" w:firstLineChars="200"/>
        <w:textAlignment w:val="auto"/>
        <w:rPr>
          <w:rFonts w:hint="default"/>
          <w:lang w:val="en-US" w:eastAsia="zh-CN"/>
        </w:rPr>
      </w:pPr>
      <w:r>
        <w:rPr>
          <w:rFonts w:hint="eastAsia" w:ascii="仿宋" w:hAnsi="仿宋" w:eastAsia="仿宋" w:cs="仿宋"/>
          <w:kern w:val="2"/>
          <w:sz w:val="30"/>
          <w:szCs w:val="30"/>
          <w:lang w:val="en-US" w:eastAsia="zh-CN" w:bidi="ar-SA"/>
        </w:rPr>
        <w:t>3.对实施主体的约束性不强，主体申报后常因资金等原因中途退出项目建设，常常导致项目不能及时完成。</w:t>
      </w:r>
    </w:p>
    <w:p>
      <w:pPr>
        <w:keepNext w:val="0"/>
        <w:keepLines w:val="0"/>
        <w:pageBreakBefore w:val="0"/>
        <w:widowControl/>
        <w:kinsoku/>
        <w:wordWrap/>
        <w:overflowPunct/>
        <w:topLinePunct w:val="0"/>
        <w:autoSpaceDE/>
        <w:autoSpaceDN/>
        <w:bidi w:val="0"/>
        <w:adjustRightInd/>
        <w:snapToGrid/>
        <w:spacing w:line="600" w:lineRule="exact"/>
        <w:ind w:firstLine="604" w:firstLineChars="200"/>
        <w:jc w:val="left"/>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附件：</w:t>
      </w:r>
      <w:r>
        <w:rPr>
          <w:rFonts w:hint="default" w:ascii="仿宋" w:hAnsi="仿宋" w:eastAsia="仿宋" w:cs="仿宋"/>
          <w:kern w:val="2"/>
          <w:sz w:val="30"/>
          <w:szCs w:val="30"/>
          <w:lang w:val="en-US" w:eastAsia="zh-CN" w:bidi="ar-SA"/>
        </w:rPr>
        <w:t>2021年度项目支出绩效自评指标计分表</w:t>
      </w:r>
    </w:p>
    <w:p>
      <w:pPr>
        <w:spacing w:afterLines="50" w:line="400" w:lineRule="exact"/>
        <w:jc w:val="center"/>
        <w:rPr>
          <w:rFonts w:hint="default" w:ascii="Times New Roman" w:hAnsi="Times New Roman" w:eastAsia="方正小标宋简体" w:cs="Times New Roman"/>
          <w:sz w:val="36"/>
          <w:szCs w:val="36"/>
        </w:rPr>
      </w:pPr>
    </w:p>
    <w:p>
      <w:pPr>
        <w:spacing w:afterLines="50" w:line="400" w:lineRule="exact"/>
        <w:jc w:val="center"/>
        <w:rPr>
          <w:rFonts w:hint="default" w:ascii="Times New Roman" w:hAnsi="Times New Roman" w:eastAsia="方正小标宋简体" w:cs="Times New Roman"/>
          <w:sz w:val="36"/>
          <w:szCs w:val="36"/>
        </w:rPr>
      </w:pPr>
      <w:bookmarkStart w:id="0" w:name="_GoBack"/>
      <w:bookmarkEnd w:id="0"/>
      <w:r>
        <w:rPr>
          <w:rFonts w:hint="default" w:ascii="Times New Roman" w:hAnsi="Times New Roman" w:eastAsia="方正小标宋简体" w:cs="Times New Roman"/>
          <w:sz w:val="36"/>
          <w:szCs w:val="36"/>
        </w:rPr>
        <w:t>2021年度项目支出绩效自评指标计分表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一级</w:t>
            </w:r>
            <w:r>
              <w:rPr>
                <w:rFonts w:hint="default" w:ascii="Times New Roman" w:hAnsi="Times New Roman" w:cs="Times New Roman"/>
                <w:b/>
                <w:bCs/>
              </w:rPr>
              <w:br w:type="textWrapping"/>
            </w:r>
            <w:r>
              <w:rPr>
                <w:rFonts w:hint="default" w:ascii="Times New Roman" w:hAnsi="Times New Roman" w:cs="Times New Roman"/>
                <w:b/>
                <w:bCs/>
              </w:rPr>
              <w:t>指标</w:t>
            </w:r>
          </w:p>
        </w:tc>
        <w:tc>
          <w:tcPr>
            <w:tcW w:w="454" w:type="dxa"/>
            <w:tcMar>
              <w:top w:w="10" w:type="dxa"/>
              <w:left w:w="10" w:type="dxa"/>
              <w:bottom w:w="0" w:type="dxa"/>
              <w:right w:w="10" w:type="dxa"/>
            </w:tcMar>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二级</w:t>
            </w:r>
            <w:r>
              <w:rPr>
                <w:rFonts w:hint="default" w:ascii="Times New Roman" w:hAnsi="Times New Roman" w:cs="Times New Roman"/>
                <w:b/>
                <w:bCs/>
              </w:rPr>
              <w:br w:type="textWrapping"/>
            </w:r>
            <w:r>
              <w:rPr>
                <w:rFonts w:hint="default" w:ascii="Times New Roman" w:hAnsi="Times New Roman" w:cs="Times New Roman"/>
                <w:b/>
                <w:bCs/>
              </w:rPr>
              <w:t>指标</w:t>
            </w:r>
          </w:p>
        </w:tc>
        <w:tc>
          <w:tcPr>
            <w:tcW w:w="834" w:type="dxa"/>
            <w:tcMar>
              <w:top w:w="10" w:type="dxa"/>
              <w:left w:w="10" w:type="dxa"/>
              <w:bottom w:w="0" w:type="dxa"/>
              <w:right w:w="10" w:type="dxa"/>
            </w:tcMar>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三级指标</w:t>
            </w:r>
          </w:p>
        </w:tc>
        <w:tc>
          <w:tcPr>
            <w:tcW w:w="540" w:type="dxa"/>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自评分</w:t>
            </w:r>
          </w:p>
        </w:tc>
        <w:tc>
          <w:tcPr>
            <w:tcW w:w="2625" w:type="dxa"/>
            <w:tcMar>
              <w:top w:w="10" w:type="dxa"/>
              <w:left w:w="10" w:type="dxa"/>
              <w:bottom w:w="0" w:type="dxa"/>
              <w:right w:w="10" w:type="dxa"/>
            </w:tcMar>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指标解释</w:t>
            </w:r>
          </w:p>
        </w:tc>
        <w:tc>
          <w:tcPr>
            <w:tcW w:w="4194" w:type="dxa"/>
            <w:tcMar>
              <w:top w:w="10" w:type="dxa"/>
              <w:left w:w="10" w:type="dxa"/>
              <w:bottom w:w="0" w:type="dxa"/>
              <w:right w:w="10" w:type="dxa"/>
            </w:tcMar>
            <w:vAlign w:val="center"/>
          </w:tcPr>
          <w:p>
            <w:pPr>
              <w:spacing w:line="240" w:lineRule="exact"/>
              <w:jc w:val="center"/>
              <w:rPr>
                <w:rFonts w:hint="default" w:ascii="Times New Roman" w:hAnsi="Times New Roman" w:cs="Times New Roman"/>
                <w:b/>
                <w:bCs/>
              </w:rPr>
            </w:pPr>
            <w:r>
              <w:rPr>
                <w:rFonts w:hint="default" w:ascii="Times New Roman" w:hAnsi="Times New Roman" w:cs="Times New Roman"/>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决  策（20分）</w:t>
            </w:r>
          </w:p>
        </w:tc>
        <w:tc>
          <w:tcPr>
            <w:tcW w:w="454" w:type="dxa"/>
            <w:vMerge w:val="restart"/>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预算支出决策</w:t>
            </w:r>
          </w:p>
          <w:p>
            <w:pPr>
              <w:spacing w:line="240" w:lineRule="exact"/>
              <w:jc w:val="center"/>
              <w:rPr>
                <w:rFonts w:hint="default" w:ascii="Times New Roman" w:hAnsi="Times New Roman" w:cs="Times New Roman"/>
              </w:rPr>
            </w:pPr>
            <w:r>
              <w:rPr>
                <w:rFonts w:hint="default" w:ascii="Times New Roman" w:hAnsi="Times New Roman" w:cs="Times New Roman"/>
              </w:rPr>
              <w:t>（项目立项）（8分）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预算支出决策（项目立项）依据</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充分性（4分）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r>
              <w:rPr>
                <w:rFonts w:hint="default" w:ascii="Times New Roman" w:hAnsi="Times New Roman" w:cs="Times New Roman"/>
              </w:rPr>
              <w:br w:type="textWrapping"/>
            </w:r>
            <w:r>
              <w:rPr>
                <w:rFonts w:hint="default" w:ascii="Times New Roman" w:hAnsi="Times New Roman" w:cs="Times New Roman"/>
              </w:rPr>
              <w:t>①决策（立项）是否符合国家相关法律法规、国民经济发展规划和相关政策；</w:t>
            </w:r>
            <w:r>
              <w:rPr>
                <w:rFonts w:hint="default" w:ascii="Times New Roman" w:hAnsi="Times New Roman" w:cs="Times New Roman"/>
              </w:rPr>
              <w:br w:type="textWrapping"/>
            </w:r>
            <w:r>
              <w:rPr>
                <w:rFonts w:hint="default" w:ascii="Times New Roman" w:hAnsi="Times New Roman" w:cs="Times New Roman"/>
              </w:rPr>
              <w:t>②决策（立项）是否符合行业发展规划和政策要求；</w:t>
            </w:r>
            <w:r>
              <w:rPr>
                <w:rFonts w:hint="default" w:ascii="Times New Roman" w:hAnsi="Times New Roman" w:cs="Times New Roman"/>
              </w:rPr>
              <w:br w:type="textWrapping"/>
            </w:r>
            <w:r>
              <w:rPr>
                <w:rFonts w:hint="default" w:ascii="Times New Roman" w:hAnsi="Times New Roman" w:cs="Times New Roman"/>
              </w:rPr>
              <w:t>③决策（立项）是否与部门职责范围相符，属于部门履职所需；</w:t>
            </w:r>
            <w:r>
              <w:rPr>
                <w:rFonts w:hint="default" w:ascii="Times New Roman" w:hAnsi="Times New Roman" w:cs="Times New Roman"/>
              </w:rPr>
              <w:br w:type="textWrapping"/>
            </w:r>
            <w:r>
              <w:rPr>
                <w:rFonts w:hint="default" w:ascii="Times New Roman" w:hAnsi="Times New Roman" w:cs="Times New Roman"/>
              </w:rPr>
              <w:t>④预算支出是否属于公共财政支持范围，是否符合中央、地方事权支出责任划分原则；</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p>
        </w:tc>
        <w:tc>
          <w:tcPr>
            <w:tcW w:w="454" w:type="dxa"/>
            <w:vMerge w:val="continue"/>
            <w:tcMar>
              <w:top w:w="10" w:type="dxa"/>
              <w:left w:w="10" w:type="dxa"/>
              <w:bottom w:w="0" w:type="dxa"/>
              <w:right w:w="10" w:type="dxa"/>
            </w:tcMar>
            <w:vAlign w:val="center"/>
          </w:tcPr>
          <w:p>
            <w:pPr>
              <w:spacing w:line="240" w:lineRule="exact"/>
              <w:jc w:val="center"/>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决策(立项）程序规范性(4分)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p>
          <w:p>
            <w:pPr>
              <w:spacing w:line="240" w:lineRule="exact"/>
              <w:ind w:left="106" w:leftChars="50"/>
              <w:rPr>
                <w:rFonts w:hint="default" w:ascii="Times New Roman" w:hAnsi="Times New Roman" w:cs="Times New Roman"/>
              </w:rPr>
            </w:pPr>
            <w:r>
              <w:rPr>
                <w:rFonts w:hint="default" w:ascii="Times New Roman" w:hAnsi="Times New Roman" w:cs="Times New Roman"/>
              </w:rPr>
              <w:t>①预算支出是否按照规定的程序申请设立；</w:t>
            </w:r>
          </w:p>
          <w:p>
            <w:pPr>
              <w:spacing w:line="240" w:lineRule="exact"/>
              <w:ind w:left="106" w:leftChars="50"/>
              <w:rPr>
                <w:rFonts w:hint="default" w:ascii="Times New Roman" w:hAnsi="Times New Roman" w:cs="Times New Roman"/>
              </w:rPr>
            </w:pPr>
            <w:r>
              <w:rPr>
                <w:rFonts w:hint="default" w:ascii="Times New Roman" w:hAnsi="Times New Roman" w:cs="Times New Roman"/>
              </w:rPr>
              <w:t>②审批文件、材料是否符合相关要求；</w:t>
            </w:r>
          </w:p>
          <w:p>
            <w:pPr>
              <w:spacing w:line="240" w:lineRule="exact"/>
              <w:ind w:left="106" w:leftChars="50"/>
              <w:rPr>
                <w:rFonts w:hint="default" w:ascii="Times New Roman" w:hAnsi="Times New Roman" w:cs="Times New Roman"/>
              </w:rPr>
            </w:pPr>
            <w:r>
              <w:rPr>
                <w:rFonts w:hint="default" w:ascii="Times New Roman" w:hAnsi="Times New Roman" w:cs="Times New Roman"/>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restart"/>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绩效</w:t>
            </w:r>
          </w:p>
          <w:p>
            <w:pPr>
              <w:spacing w:line="240" w:lineRule="exact"/>
              <w:jc w:val="center"/>
              <w:rPr>
                <w:rFonts w:hint="default" w:ascii="Times New Roman" w:hAnsi="Times New Roman" w:cs="Times New Roman"/>
              </w:rPr>
            </w:pPr>
            <w:r>
              <w:rPr>
                <w:rFonts w:hint="default" w:ascii="Times New Roman" w:hAnsi="Times New Roman" w:cs="Times New Roman"/>
              </w:rPr>
              <w:t>目标（6分）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绩效目标</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合理性（3分）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（如未设定预算绩效目标，也可考核其他工作任务目标）</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①预算支出是否有绩效目标；</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②预算支出绩效目标与实际工作内容是否具有相关性；</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continue"/>
            <w:vAlign w:val="center"/>
          </w:tcPr>
          <w:p>
            <w:pPr>
              <w:spacing w:line="240" w:lineRule="exact"/>
              <w:jc w:val="center"/>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绩效指标</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明确性（3分）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r>
              <w:rPr>
                <w:rFonts w:hint="default" w:ascii="Times New Roman" w:hAnsi="Times New Roman" w:cs="Times New Roman"/>
              </w:rPr>
              <w:br w:type="textWrapping"/>
            </w:r>
            <w:r>
              <w:rPr>
                <w:rFonts w:hint="default" w:ascii="Times New Roman" w:hAnsi="Times New Roman" w:cs="Times New Roman"/>
              </w:rPr>
              <w:t>①是否将预算支出绩效目标细化分解为具体的绩效指标；</w:t>
            </w:r>
            <w:r>
              <w:rPr>
                <w:rFonts w:hint="default" w:ascii="Times New Roman" w:hAnsi="Times New Roman" w:cs="Times New Roman"/>
              </w:rPr>
              <w:br w:type="textWrapping"/>
            </w:r>
            <w:r>
              <w:rPr>
                <w:rFonts w:hint="default" w:ascii="Times New Roman" w:hAnsi="Times New Roman" w:cs="Times New Roman"/>
              </w:rPr>
              <w:t>②是否通过清晰、可衡量的指标值予以体现；</w:t>
            </w:r>
            <w:r>
              <w:rPr>
                <w:rFonts w:hint="default" w:ascii="Times New Roman" w:hAnsi="Times New Roman" w:cs="Times New Roman"/>
              </w:rPr>
              <w:br w:type="textWrapping"/>
            </w:r>
            <w:r>
              <w:rPr>
                <w:rFonts w:hint="default" w:ascii="Times New Roman" w:hAnsi="Times New Roman" w:cs="Times New Roman"/>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restart"/>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资金</w:t>
            </w:r>
          </w:p>
          <w:p>
            <w:pPr>
              <w:spacing w:line="240" w:lineRule="exact"/>
              <w:jc w:val="center"/>
              <w:rPr>
                <w:rFonts w:hint="default" w:ascii="Times New Roman" w:hAnsi="Times New Roman" w:cs="Times New Roman"/>
              </w:rPr>
            </w:pPr>
            <w:r>
              <w:rPr>
                <w:rFonts w:hint="default" w:ascii="Times New Roman" w:hAnsi="Times New Roman" w:cs="Times New Roman"/>
              </w:rPr>
              <w:t>投入（6分）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预算编制</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科学性（3分）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p>
          <w:p>
            <w:pPr>
              <w:spacing w:line="220" w:lineRule="exact"/>
              <w:ind w:left="106" w:leftChars="50" w:right="106" w:rightChars="50"/>
              <w:rPr>
                <w:rFonts w:hint="default" w:ascii="Times New Roman" w:hAnsi="Times New Roman" w:cs="Times New Roman"/>
              </w:rPr>
            </w:pPr>
            <w:r>
              <w:rPr>
                <w:rFonts w:hint="default" w:ascii="Times New Roman" w:hAnsi="Times New Roman" w:cs="Times New Roman"/>
              </w:rPr>
              <w:t>①预算编制是否经过科学论证；</w:t>
            </w:r>
          </w:p>
          <w:p>
            <w:pPr>
              <w:spacing w:line="220" w:lineRule="exact"/>
              <w:ind w:left="106" w:leftChars="50" w:right="106" w:rightChars="50"/>
              <w:rPr>
                <w:rFonts w:hint="default" w:ascii="Times New Roman" w:hAnsi="Times New Roman" w:cs="Times New Roman"/>
              </w:rPr>
            </w:pPr>
            <w:r>
              <w:rPr>
                <w:rFonts w:hint="default" w:ascii="Times New Roman" w:hAnsi="Times New Roman" w:cs="Times New Roman"/>
              </w:rPr>
              <w:t>②预算内容与支出内容是否匹配；</w:t>
            </w:r>
          </w:p>
          <w:p>
            <w:pPr>
              <w:spacing w:line="220" w:lineRule="exact"/>
              <w:ind w:left="106" w:leftChars="50" w:right="106" w:rightChars="50"/>
              <w:rPr>
                <w:rFonts w:hint="default" w:ascii="Times New Roman" w:hAnsi="Times New Roman" w:cs="Times New Roman"/>
              </w:rPr>
            </w:pPr>
            <w:r>
              <w:rPr>
                <w:rFonts w:hint="default" w:ascii="Times New Roman" w:hAnsi="Times New Roman" w:cs="Times New Roman"/>
              </w:rPr>
              <w:t>③预算额度测算依据是否充分，是否按照标准编制；</w:t>
            </w:r>
          </w:p>
          <w:p>
            <w:pPr>
              <w:spacing w:line="220" w:lineRule="exact"/>
              <w:ind w:left="106" w:leftChars="50" w:right="106" w:rightChars="50"/>
              <w:rPr>
                <w:rFonts w:hint="default" w:ascii="Times New Roman" w:hAnsi="Times New Roman" w:cs="Times New Roman"/>
              </w:rPr>
            </w:pPr>
            <w:r>
              <w:rPr>
                <w:rFonts w:hint="default" w:ascii="Times New Roman" w:hAnsi="Times New Roman" w:cs="Times New Roman"/>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continue"/>
            <w:vAlign w:val="center"/>
          </w:tcPr>
          <w:p>
            <w:pPr>
              <w:spacing w:line="240" w:lineRule="exact"/>
              <w:jc w:val="center"/>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资金分配</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合理性（3分）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p>
          <w:p>
            <w:pPr>
              <w:spacing w:line="240" w:lineRule="exact"/>
              <w:ind w:right="106" w:rightChars="50" w:firstLine="106" w:firstLineChars="50"/>
              <w:rPr>
                <w:rFonts w:hint="default" w:ascii="Times New Roman" w:hAnsi="Times New Roman" w:cs="Times New Roman"/>
              </w:rPr>
            </w:pPr>
            <w:r>
              <w:rPr>
                <w:rFonts w:hint="default" w:ascii="Times New Roman" w:hAnsi="Times New Roman" w:cs="Times New Roman"/>
              </w:rPr>
              <w:t>①预算资金分配依据是否充分；</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过</w:t>
            </w:r>
          </w:p>
          <w:p>
            <w:pPr>
              <w:spacing w:line="240" w:lineRule="exact"/>
              <w:jc w:val="center"/>
              <w:rPr>
                <w:rFonts w:hint="default" w:ascii="Times New Roman" w:hAnsi="Times New Roman" w:cs="Times New Roman"/>
              </w:rPr>
            </w:pPr>
          </w:p>
          <w:p>
            <w:pPr>
              <w:spacing w:line="240" w:lineRule="exact"/>
              <w:jc w:val="center"/>
              <w:rPr>
                <w:rFonts w:hint="default" w:ascii="Times New Roman" w:hAnsi="Times New Roman" w:cs="Times New Roman"/>
              </w:rPr>
            </w:pPr>
          </w:p>
          <w:p>
            <w:pPr>
              <w:spacing w:line="240" w:lineRule="exact"/>
              <w:jc w:val="center"/>
              <w:rPr>
                <w:rFonts w:hint="default" w:ascii="Times New Roman" w:hAnsi="Times New Roman" w:cs="Times New Roman"/>
              </w:rPr>
            </w:pPr>
            <w:r>
              <w:rPr>
                <w:rFonts w:hint="default" w:ascii="Times New Roman" w:hAnsi="Times New Roman" w:cs="Times New Roman"/>
              </w:rPr>
              <w:t>程（20分）</w:t>
            </w:r>
          </w:p>
        </w:tc>
        <w:tc>
          <w:tcPr>
            <w:tcW w:w="454" w:type="dxa"/>
            <w:vMerge w:val="restart"/>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资金</w:t>
            </w:r>
            <w:r>
              <w:rPr>
                <w:rFonts w:hint="default" w:ascii="Times New Roman" w:hAnsi="Times New Roman" w:cs="Times New Roman"/>
              </w:rPr>
              <w:br w:type="textWrapping"/>
            </w:r>
            <w:r>
              <w:rPr>
                <w:rFonts w:hint="default" w:ascii="Times New Roman" w:hAnsi="Times New Roman" w:cs="Times New Roman"/>
              </w:rPr>
              <w:t>管理（12分）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资金</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到位率（4分）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资金到位率=（实际到位资金/预算资金）×100%。</w:t>
            </w:r>
            <w:r>
              <w:rPr>
                <w:rFonts w:hint="default" w:ascii="Times New Roman" w:hAnsi="Times New Roman" w:cs="Times New Roman"/>
              </w:rPr>
              <w:br w:type="textWrapping"/>
            </w:r>
            <w:r>
              <w:rPr>
                <w:rFonts w:hint="default" w:ascii="Times New Roman" w:hAnsi="Times New Roman" w:cs="Times New Roman"/>
              </w:rPr>
              <w:t>实际到位资金：一定时期（本年度或预算支出期）内落实到具体预算支出的资金。</w:t>
            </w:r>
            <w:r>
              <w:rPr>
                <w:rFonts w:hint="default" w:ascii="Times New Roman" w:hAnsi="Times New Roman" w:cs="Times New Roman"/>
              </w:rPr>
              <w:br w:type="textWrapping"/>
            </w:r>
            <w:r>
              <w:rPr>
                <w:rFonts w:hint="default" w:ascii="Times New Roman" w:hAnsi="Times New Roman" w:cs="Times New Roman"/>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hint="default" w:ascii="Times New Roman" w:hAnsi="Times New Roman" w:cs="Times New Roman"/>
              </w:rPr>
            </w:pPr>
          </w:p>
        </w:tc>
        <w:tc>
          <w:tcPr>
            <w:tcW w:w="454" w:type="dxa"/>
            <w:vMerge w:val="continue"/>
            <w:tcMar>
              <w:top w:w="10" w:type="dxa"/>
              <w:left w:w="10" w:type="dxa"/>
              <w:bottom w:w="0" w:type="dxa"/>
              <w:right w:w="10" w:type="dxa"/>
            </w:tcMar>
            <w:vAlign w:val="center"/>
          </w:tcPr>
          <w:p>
            <w:pPr>
              <w:spacing w:line="240" w:lineRule="exact"/>
              <w:jc w:val="center"/>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预算</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执行率（4分）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预算执行率=（实际支出资金/实际到位资金）×100%。</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hint="default" w:ascii="Times New Roman" w:hAnsi="Times New Roman" w:cs="Times New Roman"/>
              </w:rPr>
            </w:pPr>
          </w:p>
        </w:tc>
        <w:tc>
          <w:tcPr>
            <w:tcW w:w="454" w:type="dxa"/>
            <w:vMerge w:val="continue"/>
            <w:vAlign w:val="center"/>
          </w:tcPr>
          <w:p>
            <w:pPr>
              <w:spacing w:line="240" w:lineRule="exact"/>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资金使用</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合规性（4分）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①是否符合国家财经法规和财务管理制度以及有关专项资金管理办法的规定；</w:t>
            </w:r>
          </w:p>
          <w:p>
            <w:pPr>
              <w:spacing w:line="240" w:lineRule="exact"/>
              <w:ind w:right="106" w:rightChars="50" w:firstLine="106" w:firstLineChars="50"/>
              <w:rPr>
                <w:rFonts w:hint="default" w:ascii="Times New Roman" w:hAnsi="Times New Roman" w:cs="Times New Roman"/>
              </w:rPr>
            </w:pPr>
            <w:r>
              <w:rPr>
                <w:rFonts w:hint="default" w:ascii="Times New Roman" w:hAnsi="Times New Roman" w:cs="Times New Roman"/>
              </w:rPr>
              <w:t>②资金的拨付是否有完整的审批程序和手续；</w:t>
            </w:r>
          </w:p>
          <w:p>
            <w:pPr>
              <w:spacing w:line="240" w:lineRule="exact"/>
              <w:ind w:right="106" w:rightChars="50" w:firstLine="106" w:firstLineChars="50"/>
              <w:rPr>
                <w:rFonts w:hint="default" w:ascii="Times New Roman" w:hAnsi="Times New Roman" w:cs="Times New Roman"/>
              </w:rPr>
            </w:pPr>
            <w:r>
              <w:rPr>
                <w:rFonts w:hint="default" w:ascii="Times New Roman" w:hAnsi="Times New Roman" w:cs="Times New Roman"/>
              </w:rPr>
              <w:t>③是否符合预算支出预算批复或合同规定的用途；</w:t>
            </w:r>
          </w:p>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p>
        </w:tc>
        <w:tc>
          <w:tcPr>
            <w:tcW w:w="454" w:type="dxa"/>
            <w:vMerge w:val="restart"/>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组织</w:t>
            </w:r>
          </w:p>
          <w:p>
            <w:pPr>
              <w:spacing w:line="240" w:lineRule="exact"/>
              <w:jc w:val="center"/>
              <w:rPr>
                <w:rFonts w:hint="default" w:ascii="Times New Roman" w:hAnsi="Times New Roman" w:cs="Times New Roman"/>
              </w:rPr>
            </w:pPr>
            <w:r>
              <w:rPr>
                <w:rFonts w:hint="default" w:ascii="Times New Roman" w:hAnsi="Times New Roman" w:cs="Times New Roman"/>
              </w:rPr>
              <w:t>实施（8分）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管理制度</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健全性（4分）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r>
              <w:rPr>
                <w:rFonts w:hint="default" w:ascii="Times New Roman" w:hAnsi="Times New Roman" w:cs="Times New Roman"/>
              </w:rPr>
              <w:br w:type="textWrapping"/>
            </w:r>
            <w:r>
              <w:rPr>
                <w:rFonts w:hint="default" w:ascii="Times New Roman" w:hAnsi="Times New Roman" w:cs="Times New Roman"/>
              </w:rPr>
              <w:t>①是否已制定或具有相应的业务管理制度；</w:t>
            </w:r>
            <w:r>
              <w:rPr>
                <w:rFonts w:hint="default" w:ascii="Times New Roman" w:hAnsi="Times New Roman" w:cs="Times New Roman"/>
              </w:rPr>
              <w:br w:type="textWrapping"/>
            </w:r>
            <w:r>
              <w:rPr>
                <w:rFonts w:hint="default" w:ascii="Times New Roman" w:hAnsi="Times New Roman" w:cs="Times New Roman"/>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continue"/>
            <w:vAlign w:val="center"/>
          </w:tcPr>
          <w:p>
            <w:pPr>
              <w:spacing w:line="240" w:lineRule="exact"/>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制度执行</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有效性（4分）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评价要点：</w:t>
            </w:r>
            <w:r>
              <w:rPr>
                <w:rFonts w:hint="default" w:ascii="Times New Roman" w:hAnsi="Times New Roman" w:cs="Times New Roman"/>
              </w:rPr>
              <w:br w:type="textWrapping"/>
            </w:r>
            <w:r>
              <w:rPr>
                <w:rFonts w:hint="default" w:ascii="Times New Roman" w:hAnsi="Times New Roman" w:cs="Times New Roman"/>
              </w:rPr>
              <w:t>①是否遵守相关法律法规和相关管理规定；</w:t>
            </w:r>
            <w:r>
              <w:rPr>
                <w:rFonts w:hint="default" w:ascii="Times New Roman" w:hAnsi="Times New Roman" w:cs="Times New Roman"/>
              </w:rPr>
              <w:br w:type="textWrapping"/>
            </w:r>
            <w:r>
              <w:rPr>
                <w:rFonts w:hint="default" w:ascii="Times New Roman" w:hAnsi="Times New Roman" w:cs="Times New Roman"/>
              </w:rPr>
              <w:t>②预算支出调整及支出调整手续是否完备；</w:t>
            </w:r>
            <w:r>
              <w:rPr>
                <w:rFonts w:hint="default" w:ascii="Times New Roman" w:hAnsi="Times New Roman" w:cs="Times New Roman"/>
              </w:rPr>
              <w:br w:type="textWrapping"/>
            </w:r>
            <w:r>
              <w:rPr>
                <w:rFonts w:hint="default" w:ascii="Times New Roman" w:hAnsi="Times New Roman" w:cs="Times New Roman"/>
              </w:rPr>
              <w:t>③预算支出合同书、验收报告、技术鉴定等资料是否齐全并及时归档；</w:t>
            </w:r>
            <w:r>
              <w:rPr>
                <w:rFonts w:hint="default" w:ascii="Times New Roman" w:hAnsi="Times New Roman" w:cs="Times New Roman"/>
              </w:rPr>
              <w:br w:type="textWrapping"/>
            </w:r>
            <w:r>
              <w:rPr>
                <w:rFonts w:hint="default" w:ascii="Times New Roman" w:hAnsi="Times New Roman" w:cs="Times New Roman"/>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产   出（40分）</w:t>
            </w:r>
          </w:p>
        </w:tc>
        <w:tc>
          <w:tcPr>
            <w:tcW w:w="454" w:type="dxa"/>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产出</w:t>
            </w:r>
          </w:p>
          <w:p>
            <w:pPr>
              <w:spacing w:line="240" w:lineRule="exact"/>
              <w:jc w:val="center"/>
              <w:rPr>
                <w:rFonts w:hint="default" w:ascii="Times New Roman" w:hAnsi="Times New Roman" w:cs="Times New Roman"/>
              </w:rPr>
            </w:pPr>
            <w:r>
              <w:rPr>
                <w:rFonts w:hint="default" w:ascii="Times New Roman" w:hAnsi="Times New Roman" w:cs="Times New Roman"/>
              </w:rPr>
              <w:t>数量（10分）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实际</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完成率（10分）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实际完成率=（实际产出数/计划产出数）×100%。</w:t>
            </w:r>
            <w:r>
              <w:rPr>
                <w:rFonts w:hint="default" w:ascii="Times New Roman" w:hAnsi="Times New Roman" w:cs="Times New Roman"/>
              </w:rPr>
              <w:br w:type="textWrapping"/>
            </w:r>
            <w:r>
              <w:rPr>
                <w:rFonts w:hint="default" w:ascii="Times New Roman" w:hAnsi="Times New Roman" w:cs="Times New Roman"/>
              </w:rPr>
              <w:t>实际产出数：一定时期（本年度或预算支出期）内预算支出实际产出的产品或提供的服务数量。</w:t>
            </w:r>
            <w:r>
              <w:rPr>
                <w:rFonts w:hint="default" w:ascii="Times New Roman" w:hAnsi="Times New Roman" w:cs="Times New Roman"/>
              </w:rPr>
              <w:br w:type="textWrapping"/>
            </w:r>
            <w:r>
              <w:rPr>
                <w:rFonts w:hint="default" w:ascii="Times New Roman" w:hAnsi="Times New Roman" w:cs="Times New Roman"/>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p>
        </w:tc>
        <w:tc>
          <w:tcPr>
            <w:tcW w:w="454" w:type="dxa"/>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产出</w:t>
            </w:r>
          </w:p>
          <w:p>
            <w:pPr>
              <w:spacing w:line="240" w:lineRule="exact"/>
              <w:jc w:val="center"/>
              <w:rPr>
                <w:rFonts w:hint="default" w:ascii="Times New Roman" w:hAnsi="Times New Roman" w:cs="Times New Roman"/>
              </w:rPr>
            </w:pPr>
            <w:r>
              <w:rPr>
                <w:rFonts w:hint="default" w:ascii="Times New Roman" w:hAnsi="Times New Roman" w:cs="Times New Roman"/>
              </w:rPr>
              <w:t>质量（10分）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质量</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达标率（10分）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质量达标率=（质量达标产出数/实际产出数）×100%。</w:t>
            </w:r>
            <w:r>
              <w:rPr>
                <w:rFonts w:hint="default" w:ascii="Times New Roman" w:hAnsi="Times New Roman" w:cs="Times New Roman"/>
              </w:rPr>
              <w:br w:type="textWrapping"/>
            </w:r>
            <w:r>
              <w:rPr>
                <w:rFonts w:hint="default" w:ascii="Times New Roman" w:hAnsi="Times New Roman" w:cs="Times New Roman"/>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hint="default" w:ascii="Times New Roman" w:hAnsi="Times New Roman" w:cs="Times New Roman"/>
              </w:rPr>
            </w:pPr>
            <w:r>
              <w:rPr>
                <w:rFonts w:hint="default" w:ascii="Times New Roman" w:hAnsi="Times New Roman" w:cs="Times New Roman"/>
              </w:rPr>
              <w:t>产   出（40分）</w:t>
            </w:r>
          </w:p>
        </w:tc>
        <w:tc>
          <w:tcPr>
            <w:tcW w:w="454"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产出</w:t>
            </w:r>
          </w:p>
          <w:p>
            <w:pPr>
              <w:spacing w:line="240" w:lineRule="exact"/>
              <w:jc w:val="center"/>
              <w:rPr>
                <w:rFonts w:hint="default" w:ascii="Times New Roman" w:hAnsi="Times New Roman" w:cs="Times New Roman"/>
              </w:rPr>
            </w:pPr>
            <w:r>
              <w:rPr>
                <w:rFonts w:hint="default" w:ascii="Times New Roman" w:hAnsi="Times New Roman" w:cs="Times New Roman"/>
              </w:rPr>
              <w:t>时效（10分）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完成</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及时性（10分）</w:t>
            </w:r>
          </w:p>
        </w:tc>
        <w:tc>
          <w:tcPr>
            <w:tcW w:w="540" w:type="dxa"/>
            <w:vAlign w:val="center"/>
          </w:tcPr>
          <w:p>
            <w:pPr>
              <w:spacing w:line="240" w:lineRule="exact"/>
              <w:ind w:left="106" w:leftChars="50" w:right="106" w:rightChars="50"/>
              <w:jc w:val="center"/>
              <w:rPr>
                <w:rFonts w:hint="default" w:ascii="Times New Roman" w:hAnsi="Times New Roman" w:cs="Times New Roman"/>
              </w:rPr>
            </w:pP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实际完成时间：预算支出实施单位完成该预算支出实际所耗用的时间。</w:t>
            </w:r>
            <w:r>
              <w:rPr>
                <w:rFonts w:hint="default" w:ascii="Times New Roman" w:hAnsi="Times New Roman" w:cs="Times New Roman"/>
              </w:rPr>
              <w:br w:type="textWrapping"/>
            </w:r>
            <w:r>
              <w:rPr>
                <w:rFonts w:hint="default" w:ascii="Times New Roman" w:hAnsi="Times New Roman" w:cs="Times New Roman"/>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hint="default" w:ascii="Times New Roman" w:hAnsi="Times New Roman" w:cs="Times New Roman"/>
              </w:rPr>
            </w:pPr>
          </w:p>
        </w:tc>
        <w:tc>
          <w:tcPr>
            <w:tcW w:w="454" w:type="dxa"/>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产出</w:t>
            </w:r>
          </w:p>
          <w:p>
            <w:pPr>
              <w:spacing w:line="240" w:lineRule="exact"/>
              <w:jc w:val="center"/>
              <w:rPr>
                <w:rFonts w:hint="default" w:ascii="Times New Roman" w:hAnsi="Times New Roman" w:cs="Times New Roman"/>
              </w:rPr>
            </w:pPr>
            <w:r>
              <w:rPr>
                <w:rFonts w:hint="default" w:ascii="Times New Roman" w:hAnsi="Times New Roman" w:cs="Times New Roman"/>
              </w:rPr>
              <w:t>成本（10分）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成本</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节约率（10分）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成本节约率=[（计划成本-实际成本）/计划成本]×100%。</w:t>
            </w:r>
            <w:r>
              <w:rPr>
                <w:rFonts w:hint="default" w:ascii="Times New Roman" w:hAnsi="Times New Roman" w:cs="Times New Roman"/>
              </w:rPr>
              <w:br w:type="textWrapping"/>
            </w:r>
            <w:r>
              <w:rPr>
                <w:rFonts w:hint="default" w:ascii="Times New Roman" w:hAnsi="Times New Roman" w:cs="Times New Roman"/>
              </w:rPr>
              <w:t>实际成本：预算支出实施单位如期、保质、保量完成既定工作目标实际所耗费的支出。</w:t>
            </w:r>
            <w:r>
              <w:rPr>
                <w:rFonts w:hint="default" w:ascii="Times New Roman" w:hAnsi="Times New Roman" w:cs="Times New Roman"/>
              </w:rPr>
              <w:br w:type="textWrapping"/>
            </w:r>
            <w:r>
              <w:rPr>
                <w:rFonts w:hint="default" w:ascii="Times New Roman" w:hAnsi="Times New Roman" w:cs="Times New Roman"/>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效   益（20分）</w:t>
            </w:r>
          </w:p>
        </w:tc>
        <w:tc>
          <w:tcPr>
            <w:tcW w:w="454" w:type="dxa"/>
            <w:vMerge w:val="restart"/>
            <w:tcMar>
              <w:top w:w="10" w:type="dxa"/>
              <w:left w:w="10" w:type="dxa"/>
              <w:bottom w:w="0" w:type="dxa"/>
              <w:right w:w="10" w:type="dxa"/>
            </w:tcMar>
            <w:vAlign w:val="center"/>
          </w:tcPr>
          <w:p>
            <w:pPr>
              <w:spacing w:line="240" w:lineRule="exact"/>
              <w:jc w:val="center"/>
              <w:rPr>
                <w:rFonts w:hint="default" w:ascii="Times New Roman" w:hAnsi="Times New Roman" w:cs="Times New Roman"/>
              </w:rPr>
            </w:pPr>
            <w:r>
              <w:rPr>
                <w:rFonts w:hint="default" w:ascii="Times New Roman" w:hAnsi="Times New Roman" w:cs="Times New Roman"/>
              </w:rPr>
              <w:t>预算支出</w:t>
            </w:r>
            <w:r>
              <w:rPr>
                <w:rFonts w:hint="default" w:ascii="Times New Roman" w:hAnsi="Times New Roman" w:cs="Times New Roman"/>
              </w:rPr>
              <w:br w:type="textWrapping"/>
            </w:r>
            <w:r>
              <w:rPr>
                <w:rFonts w:hint="default" w:ascii="Times New Roman" w:hAnsi="Times New Roman" w:cs="Times New Roman"/>
              </w:rPr>
              <w:t>效益（20分）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实施效益（10分）</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预算支出实施所产生的效益。</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hint="default" w:ascii="Times New Roman" w:hAnsi="Times New Roman" w:cs="Times New Roman"/>
              </w:rPr>
            </w:pPr>
          </w:p>
        </w:tc>
        <w:tc>
          <w:tcPr>
            <w:tcW w:w="454" w:type="dxa"/>
            <w:vMerge w:val="continue"/>
            <w:vAlign w:val="center"/>
          </w:tcPr>
          <w:p>
            <w:pPr>
              <w:spacing w:line="240" w:lineRule="exact"/>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社会公众</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或服务（10分）对</w:t>
            </w:r>
          </w:p>
          <w:p>
            <w:pPr>
              <w:spacing w:line="240" w:lineRule="exact"/>
              <w:ind w:left="106" w:leftChars="50" w:right="106" w:rightChars="50"/>
              <w:jc w:val="center"/>
              <w:rPr>
                <w:rFonts w:hint="default" w:ascii="Times New Roman" w:hAnsi="Times New Roman" w:cs="Times New Roman"/>
              </w:rPr>
            </w:pPr>
            <w:r>
              <w:rPr>
                <w:rFonts w:hint="default" w:ascii="Times New Roman" w:hAnsi="Times New Roman" w:cs="Times New Roman"/>
              </w:rPr>
              <w:t>象满意度</w:t>
            </w: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r>
              <w:rPr>
                <w:rFonts w:hint="default" w:ascii="Times New Roman" w:hAnsi="Times New Roman" w:cs="Times New Roman"/>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hint="default" w:ascii="Times New Roman" w:hAnsi="Times New Roman" w:cs="Times New Roman"/>
              </w:rPr>
            </w:pPr>
            <w:r>
              <w:rPr>
                <w:rFonts w:hint="default" w:ascii="Times New Roman" w:hAnsi="Times New Roman" w:cs="Times New Roman"/>
              </w:rPr>
              <w:t>总分</w:t>
            </w:r>
          </w:p>
        </w:tc>
        <w:tc>
          <w:tcPr>
            <w:tcW w:w="454" w:type="dxa"/>
            <w:vAlign w:val="center"/>
          </w:tcPr>
          <w:p>
            <w:pPr>
              <w:spacing w:line="240" w:lineRule="exact"/>
              <w:rPr>
                <w:rFonts w:hint="default" w:ascii="Times New Roman" w:hAnsi="Times New Roman" w:cs="Times New Roman"/>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hint="default" w:ascii="Times New Roman" w:hAnsi="Times New Roman" w:cs="Times New Roman"/>
              </w:rPr>
            </w:pPr>
          </w:p>
        </w:tc>
        <w:tc>
          <w:tcPr>
            <w:tcW w:w="540" w:type="dxa"/>
            <w:vAlign w:val="center"/>
          </w:tcPr>
          <w:p>
            <w:pPr>
              <w:spacing w:line="240" w:lineRule="exact"/>
              <w:ind w:left="106" w:leftChars="50" w:right="106" w:rightChars="5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100</w:t>
            </w:r>
          </w:p>
        </w:tc>
        <w:tc>
          <w:tcPr>
            <w:tcW w:w="2625"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p>
        </w:tc>
        <w:tc>
          <w:tcPr>
            <w:tcW w:w="4194" w:type="dxa"/>
            <w:tcMar>
              <w:top w:w="10" w:type="dxa"/>
              <w:left w:w="10" w:type="dxa"/>
              <w:bottom w:w="0" w:type="dxa"/>
              <w:right w:w="10" w:type="dxa"/>
            </w:tcMar>
            <w:vAlign w:val="center"/>
          </w:tcPr>
          <w:p>
            <w:pPr>
              <w:spacing w:line="240" w:lineRule="exact"/>
              <w:ind w:left="106" w:leftChars="50" w:right="106" w:rightChars="50"/>
              <w:rPr>
                <w:rFonts w:hint="default" w:ascii="Times New Roman" w:hAnsi="Times New Roman" w:cs="Times New Roman"/>
              </w:rPr>
            </w:pPr>
          </w:p>
        </w:tc>
      </w:tr>
    </w:tbl>
    <w:p>
      <w:pPr>
        <w:pStyle w:val="3"/>
        <w:rPr>
          <w:rFonts w:hint="eastAsia"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EA3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2023-06-18T05:00:45Z</dcterms:created>
  <dc:creator>admin-3</dc:creator>
  <cp:lastModifiedBy>admin-3</cp:lastModifiedBy>
  <dcterms:modified xsi:type="dcterms:W3CDTF">2023-06-18T05:01:04Z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F0A2812C38E84A9F910901BC06A42FBA_12</vt:lpwstr>
  </property>
</Properties>
</file>