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益阳市</w:t>
      </w:r>
      <w:r>
        <w:rPr>
          <w:rFonts w:hint="eastAsia" w:ascii="黑体" w:hAnsi="黑体" w:eastAsia="黑体" w:cs="黑体"/>
          <w:sz w:val="36"/>
          <w:szCs w:val="36"/>
          <w:lang w:eastAsia="zh-CN"/>
        </w:rPr>
        <w:t>赫山区</w:t>
      </w:r>
      <w:r>
        <w:rPr>
          <w:rFonts w:hint="eastAsia" w:ascii="黑体" w:hAnsi="黑体" w:eastAsia="黑体" w:cs="黑体"/>
          <w:sz w:val="36"/>
          <w:szCs w:val="36"/>
          <w:lang w:val="en-US" w:eastAsia="zh-CN"/>
        </w:rPr>
        <w:t>2021年度受污染耕地安全利用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eastAsia="方正小标宋简体" w:cs="方正小标宋_GBK"/>
          <w:sz w:val="44"/>
          <w:szCs w:val="44"/>
        </w:rPr>
      </w:pPr>
      <w:r>
        <w:rPr>
          <w:rFonts w:hint="eastAsia" w:ascii="黑体" w:hAnsi="黑体" w:eastAsia="黑体" w:cs="黑体"/>
          <w:sz w:val="36"/>
          <w:szCs w:val="36"/>
        </w:rPr>
        <w:t>项目支出绩效评价报告</w:t>
      </w:r>
    </w:p>
    <w:p>
      <w:pPr>
        <w:keepNext w:val="0"/>
        <w:keepLines w:val="0"/>
        <w:pageBreakBefore w:val="0"/>
        <w:widowControl w:val="0"/>
        <w:tabs>
          <w:tab w:val="left" w:pos="3435"/>
        </w:tabs>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ab/>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一、预算支出基本情况</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（一）预算支出概况。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根据省农业农村厅耕地土壤环境质量类别“三区”划分成果，结合省生态环境厅提供的详查数据，</w:t>
      </w:r>
      <w:r>
        <w:rPr>
          <w:rFonts w:hint="eastAsia" w:ascii="仿宋" w:hAnsi="仿宋" w:eastAsia="仿宋" w:cs="仿宋"/>
          <w:sz w:val="30"/>
          <w:szCs w:val="30"/>
          <w:lang w:val="en-US" w:eastAsia="zh-CN"/>
        </w:rPr>
        <w:t>2021年</w:t>
      </w:r>
      <w:r>
        <w:rPr>
          <w:rFonts w:hint="eastAsia" w:ascii="仿宋" w:hAnsi="仿宋" w:eastAsia="仿宋" w:cs="仿宋"/>
          <w:sz w:val="30"/>
          <w:szCs w:val="30"/>
        </w:rPr>
        <w:t>益阳</w:t>
      </w:r>
      <w:r>
        <w:rPr>
          <w:rFonts w:hint="eastAsia" w:ascii="仿宋" w:hAnsi="仿宋" w:eastAsia="仿宋" w:cs="仿宋"/>
          <w:sz w:val="30"/>
          <w:szCs w:val="30"/>
          <w:lang w:eastAsia="zh-CN"/>
        </w:rPr>
        <w:t>市</w:t>
      </w:r>
      <w:r>
        <w:rPr>
          <w:rFonts w:hint="eastAsia" w:ascii="仿宋" w:hAnsi="仿宋" w:eastAsia="仿宋" w:cs="仿宋"/>
          <w:sz w:val="30"/>
          <w:szCs w:val="30"/>
        </w:rPr>
        <w:t>下达我</w:t>
      </w:r>
      <w:r>
        <w:rPr>
          <w:rFonts w:hint="eastAsia" w:ascii="仿宋" w:hAnsi="仿宋" w:eastAsia="仿宋" w:cs="仿宋"/>
          <w:sz w:val="30"/>
          <w:szCs w:val="30"/>
          <w:lang w:eastAsia="zh-CN"/>
        </w:rPr>
        <w:t>区</w:t>
      </w:r>
      <w:r>
        <w:rPr>
          <w:rFonts w:hint="eastAsia" w:ascii="仿宋" w:hAnsi="仿宋" w:eastAsia="仿宋" w:cs="仿宋"/>
          <w:sz w:val="30"/>
          <w:szCs w:val="30"/>
        </w:rPr>
        <w:t>中轻度安全利用面积</w:t>
      </w:r>
      <w:r>
        <w:rPr>
          <w:rFonts w:hint="eastAsia" w:ascii="仿宋" w:hAnsi="仿宋" w:eastAsia="仿宋" w:cs="仿宋"/>
          <w:sz w:val="30"/>
          <w:szCs w:val="30"/>
          <w:lang w:val="en-US" w:eastAsia="zh-CN"/>
        </w:rPr>
        <w:t>30.77万</w:t>
      </w:r>
      <w:r>
        <w:rPr>
          <w:rFonts w:hint="eastAsia" w:ascii="仿宋" w:hAnsi="仿宋" w:eastAsia="仿宋" w:cs="仿宋"/>
          <w:sz w:val="30"/>
          <w:szCs w:val="30"/>
        </w:rPr>
        <w:t>亩，</w:t>
      </w:r>
      <w:r>
        <w:rPr>
          <w:rFonts w:hint="eastAsia" w:ascii="仿宋" w:hAnsi="仿宋" w:eastAsia="仿宋" w:cs="仿宋"/>
          <w:sz w:val="30"/>
          <w:szCs w:val="30"/>
          <w:lang w:eastAsia="zh-CN"/>
        </w:rPr>
        <w:t>严格管控区</w:t>
      </w:r>
      <w:r>
        <w:rPr>
          <w:rFonts w:hint="eastAsia" w:ascii="仿宋" w:hAnsi="仿宋" w:eastAsia="仿宋" w:cs="仿宋"/>
          <w:sz w:val="30"/>
          <w:szCs w:val="30"/>
          <w:lang w:val="en-US" w:eastAsia="zh-CN"/>
        </w:rPr>
        <w:t>1.46万亩。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年，省财政下达我</w:t>
      </w:r>
      <w:r>
        <w:rPr>
          <w:rFonts w:hint="eastAsia" w:ascii="仿宋" w:hAnsi="仿宋" w:eastAsia="仿宋" w:cs="仿宋"/>
          <w:sz w:val="30"/>
          <w:szCs w:val="30"/>
          <w:lang w:eastAsia="zh-CN"/>
        </w:rPr>
        <w:t>区</w:t>
      </w:r>
      <w:r>
        <w:rPr>
          <w:rFonts w:hint="eastAsia" w:ascii="仿宋" w:hAnsi="仿宋" w:eastAsia="仿宋" w:cs="仿宋"/>
          <w:sz w:val="30"/>
          <w:szCs w:val="30"/>
        </w:rPr>
        <w:t>受污染耕地安全利用资金</w:t>
      </w:r>
      <w:r>
        <w:rPr>
          <w:rFonts w:hint="eastAsia" w:ascii="仿宋" w:hAnsi="仿宋" w:eastAsia="仿宋" w:cs="仿宋"/>
          <w:sz w:val="30"/>
          <w:szCs w:val="30"/>
          <w:lang w:val="en-US" w:eastAsia="zh-CN"/>
        </w:rPr>
        <w:t>812</w:t>
      </w:r>
      <w:r>
        <w:rPr>
          <w:rFonts w:hint="eastAsia" w:ascii="仿宋" w:hAnsi="仿宋" w:eastAsia="仿宋" w:cs="仿宋"/>
          <w:sz w:val="30"/>
          <w:szCs w:val="30"/>
        </w:rPr>
        <w:t>万元</w:t>
      </w:r>
      <w:r>
        <w:rPr>
          <w:rFonts w:hint="eastAsia" w:ascii="仿宋" w:hAnsi="仿宋" w:eastAsia="仿宋" w:cs="仿宋"/>
          <w:sz w:val="30"/>
          <w:szCs w:val="30"/>
          <w:lang w:eastAsia="zh-CN"/>
        </w:rPr>
        <w:t>。资金分配情况如下：严格管控区产业结构调整</w:t>
      </w:r>
      <w:r>
        <w:rPr>
          <w:rFonts w:hint="eastAsia" w:ascii="仿宋" w:hAnsi="仿宋" w:eastAsia="仿宋" w:cs="仿宋"/>
          <w:sz w:val="30"/>
          <w:szCs w:val="30"/>
          <w:lang w:val="en-US" w:eastAsia="zh-CN"/>
        </w:rPr>
        <w:t>199.4万元。安全利用区“六改”措施532.6万元（石灰补贴184万元、叶面阻控剂348.6万元）。水稻降镉试验示范50万元。</w:t>
      </w:r>
      <w:bookmarkStart w:id="0" w:name="OLE_LINK1"/>
      <w:r>
        <w:rPr>
          <w:rFonts w:hint="eastAsia" w:ascii="仿宋" w:hAnsi="仿宋" w:eastAsia="仿宋" w:cs="仿宋"/>
          <w:sz w:val="30"/>
          <w:szCs w:val="30"/>
          <w:lang w:val="en-US" w:eastAsia="zh-CN"/>
        </w:rPr>
        <w:t>严格管控区特殊农产品划定30万元。</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预算资金使用管理情况。</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区耕地安全利用推进工作组高度重视项目实施的资金管理，项目执行过程中严格按照政府采购流程进行行审批、备案。</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项目实施过程建严格台账管理，</w:t>
      </w:r>
      <w:r>
        <w:rPr>
          <w:rFonts w:hint="eastAsia" w:ascii="仿宋" w:hAnsi="仿宋" w:eastAsia="仿宋" w:cs="仿宋"/>
          <w:kern w:val="2"/>
          <w:sz w:val="30"/>
          <w:szCs w:val="30"/>
          <w:lang w:eastAsia="zh-CN" w:bidi="ar-SA"/>
        </w:rPr>
        <w:t>入户调查</w:t>
      </w:r>
      <w:r>
        <w:rPr>
          <w:rFonts w:hint="eastAsia" w:ascii="仿宋" w:hAnsi="仿宋" w:eastAsia="仿宋" w:cs="仿宋"/>
          <w:kern w:val="2"/>
          <w:sz w:val="30"/>
          <w:szCs w:val="30"/>
          <w:lang w:val="en-US" w:eastAsia="zh-CN" w:bidi="ar-SA"/>
        </w:rPr>
        <w:t>、</w:t>
      </w:r>
      <w:r>
        <w:rPr>
          <w:rFonts w:hint="eastAsia" w:ascii="仿宋" w:hAnsi="仿宋" w:eastAsia="仿宋" w:cs="仿宋"/>
          <w:kern w:val="2"/>
          <w:sz w:val="30"/>
          <w:szCs w:val="30"/>
          <w:lang w:eastAsia="zh-CN" w:bidi="ar-SA"/>
        </w:rPr>
        <w:t>严格管控区稻谷溯源情况，“六项”农艺措施实施明细等</w:t>
      </w:r>
      <w:r>
        <w:rPr>
          <w:rFonts w:hint="eastAsia" w:ascii="仿宋" w:hAnsi="仿宋" w:eastAsia="仿宋" w:cs="仿宋"/>
          <w:kern w:val="2"/>
          <w:sz w:val="30"/>
          <w:szCs w:val="30"/>
          <w:lang w:val="en-US" w:eastAsia="zh-CN" w:bidi="ar-SA"/>
        </w:rPr>
        <w:t>，均建立了详细台账。建立了项目的绩效考核制度，将</w:t>
      </w:r>
      <w:r>
        <w:rPr>
          <w:rFonts w:hint="eastAsia" w:ascii="仿宋" w:hAnsi="仿宋" w:eastAsia="仿宋" w:cs="仿宋"/>
          <w:kern w:val="2"/>
          <w:sz w:val="30"/>
          <w:szCs w:val="30"/>
          <w:lang w:eastAsia="zh-CN" w:bidi="ar-SA"/>
        </w:rPr>
        <w:t>全区受污染耕地治理</w:t>
      </w:r>
      <w:r>
        <w:rPr>
          <w:rFonts w:hint="eastAsia" w:ascii="仿宋" w:hAnsi="仿宋" w:eastAsia="仿宋" w:cs="仿宋"/>
          <w:kern w:val="2"/>
          <w:sz w:val="30"/>
          <w:szCs w:val="30"/>
          <w:lang w:val="en-US" w:eastAsia="zh-CN" w:bidi="ar-SA"/>
        </w:rPr>
        <w:t>的主要目标和重点任务，按逐级分解到相关部门和乡镇政府，</w:t>
      </w:r>
      <w:r>
        <w:rPr>
          <w:rFonts w:hint="eastAsia" w:ascii="仿宋" w:hAnsi="仿宋" w:eastAsia="仿宋" w:cs="仿宋"/>
          <w:kern w:val="2"/>
          <w:sz w:val="30"/>
          <w:szCs w:val="30"/>
          <w:lang w:eastAsia="zh-CN" w:bidi="ar-SA"/>
        </w:rPr>
        <w:t>并</w:t>
      </w:r>
      <w:r>
        <w:rPr>
          <w:rFonts w:hint="eastAsia" w:ascii="仿宋" w:hAnsi="仿宋" w:eastAsia="仿宋" w:cs="仿宋"/>
          <w:kern w:val="2"/>
          <w:sz w:val="30"/>
          <w:szCs w:val="30"/>
          <w:lang w:val="en-US" w:eastAsia="zh-CN" w:bidi="ar-SA"/>
        </w:rPr>
        <w:t>对</w:t>
      </w:r>
      <w:r>
        <w:rPr>
          <w:rFonts w:hint="eastAsia" w:ascii="仿宋" w:hAnsi="仿宋" w:eastAsia="仿宋" w:cs="仿宋"/>
          <w:kern w:val="2"/>
          <w:sz w:val="30"/>
          <w:szCs w:val="30"/>
          <w:lang w:eastAsia="zh-CN" w:bidi="ar-SA"/>
        </w:rPr>
        <w:t>乡镇的完成情况进行</w:t>
      </w:r>
      <w:r>
        <w:rPr>
          <w:rFonts w:hint="eastAsia" w:ascii="仿宋" w:hAnsi="仿宋" w:eastAsia="仿宋" w:cs="仿宋"/>
          <w:kern w:val="2"/>
          <w:sz w:val="30"/>
          <w:szCs w:val="30"/>
          <w:lang w:val="en-US" w:eastAsia="zh-CN" w:bidi="ar-SA"/>
        </w:rPr>
        <w:t>考核，切实推动</w:t>
      </w:r>
      <w:r>
        <w:rPr>
          <w:rFonts w:hint="eastAsia" w:ascii="仿宋" w:hAnsi="仿宋" w:eastAsia="仿宋" w:cs="仿宋"/>
          <w:kern w:val="2"/>
          <w:sz w:val="30"/>
          <w:szCs w:val="30"/>
          <w:lang w:eastAsia="zh-CN" w:bidi="ar-SA"/>
        </w:rPr>
        <w:t>受污染耕地的有效治理</w:t>
      </w:r>
      <w:r>
        <w:rPr>
          <w:rFonts w:hint="eastAsia" w:ascii="仿宋" w:hAnsi="仿宋" w:eastAsia="仿宋" w:cs="仿宋"/>
          <w:kern w:val="2"/>
          <w:sz w:val="30"/>
          <w:szCs w:val="30"/>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（三）</w:t>
      </w:r>
      <w:r>
        <w:rPr>
          <w:rFonts w:hint="eastAsia" w:ascii="仿宋" w:hAnsi="仿宋" w:eastAsia="仿宋" w:cs="仿宋"/>
          <w:b/>
          <w:bCs/>
          <w:sz w:val="30"/>
          <w:szCs w:val="30"/>
        </w:rPr>
        <w:t>预算支出绩效目标完成程度。</w:t>
      </w:r>
    </w:p>
    <w:p>
      <w:pPr>
        <w:keepNext w:val="0"/>
        <w:keepLines w:val="0"/>
        <w:pageBreakBefore w:val="0"/>
        <w:widowControl w:val="0"/>
        <w:kinsoku/>
        <w:wordWrap/>
        <w:overflowPunct/>
        <w:topLinePunct w:val="0"/>
        <w:autoSpaceDE/>
        <w:autoSpaceDN/>
        <w:bidi w:val="0"/>
        <w:adjustRightInd/>
        <w:snapToGrid/>
        <w:spacing w:line="600" w:lineRule="exact"/>
        <w:ind w:lef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完成轻中度受污染耕地安全利用</w:t>
      </w:r>
      <w:r>
        <w:rPr>
          <w:rFonts w:hint="eastAsia" w:ascii="仿宋" w:hAnsi="仿宋" w:eastAsia="仿宋" w:cs="仿宋"/>
          <w:sz w:val="30"/>
          <w:szCs w:val="30"/>
          <w:lang w:eastAsia="zh-CN"/>
        </w:rPr>
        <w:t>治理</w:t>
      </w:r>
      <w:r>
        <w:rPr>
          <w:rFonts w:hint="eastAsia" w:ascii="仿宋" w:hAnsi="仿宋" w:eastAsia="仿宋" w:cs="仿宋"/>
          <w:sz w:val="30"/>
          <w:szCs w:val="30"/>
          <w:lang w:val="en-US" w:eastAsia="zh-CN"/>
        </w:rPr>
        <w:t>30.77万</w:t>
      </w:r>
      <w:r>
        <w:rPr>
          <w:rFonts w:hint="eastAsia" w:ascii="仿宋" w:hAnsi="仿宋" w:eastAsia="仿宋" w:cs="仿宋"/>
          <w:sz w:val="30"/>
          <w:szCs w:val="30"/>
        </w:rPr>
        <w:t>亩</w:t>
      </w:r>
      <w:r>
        <w:rPr>
          <w:rFonts w:hint="eastAsia" w:ascii="仿宋" w:hAnsi="仿宋" w:eastAsia="仿宋" w:cs="仿宋"/>
          <w:sz w:val="30"/>
          <w:szCs w:val="30"/>
          <w:lang w:eastAsia="zh-CN"/>
        </w:rPr>
        <w:t>，严格管控区种植结构调整</w:t>
      </w:r>
      <w:r>
        <w:rPr>
          <w:rFonts w:hint="eastAsia" w:ascii="仿宋" w:hAnsi="仿宋" w:eastAsia="仿宋" w:cs="仿宋"/>
          <w:sz w:val="30"/>
          <w:szCs w:val="30"/>
          <w:lang w:val="en-US" w:eastAsia="zh-CN"/>
        </w:rPr>
        <w:t>1.46万亩。严格管控区特殊农产品划定暂未完成，余30万元未拨付。</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二、绩效评价工作情况</w:t>
      </w:r>
    </w:p>
    <w:p>
      <w:pPr>
        <w:pStyle w:val="2"/>
        <w:keepNext w:val="0"/>
        <w:keepLines w:val="0"/>
        <w:pageBreakBefore w:val="0"/>
        <w:widowControl w:val="0"/>
        <w:kinsoku/>
        <w:wordWrap/>
        <w:overflowPunct/>
        <w:topLinePunct w:val="0"/>
        <w:autoSpaceDE/>
        <w:autoSpaceDN/>
        <w:bidi w:val="0"/>
        <w:adjustRightInd/>
        <w:snapToGrid/>
        <w:spacing w:after="0"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kern w:val="2"/>
          <w:sz w:val="30"/>
          <w:szCs w:val="30"/>
          <w:lang w:eastAsia="zh-CN" w:bidi="ar-SA"/>
        </w:rPr>
        <w:t xml:space="preserve"> 根据上级要求，定期报送项目实施、运行及资金使用情况，及时报送绩效自评相关材料。</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三、</w:t>
      </w:r>
      <w:r>
        <w:rPr>
          <w:rFonts w:hint="eastAsia" w:ascii="黑体" w:hAnsi="黑体" w:eastAsia="黑体" w:cs="黑体"/>
          <w:sz w:val="30"/>
          <w:szCs w:val="30"/>
        </w:rPr>
        <w:t>预算支出主要绩效及评价结论</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安全利用区完成石灰撒施面积3.05万亩；推广种植低镉水稻品种湘早籼45号、湘晚籼12号、农香42、黄华占等29.12万亩；叶面阻控剂无人机喷施24.46万亩。严格管控区产业结构调整1.46万亩。</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四、绩效评价指标分析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val="en-US" w:eastAsia="zh-CN"/>
        </w:rPr>
        <w:t>（一）</w:t>
      </w:r>
      <w:r>
        <w:rPr>
          <w:rFonts w:hint="eastAsia" w:ascii="仿宋" w:hAnsi="仿宋" w:eastAsia="仿宋" w:cs="仿宋"/>
          <w:b/>
          <w:bCs/>
          <w:sz w:val="30"/>
          <w:szCs w:val="30"/>
        </w:rPr>
        <w:t>预算支出产出情况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leftChars="0" w:firstLine="600" w:firstLineChars="200"/>
        <w:textAlignment w:val="auto"/>
        <w:rPr>
          <w:rFonts w:hint="eastAsia" w:ascii="仿宋" w:hAnsi="仿宋" w:eastAsia="仿宋" w:cs="仿宋"/>
          <w:kern w:val="2"/>
          <w:sz w:val="30"/>
          <w:szCs w:val="30"/>
          <w:lang w:val="en-US" w:eastAsia="zh-CN" w:bidi="ar-SA"/>
        </w:rPr>
      </w:pPr>
      <w:r>
        <w:rPr>
          <w:rFonts w:hint="eastAsia" w:ascii="仿宋" w:hAnsi="仿宋" w:eastAsia="仿宋" w:cs="仿宋"/>
          <w:kern w:val="2"/>
          <w:sz w:val="30"/>
          <w:szCs w:val="30"/>
          <w:lang w:val="en-US" w:eastAsia="zh-CN" w:bidi="ar-SA"/>
        </w:rPr>
        <w:t>2021年度共完成安全利用区治理面积30.77万亩，严格管控区结构调整面积1.46万亩，安全利用率96%。安全利用区治理支出：撒施石灰184万元，叶面阻镉剂348.6万元。严格管控区种植结构调整199.4万元。水稻降镉试验示范50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预算支出效益情况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2021年度受污染耕地安全利用率为91%，农民土壤环境保护意识提高，农业生产环境有所改善。</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五、主要经验及做法、存在的问题及原因分析</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textAlignment w:val="auto"/>
        <w:rPr>
          <w:rFonts w:hint="eastAsia" w:ascii="仿宋" w:hAnsi="仿宋" w:eastAsia="仿宋" w:cs="仿宋"/>
          <w:sz w:val="30"/>
          <w:szCs w:val="30"/>
        </w:rPr>
      </w:pPr>
      <w:r>
        <w:rPr>
          <w:rFonts w:hint="eastAsia" w:ascii="仿宋" w:hAnsi="仿宋" w:eastAsia="仿宋" w:cs="仿宋"/>
          <w:kern w:val="2"/>
          <w:sz w:val="30"/>
          <w:szCs w:val="30"/>
          <w:lang w:val="en-US" w:eastAsia="zh-CN" w:bidi="ar-SA"/>
        </w:rPr>
        <w:t>项目实施过程建严格台账管理，</w:t>
      </w:r>
      <w:r>
        <w:rPr>
          <w:rFonts w:hint="eastAsia" w:ascii="仿宋" w:hAnsi="仿宋" w:eastAsia="仿宋" w:cs="仿宋"/>
          <w:kern w:val="2"/>
          <w:sz w:val="30"/>
          <w:szCs w:val="30"/>
          <w:lang w:eastAsia="zh-CN" w:bidi="ar-SA"/>
        </w:rPr>
        <w:t>入户调查</w:t>
      </w:r>
      <w:r>
        <w:rPr>
          <w:rFonts w:hint="eastAsia" w:ascii="仿宋" w:hAnsi="仿宋" w:eastAsia="仿宋" w:cs="仿宋"/>
          <w:kern w:val="2"/>
          <w:sz w:val="30"/>
          <w:szCs w:val="30"/>
          <w:lang w:val="en-US" w:eastAsia="zh-CN" w:bidi="ar-SA"/>
        </w:rPr>
        <w:t>、</w:t>
      </w:r>
      <w:r>
        <w:rPr>
          <w:rFonts w:hint="eastAsia" w:ascii="仿宋" w:hAnsi="仿宋" w:eastAsia="仿宋" w:cs="仿宋"/>
          <w:kern w:val="2"/>
          <w:sz w:val="30"/>
          <w:szCs w:val="30"/>
          <w:lang w:eastAsia="zh-CN" w:bidi="ar-SA"/>
        </w:rPr>
        <w:t>严格管控区稻谷溯源情况，“六项”农艺措施实施明细等</w:t>
      </w:r>
      <w:r>
        <w:rPr>
          <w:rFonts w:hint="eastAsia" w:ascii="仿宋" w:hAnsi="仿宋" w:eastAsia="仿宋" w:cs="仿宋"/>
          <w:kern w:val="2"/>
          <w:sz w:val="30"/>
          <w:szCs w:val="30"/>
          <w:lang w:val="en-US" w:eastAsia="zh-CN" w:bidi="ar-SA"/>
        </w:rPr>
        <w:t>，均建立了详细台账。建立了项目的绩效考核制度，将</w:t>
      </w:r>
      <w:r>
        <w:rPr>
          <w:rFonts w:hint="eastAsia" w:ascii="仿宋" w:hAnsi="仿宋" w:eastAsia="仿宋" w:cs="仿宋"/>
          <w:kern w:val="2"/>
          <w:sz w:val="30"/>
          <w:szCs w:val="30"/>
          <w:lang w:eastAsia="zh-CN" w:bidi="ar-SA"/>
        </w:rPr>
        <w:t>全区受污染耕地治理</w:t>
      </w:r>
      <w:r>
        <w:rPr>
          <w:rFonts w:hint="eastAsia" w:ascii="仿宋" w:hAnsi="仿宋" w:eastAsia="仿宋" w:cs="仿宋"/>
          <w:kern w:val="2"/>
          <w:sz w:val="30"/>
          <w:szCs w:val="30"/>
          <w:lang w:val="en-US" w:eastAsia="zh-CN" w:bidi="ar-SA"/>
        </w:rPr>
        <w:t>的主要目标和重点任务，按逐级分解到相关部门和乡镇政府，</w:t>
      </w:r>
      <w:r>
        <w:rPr>
          <w:rFonts w:hint="eastAsia" w:ascii="仿宋" w:hAnsi="仿宋" w:eastAsia="仿宋" w:cs="仿宋"/>
          <w:kern w:val="2"/>
          <w:sz w:val="30"/>
          <w:szCs w:val="30"/>
          <w:lang w:eastAsia="zh-CN" w:bidi="ar-SA"/>
        </w:rPr>
        <w:t>并</w:t>
      </w:r>
      <w:r>
        <w:rPr>
          <w:rFonts w:hint="eastAsia" w:ascii="仿宋" w:hAnsi="仿宋" w:eastAsia="仿宋" w:cs="仿宋"/>
          <w:kern w:val="2"/>
          <w:sz w:val="30"/>
          <w:szCs w:val="30"/>
          <w:lang w:val="en-US" w:eastAsia="zh-CN" w:bidi="ar-SA"/>
        </w:rPr>
        <w:t>对</w:t>
      </w:r>
      <w:r>
        <w:rPr>
          <w:rFonts w:hint="eastAsia" w:ascii="仿宋" w:hAnsi="仿宋" w:eastAsia="仿宋" w:cs="仿宋"/>
          <w:kern w:val="2"/>
          <w:sz w:val="30"/>
          <w:szCs w:val="30"/>
          <w:lang w:eastAsia="zh-CN" w:bidi="ar-SA"/>
        </w:rPr>
        <w:t>乡镇的完成情况进行</w:t>
      </w:r>
      <w:r>
        <w:rPr>
          <w:rFonts w:hint="eastAsia" w:ascii="仿宋" w:hAnsi="仿宋" w:eastAsia="仿宋" w:cs="仿宋"/>
          <w:kern w:val="2"/>
          <w:sz w:val="30"/>
          <w:szCs w:val="30"/>
          <w:lang w:val="en-US" w:eastAsia="zh-CN" w:bidi="ar-SA"/>
        </w:rPr>
        <w:t>考核，切实推动</w:t>
      </w:r>
      <w:r>
        <w:rPr>
          <w:rFonts w:hint="eastAsia" w:ascii="仿宋" w:hAnsi="仿宋" w:eastAsia="仿宋" w:cs="仿宋"/>
          <w:kern w:val="2"/>
          <w:sz w:val="30"/>
          <w:szCs w:val="30"/>
          <w:lang w:eastAsia="zh-CN" w:bidi="ar-SA"/>
        </w:rPr>
        <w:t>受污染耕地的有效治理</w:t>
      </w:r>
      <w:r>
        <w:rPr>
          <w:rFonts w:hint="eastAsia" w:ascii="仿宋" w:hAnsi="仿宋" w:eastAsia="仿宋" w:cs="仿宋"/>
          <w:kern w:val="2"/>
          <w:sz w:val="30"/>
          <w:szCs w:val="30"/>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contextualSpacing/>
        <w:textAlignment w:val="auto"/>
        <w:rPr>
          <w:rFonts w:hint="eastAsia" w:ascii="仿宋" w:hAnsi="仿宋" w:eastAsia="仿宋" w:cs="仿宋"/>
          <w:kern w:val="2"/>
          <w:sz w:val="30"/>
          <w:szCs w:val="30"/>
          <w:lang w:val="en-US" w:eastAsia="zh-CN" w:bidi="ar-SA"/>
        </w:rPr>
      </w:pPr>
      <w:r>
        <w:rPr>
          <w:rFonts w:hint="eastAsia" w:ascii="仿宋" w:hAnsi="仿宋" w:eastAsia="仿宋" w:cs="仿宋"/>
          <w:b/>
          <w:bCs/>
          <w:kern w:val="2"/>
          <w:sz w:val="30"/>
          <w:szCs w:val="30"/>
          <w:lang w:val="en-US" w:eastAsia="zh-CN" w:bidi="ar-SA"/>
        </w:rPr>
        <w:t>1.领导高度重视。</w:t>
      </w:r>
      <w:r>
        <w:rPr>
          <w:rFonts w:hint="eastAsia" w:ascii="仿宋" w:hAnsi="仿宋" w:eastAsia="仿宋" w:cs="仿宋"/>
          <w:kern w:val="2"/>
          <w:sz w:val="30"/>
          <w:szCs w:val="30"/>
          <w:lang w:val="en-US" w:eastAsia="zh-CN" w:bidi="ar-SA"/>
        </w:rPr>
        <w:t>我区召开了多次耕地安全利用区级调度会议及区委、政府常务会议，专题研究该项工作，并形成了会议纪要。局党组在局党组书记何建华、局长蔡丽环的带领下多次召开会议研究该项工作，从资金筹措，措施落实，样品监测等方面亲自调度，亲自安排。</w:t>
      </w:r>
    </w:p>
    <w:p>
      <w:pPr>
        <w:keepNext w:val="0"/>
        <w:keepLines w:val="0"/>
        <w:pageBreakBefore w:val="0"/>
        <w:widowControl w:val="0"/>
        <w:kinsoku/>
        <w:wordWrap/>
        <w:overflowPunct/>
        <w:topLinePunct w:val="0"/>
        <w:autoSpaceDE/>
        <w:autoSpaceDN/>
        <w:bidi w:val="0"/>
        <w:adjustRightInd/>
        <w:snapToGrid/>
        <w:spacing w:line="600" w:lineRule="exact"/>
        <w:ind w:firstLine="602" w:firstLineChars="200"/>
        <w:contextualSpacing/>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bCs/>
          <w:kern w:val="2"/>
          <w:sz w:val="30"/>
          <w:szCs w:val="30"/>
          <w:lang w:val="en-US" w:eastAsia="zh-CN" w:bidi="ar-SA"/>
        </w:rPr>
        <w:t>2.调动了农民积极性。</w:t>
      </w:r>
      <w:r>
        <w:rPr>
          <w:rFonts w:hint="eastAsia" w:ascii="仿宋" w:hAnsi="仿宋" w:eastAsia="仿宋" w:cs="仿宋"/>
          <w:b w:val="0"/>
          <w:bCs w:val="0"/>
          <w:kern w:val="2"/>
          <w:sz w:val="30"/>
          <w:szCs w:val="30"/>
          <w:lang w:val="en-US" w:eastAsia="zh-CN" w:bidi="ar-SA"/>
        </w:rPr>
        <w:t>在工作中我们以街道办事处、村组农户为主体，从撒施生石灰、稻草移除、淹水灌溉等鼓励农民亲自治理、充分调动了农民开展该项工作的积极性。并印发了技术资料，组织搞好了相关技术培训，并分时段、分品种全面落实农艺措施。</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contextualSpacing/>
        <w:textAlignment w:val="auto"/>
        <w:rPr>
          <w:rFonts w:hint="eastAsia" w:ascii="仿宋" w:hAnsi="仿宋" w:eastAsia="仿宋" w:cs="仿宋"/>
          <w:b w:val="0"/>
          <w:bCs w:val="0"/>
          <w:kern w:val="2"/>
          <w:sz w:val="30"/>
          <w:szCs w:val="30"/>
          <w:lang w:val="en-US" w:eastAsia="zh-CN" w:bidi="ar-SA"/>
        </w:rPr>
      </w:pPr>
      <w:r>
        <w:rPr>
          <w:rFonts w:hint="eastAsia" w:ascii="仿宋" w:hAnsi="仿宋" w:eastAsia="仿宋" w:cs="仿宋"/>
          <w:b w:val="0"/>
          <w:bCs w:val="0"/>
          <w:kern w:val="2"/>
          <w:sz w:val="30"/>
          <w:szCs w:val="30"/>
          <w:lang w:val="en-US" w:eastAsia="zh-CN" w:bidi="ar-SA"/>
        </w:rPr>
        <w:t xml:space="preserve"> </w:t>
      </w:r>
      <w:r>
        <w:rPr>
          <w:rFonts w:hint="eastAsia" w:ascii="仿宋" w:hAnsi="仿宋" w:eastAsia="仿宋" w:cs="仿宋"/>
          <w:b/>
          <w:bCs/>
          <w:kern w:val="2"/>
          <w:sz w:val="30"/>
          <w:szCs w:val="30"/>
          <w:lang w:val="en-US" w:eastAsia="zh-CN" w:bidi="ar-SA"/>
        </w:rPr>
        <w:t>3.开展了试验示范。</w:t>
      </w:r>
      <w:r>
        <w:rPr>
          <w:rFonts w:hint="eastAsia" w:ascii="仿宋" w:hAnsi="仿宋" w:eastAsia="仿宋" w:cs="仿宋"/>
          <w:b w:val="0"/>
          <w:bCs w:val="0"/>
          <w:kern w:val="2"/>
          <w:sz w:val="30"/>
          <w:szCs w:val="30"/>
          <w:lang w:val="en-US" w:eastAsia="zh-CN" w:bidi="ar-SA"/>
        </w:rPr>
        <w:t>我们在集中推进区进行了低镉品种筛选对照试验、施生石灰对照试验、土壤改良剂的施用对照试验；进行了叶面阻控剂、土壤深翻耕、增施有机肥、秸秆还田等对照试验，从生产中逐步摸索适合我市做好受污染安全利用的技术模式。</w:t>
      </w:r>
    </w:p>
    <w:p>
      <w:pPr>
        <w:keepNext w:val="0"/>
        <w:keepLines w:val="0"/>
        <w:pageBreakBefore w:val="0"/>
        <w:widowControl w:val="0"/>
        <w:kinsoku/>
        <w:wordWrap/>
        <w:overflowPunct/>
        <w:topLinePunct w:val="0"/>
        <w:autoSpaceDE/>
        <w:autoSpaceDN/>
        <w:bidi w:val="0"/>
        <w:adjustRightInd/>
        <w:snapToGrid/>
        <w:spacing w:line="600" w:lineRule="exact"/>
        <w:contextualSpacing/>
        <w:textAlignment w:val="auto"/>
        <w:rPr>
          <w:rFonts w:hint="eastAsia" w:ascii="仿宋" w:hAnsi="仿宋" w:eastAsia="仿宋" w:cs="仿宋"/>
          <w:b w:val="0"/>
          <w:bCs w:val="0"/>
          <w:kern w:val="2"/>
          <w:sz w:val="30"/>
          <w:szCs w:val="30"/>
          <w:lang w:val="en-US" w:eastAsia="zh-CN" w:bidi="ar-SA"/>
        </w:rPr>
      </w:pPr>
      <w:bookmarkStart w:id="1" w:name="_GoBack"/>
      <w:bookmarkEnd w:id="1"/>
      <w:r>
        <w:rPr>
          <w:rFonts w:hint="eastAsia" w:ascii="仿宋" w:hAnsi="仿宋" w:eastAsia="仿宋" w:cs="仿宋"/>
          <w:b w:val="0"/>
          <w:bCs w:val="0"/>
          <w:kern w:val="2"/>
          <w:sz w:val="30"/>
          <w:szCs w:val="30"/>
          <w:lang w:val="en-US" w:eastAsia="zh-CN" w:bidi="ar-SA"/>
        </w:rPr>
        <w:t>附件：2021年度项目支出绩效自评指标计分表</w:t>
      </w:r>
    </w:p>
    <w:p>
      <w:pPr>
        <w:spacing w:afterLines="50" w:line="400" w:lineRule="exact"/>
        <w:jc w:val="center"/>
        <w:rPr>
          <w:rFonts w:hint="eastAsia" w:ascii="方正小标宋简体" w:eastAsia="方正小标宋简体" w:cs="方正小标宋_GBK"/>
          <w:b/>
          <w:bCs/>
          <w:sz w:val="36"/>
          <w:szCs w:val="36"/>
          <w:lang w:val="en-US" w:eastAsia="zh-CN"/>
        </w:rPr>
      </w:pPr>
    </w:p>
    <w:p>
      <w:pPr>
        <w:spacing w:afterLines="50" w:line="400" w:lineRule="exact"/>
        <w:jc w:val="center"/>
        <w:rPr>
          <w:rFonts w:hint="eastAsia" w:ascii="方正小标宋简体" w:eastAsia="方正小标宋简体" w:cs="方正小标宋_GBK"/>
          <w:sz w:val="36"/>
          <w:szCs w:val="36"/>
        </w:rPr>
      </w:pPr>
    </w:p>
    <w:p>
      <w:pPr>
        <w:spacing w:afterLines="50" w:line="400" w:lineRule="exact"/>
        <w:jc w:val="center"/>
        <w:rPr>
          <w:rFonts w:hint="eastAsia" w:ascii="方正小标宋简体" w:eastAsia="方正小标宋简体" w:cs="方正小标宋_GBK"/>
          <w:sz w:val="36"/>
          <w:szCs w:val="36"/>
        </w:rPr>
      </w:pPr>
    </w:p>
    <w:p>
      <w:pPr>
        <w:pStyle w:val="2"/>
        <w:rPr>
          <w:rFonts w:hint="eastAsia" w:ascii="方正小标宋简体" w:eastAsia="方正小标宋简体" w:cs="方正小标宋_GBK"/>
          <w:sz w:val="36"/>
          <w:szCs w:val="36"/>
        </w:rPr>
      </w:pPr>
    </w:p>
    <w:p>
      <w:pPr>
        <w:pStyle w:val="2"/>
        <w:rPr>
          <w:rFonts w:hint="eastAsia" w:ascii="方正小标宋简体" w:eastAsia="方正小标宋简体" w:cs="方正小标宋_GBK"/>
          <w:sz w:val="36"/>
          <w:szCs w:val="36"/>
        </w:rPr>
      </w:pPr>
    </w:p>
    <w:p>
      <w:pPr>
        <w:spacing w:afterLines="50" w:line="400" w:lineRule="exact"/>
        <w:jc w:val="both"/>
        <w:rPr>
          <w:rFonts w:hint="eastAsia" w:ascii="方正小标宋简体" w:eastAsia="方正小标宋简体" w:cs="方正小标宋_GBK"/>
          <w:sz w:val="36"/>
          <w:szCs w:val="36"/>
        </w:rPr>
      </w:pPr>
    </w:p>
    <w:p>
      <w:pPr>
        <w:spacing w:afterLines="50" w:line="400" w:lineRule="exact"/>
        <w:jc w:val="center"/>
        <w:rPr>
          <w:rFonts w:ascii="方正小标宋简体" w:eastAsia="方正小标宋简体" w:cs="方正小标宋_GBK"/>
          <w:sz w:val="36"/>
          <w:szCs w:val="36"/>
        </w:rPr>
      </w:pPr>
      <w:r>
        <w:rPr>
          <w:rFonts w:hint="eastAsia" w:ascii="方正小标宋简体" w:eastAsia="方正小标宋简体" w:cs="方正小标宋_GBK"/>
          <w:sz w:val="36"/>
          <w:szCs w:val="36"/>
        </w:rPr>
        <w:t>2021年度项目支出绩效自评指标计分表</w:t>
      </w:r>
    </w:p>
    <w:tbl>
      <w:tblPr>
        <w:tblStyle w:val="3"/>
        <w:tblW w:w="91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3"/>
        <w:gridCol w:w="454"/>
        <w:gridCol w:w="834"/>
        <w:gridCol w:w="540"/>
        <w:gridCol w:w="2625"/>
        <w:gridCol w:w="4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543"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45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83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540" w:type="dxa"/>
          </w:tcPr>
          <w:p>
            <w:pPr>
              <w:spacing w:line="240" w:lineRule="exact"/>
              <w:jc w:val="center"/>
              <w:rPr>
                <w:rFonts w:ascii="宋体"/>
                <w:b/>
                <w:bCs/>
              </w:rPr>
            </w:pPr>
            <w:r>
              <w:rPr>
                <w:rFonts w:hint="eastAsia" w:ascii="宋体" w:hAnsi="宋体" w:cs="宋体"/>
                <w:b/>
                <w:bCs/>
              </w:rPr>
              <w:t>自评分</w:t>
            </w:r>
          </w:p>
        </w:tc>
        <w:tc>
          <w:tcPr>
            <w:tcW w:w="2625"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4194" w:type="dxa"/>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43" w:type="dxa"/>
            <w:vMerge w:val="continue"/>
            <w:vAlign w:val="center"/>
          </w:tcPr>
          <w:p>
            <w:pPr>
              <w:spacing w:line="240" w:lineRule="exact"/>
              <w:rPr>
                <w:rFonts w:ascii="宋体"/>
              </w:rPr>
            </w:pPr>
          </w:p>
        </w:tc>
        <w:tc>
          <w:tcPr>
            <w:tcW w:w="454" w:type="dxa"/>
            <w:vMerge w:val="restart"/>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4194" w:type="dxa"/>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3</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43" w:type="dxa"/>
            <w:vMerge w:val="restart"/>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543" w:type="dxa"/>
            <w:vMerge w:val="continue"/>
            <w:vAlign w:val="center"/>
          </w:tcPr>
          <w:p>
            <w:pPr>
              <w:spacing w:line="240" w:lineRule="exact"/>
              <w:jc w:val="center"/>
              <w:rPr>
                <w:rFonts w:ascii="宋体"/>
              </w:rPr>
            </w:pPr>
          </w:p>
        </w:tc>
        <w:tc>
          <w:tcPr>
            <w:tcW w:w="454" w:type="dxa"/>
            <w:vMerge w:val="continue"/>
            <w:tcMar>
              <w:top w:w="10" w:type="dxa"/>
              <w:left w:w="10" w:type="dxa"/>
              <w:bottom w:w="0" w:type="dxa"/>
              <w:right w:w="10" w:type="dxa"/>
            </w:tcMar>
            <w:vAlign w:val="center"/>
          </w:tcPr>
          <w:p>
            <w:pPr>
              <w:spacing w:line="240" w:lineRule="exact"/>
              <w:jc w:val="center"/>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Theme="minorEastAsia"/>
                <w:lang w:val="en-US" w:eastAsia="zh-CN"/>
              </w:rPr>
            </w:pPr>
            <w:r>
              <w:rPr>
                <w:rFonts w:hint="eastAsia" w:ascii="宋体"/>
                <w:lang w:val="en-US" w:eastAsia="zh-CN"/>
              </w:rPr>
              <w:t>3.85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jc w:val="center"/>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540" w:type="dxa"/>
            <w:vAlign w:val="center"/>
          </w:tcPr>
          <w:p>
            <w:pPr>
              <w:spacing w:line="240" w:lineRule="exact"/>
              <w:ind w:left="105" w:leftChars="50" w:right="105" w:rightChars="50"/>
              <w:jc w:val="center"/>
              <w:rPr>
                <w:rFonts w:hint="eastAsia" w:ascii="宋体" w:eastAsiaTheme="minorEastAsia"/>
                <w:lang w:val="en-US" w:eastAsia="zh-CN"/>
              </w:rPr>
            </w:pPr>
            <w:r>
              <w:rPr>
                <w:rFonts w:hint="eastAsia" w:ascii="宋体"/>
                <w:lang w:val="en-US" w:eastAsia="zh-CN"/>
              </w:rPr>
              <w:t>4</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Theme="minorEastAsia"/>
                <w:lang w:val="en-US" w:eastAsia="zh-CN"/>
              </w:rPr>
            </w:pPr>
            <w:r>
              <w:rPr>
                <w:rFonts w:hint="eastAsia" w:ascii="宋体"/>
                <w:lang w:val="en-US" w:eastAsia="zh-CN"/>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543" w:type="dxa"/>
            <w:vMerge w:val="continue"/>
            <w:tcMar>
              <w:top w:w="10" w:type="dxa"/>
              <w:left w:w="10" w:type="dxa"/>
              <w:bottom w:w="0" w:type="dxa"/>
              <w:right w:w="10" w:type="dxa"/>
            </w:tcMar>
            <w:textDirection w:val="tbRlV"/>
            <w:vAlign w:val="center"/>
          </w:tcPr>
          <w:p>
            <w:pPr>
              <w:spacing w:line="240" w:lineRule="exact"/>
              <w:jc w:val="center"/>
              <w:rPr>
                <w:rFonts w:ascii="宋体"/>
              </w:rPr>
            </w:pPr>
          </w:p>
        </w:tc>
        <w:tc>
          <w:tcPr>
            <w:tcW w:w="454" w:type="dxa"/>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Theme="minorEastAsia"/>
                <w:lang w:val="en-US" w:eastAsia="zh-CN"/>
              </w:rPr>
            </w:pPr>
            <w:r>
              <w:rPr>
                <w:rFonts w:hint="eastAsia" w:ascii="宋体"/>
                <w:lang w:val="en-US" w:eastAsia="zh-CN"/>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543" w:type="dxa"/>
            <w:vMerge w:val="restart"/>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Theme="minorEastAsia"/>
                <w:lang w:val="en-US" w:eastAsia="zh-CN"/>
              </w:rPr>
            </w:pPr>
            <w:r>
              <w:rPr>
                <w:rFonts w:hint="eastAsia" w:ascii="宋体"/>
                <w:lang w:val="en-US" w:eastAsia="zh-CN"/>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ind w:left="113"/>
              <w:rPr>
                <w:rFonts w:ascii="宋体"/>
              </w:rPr>
            </w:pPr>
          </w:p>
        </w:tc>
        <w:tc>
          <w:tcPr>
            <w:tcW w:w="454" w:type="dxa"/>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Theme="minorEastAsia"/>
                <w:lang w:val="en-US" w:eastAsia="zh-CN"/>
              </w:rPr>
            </w:pPr>
            <w:r>
              <w:rPr>
                <w:rFonts w:hint="eastAsia" w:ascii="宋体"/>
                <w:lang w:val="en-US" w:eastAsia="zh-CN"/>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restart"/>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454" w:type="dxa"/>
            <w:vMerge w:val="restart"/>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540" w:type="dxa"/>
            <w:vAlign w:val="center"/>
          </w:tcPr>
          <w:p>
            <w:pPr>
              <w:spacing w:line="240" w:lineRule="exact"/>
              <w:ind w:left="105" w:leftChars="50" w:right="105" w:rightChars="50"/>
              <w:jc w:val="center"/>
              <w:rPr>
                <w:rFonts w:hint="default" w:ascii="宋体" w:eastAsiaTheme="minorEastAsia"/>
                <w:lang w:val="en-US" w:eastAsia="zh-CN"/>
              </w:rPr>
            </w:pPr>
            <w:r>
              <w:rPr>
                <w:rFonts w:hint="eastAsia" w:ascii="宋体"/>
                <w:lang w:val="en-US" w:eastAsia="zh-CN"/>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Merge w:val="continue"/>
            <w:vAlign w:val="center"/>
          </w:tcPr>
          <w:p>
            <w:pPr>
              <w:spacing w:line="240" w:lineRule="exact"/>
              <w:rPr>
                <w:rFonts w:ascii="宋体"/>
              </w:rPr>
            </w:pPr>
          </w:p>
        </w:tc>
        <w:tc>
          <w:tcPr>
            <w:tcW w:w="454" w:type="dxa"/>
            <w:vMerge w:val="continue"/>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540" w:type="dxa"/>
            <w:vAlign w:val="center"/>
          </w:tcPr>
          <w:p>
            <w:pPr>
              <w:spacing w:line="240" w:lineRule="exact"/>
              <w:ind w:left="105" w:leftChars="50" w:right="105" w:rightChars="50"/>
              <w:jc w:val="center"/>
              <w:rPr>
                <w:rFonts w:hint="default" w:ascii="宋体" w:eastAsiaTheme="minorEastAsia"/>
                <w:lang w:val="en-US" w:eastAsia="zh-CN"/>
              </w:rPr>
            </w:pPr>
            <w:r>
              <w:rPr>
                <w:rFonts w:hint="eastAsia" w:ascii="宋体"/>
                <w:lang w:val="en-US" w:eastAsia="zh-CN"/>
              </w:rPr>
              <w:t>10</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543" w:type="dxa"/>
            <w:vAlign w:val="center"/>
          </w:tcPr>
          <w:p>
            <w:pPr>
              <w:spacing w:line="240" w:lineRule="exact"/>
              <w:rPr>
                <w:rFonts w:ascii="宋体"/>
              </w:rPr>
            </w:pPr>
            <w:r>
              <w:rPr>
                <w:rFonts w:hint="eastAsia" w:ascii="宋体" w:hAnsi="宋体" w:cs="宋体"/>
              </w:rPr>
              <w:t>总分</w:t>
            </w:r>
          </w:p>
        </w:tc>
        <w:tc>
          <w:tcPr>
            <w:tcW w:w="454" w:type="dxa"/>
            <w:vAlign w:val="center"/>
          </w:tcPr>
          <w:p>
            <w:pPr>
              <w:spacing w:line="240" w:lineRule="exact"/>
              <w:rPr>
                <w:rFonts w:ascii="宋体"/>
              </w:rPr>
            </w:pPr>
          </w:p>
        </w:tc>
        <w:tc>
          <w:tcPr>
            <w:tcW w:w="834" w:type="dxa"/>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540" w:type="dxa"/>
            <w:vAlign w:val="center"/>
          </w:tcPr>
          <w:p>
            <w:pPr>
              <w:spacing w:line="240" w:lineRule="exact"/>
              <w:ind w:left="105" w:leftChars="50" w:right="105" w:rightChars="50"/>
              <w:jc w:val="center"/>
              <w:rPr>
                <w:rFonts w:hint="default" w:ascii="宋体" w:eastAsiaTheme="minorEastAsia"/>
                <w:lang w:val="en-US" w:eastAsia="zh-CN"/>
              </w:rPr>
            </w:pPr>
            <w:r>
              <w:rPr>
                <w:rFonts w:hint="eastAsia" w:ascii="宋体"/>
                <w:lang w:val="en-US" w:eastAsia="zh-CN"/>
              </w:rPr>
              <w:t>99.85</w:t>
            </w:r>
          </w:p>
        </w:tc>
        <w:tc>
          <w:tcPr>
            <w:tcW w:w="2625" w:type="dxa"/>
            <w:tcMar>
              <w:top w:w="10" w:type="dxa"/>
              <w:left w:w="10" w:type="dxa"/>
              <w:bottom w:w="0" w:type="dxa"/>
              <w:right w:w="10" w:type="dxa"/>
            </w:tcMar>
            <w:vAlign w:val="center"/>
          </w:tcPr>
          <w:p>
            <w:pPr>
              <w:spacing w:line="240" w:lineRule="exact"/>
              <w:ind w:left="105" w:leftChars="50" w:right="105" w:rightChars="50"/>
              <w:rPr>
                <w:rFonts w:ascii="宋体"/>
              </w:rPr>
            </w:pPr>
          </w:p>
        </w:tc>
        <w:tc>
          <w:tcPr>
            <w:tcW w:w="4194" w:type="dxa"/>
            <w:tcMar>
              <w:top w:w="10" w:type="dxa"/>
              <w:left w:w="10" w:type="dxa"/>
              <w:bottom w:w="0" w:type="dxa"/>
              <w:right w:w="10" w:type="dxa"/>
            </w:tcMar>
            <w:vAlign w:val="center"/>
          </w:tcPr>
          <w:p>
            <w:pPr>
              <w:spacing w:line="240" w:lineRule="exact"/>
              <w:ind w:left="105" w:leftChars="50" w:right="105" w:rightChars="50"/>
              <w:rPr>
                <w:rFonts w:ascii="宋体"/>
              </w:rPr>
            </w:pPr>
          </w:p>
        </w:tc>
      </w:tr>
    </w:tbl>
    <w:p>
      <w:pPr>
        <w:spacing w:line="480" w:lineRule="exact"/>
        <w:ind w:firstLine="640" w:firstLineChars="200"/>
        <w:rPr>
          <w:rFonts w:hint="eastAsia" w:eastAsia="黑体" w:cs="黑体"/>
          <w:sz w:val="32"/>
          <w:szCs w:val="32"/>
        </w:rPr>
      </w:pPr>
    </w:p>
    <w:p>
      <w:pPr>
        <w:spacing w:line="560" w:lineRule="exact"/>
        <w:ind w:firstLine="4800" w:firstLineChars="1500"/>
        <w:rPr>
          <w:rFonts w:ascii="仿宋" w:hAnsi="仿宋" w:eastAsia="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58501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2023-06-18T05:13:41Z</dcterms:created>
  <dc:creator>admin-3</dc:creator>
  <cp:lastModifiedBy>admin-3</cp:lastModifiedBy>
  <dcterms:modified xsi:type="dcterms:W3CDTF">2023-06-18T05:14:39Z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8436A59CD14B4BE491F2407535840443_12</vt:lpwstr>
  </property>
</Properties>
</file>