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atLeast"/>
        <w:ind w:firstLine="560"/>
        <w:jc w:val="center"/>
        <w:rPr>
          <w:rFonts w:hint="eastAsia" w:ascii="黑体" w:hAnsi="黑体" w:eastAsia="黑体" w:cs="黑体"/>
          <w:b/>
          <w:color w:val="333333"/>
          <w:kern w:val="0"/>
          <w:sz w:val="36"/>
          <w:szCs w:val="36"/>
          <w:lang w:val="en-US" w:eastAsia="zh-CN"/>
        </w:rPr>
      </w:pPr>
      <w:r>
        <w:rPr>
          <w:rFonts w:hint="eastAsia" w:ascii="黑体" w:hAnsi="黑体" w:eastAsia="黑体" w:cs="黑体"/>
          <w:b/>
          <w:color w:val="333333"/>
          <w:kern w:val="0"/>
          <w:sz w:val="36"/>
          <w:szCs w:val="36"/>
          <w:lang w:val="en-US" w:eastAsia="zh-CN"/>
        </w:rPr>
        <w:t>益阳市</w:t>
      </w:r>
      <w:r>
        <w:rPr>
          <w:rFonts w:hint="eastAsia" w:ascii="黑体" w:hAnsi="黑体" w:eastAsia="黑体" w:cs="黑体"/>
          <w:b/>
          <w:color w:val="333333"/>
          <w:kern w:val="0"/>
          <w:sz w:val="36"/>
          <w:szCs w:val="36"/>
        </w:rPr>
        <w:t>赫山区2021年早稻集中育秧</w:t>
      </w:r>
      <w:r>
        <w:rPr>
          <w:rFonts w:hint="eastAsia" w:ascii="黑体" w:hAnsi="黑体" w:eastAsia="黑体" w:cs="黑体"/>
          <w:b/>
          <w:color w:val="333333"/>
          <w:kern w:val="0"/>
          <w:sz w:val="36"/>
          <w:szCs w:val="36"/>
          <w:lang w:val="en-US" w:eastAsia="zh-CN"/>
        </w:rPr>
        <w:t>项目支出</w:t>
      </w:r>
    </w:p>
    <w:p>
      <w:pPr>
        <w:widowControl/>
        <w:shd w:val="clear" w:color="auto" w:fill="FFFFFF"/>
        <w:spacing w:line="520" w:lineRule="atLeast"/>
        <w:ind w:firstLine="560"/>
        <w:jc w:val="center"/>
        <w:rPr>
          <w:rFonts w:cs="宋体" w:asciiTheme="majorEastAsia" w:hAnsiTheme="majorEastAsia" w:eastAsiaTheme="majorEastAsia"/>
          <w:b/>
          <w:color w:val="333333"/>
          <w:kern w:val="0"/>
          <w:sz w:val="28"/>
          <w:szCs w:val="28"/>
        </w:rPr>
      </w:pPr>
      <w:r>
        <w:rPr>
          <w:rFonts w:hint="eastAsia" w:ascii="黑体" w:hAnsi="黑体" w:eastAsia="黑体" w:cs="黑体"/>
          <w:b/>
          <w:color w:val="333333"/>
          <w:kern w:val="0"/>
          <w:sz w:val="36"/>
          <w:szCs w:val="36"/>
        </w:rPr>
        <w:t>绩效自评报告</w:t>
      </w:r>
    </w:p>
    <w:p>
      <w:pPr>
        <w:widowControl/>
        <w:shd w:val="clear" w:color="auto" w:fill="FFFFFF"/>
        <w:spacing w:line="520" w:lineRule="atLeast"/>
        <w:ind w:firstLine="560"/>
        <w:rPr>
          <w:rFonts w:hint="eastAsia" w:ascii="仿宋_GB2312" w:hAnsi="微软雅黑" w:eastAsia="仿宋_GB2312" w:cs="宋体"/>
          <w:color w:val="333333"/>
          <w:kern w:val="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color w:val="333333"/>
          <w:kern w:val="0"/>
          <w:sz w:val="30"/>
          <w:szCs w:val="30"/>
        </w:rPr>
      </w:pPr>
      <w:r>
        <w:rPr>
          <w:rFonts w:hint="eastAsia" w:ascii="仿宋" w:hAnsi="仿宋" w:eastAsia="仿宋" w:cs="仿宋"/>
          <w:color w:val="414141"/>
          <w:sz w:val="30"/>
          <w:szCs w:val="30"/>
          <w:shd w:val="clear" w:color="auto" w:fill="FFFFFF"/>
        </w:rPr>
        <w:t>根据省农业农村厅《关于开展2021年度中央对地方转移支付资金及省级专项资金绩效自评工作的通知》，我局成立了自评工作小组，并组织计财、粮油等相关股室，对2021年早稻集中育秧开展了绩效评价自查工作，</w:t>
      </w:r>
      <w:r>
        <w:rPr>
          <w:rFonts w:hint="eastAsia" w:ascii="仿宋" w:hAnsi="仿宋" w:eastAsia="仿宋" w:cs="仿宋"/>
          <w:color w:val="333333"/>
          <w:kern w:val="0"/>
          <w:sz w:val="30"/>
          <w:szCs w:val="30"/>
        </w:rPr>
        <w:t>现将项目绩效报告如下：</w:t>
      </w:r>
    </w:p>
    <w:p>
      <w:pPr>
        <w:keepNext w:val="0"/>
        <w:keepLines w:val="0"/>
        <w:pageBreakBefore w:val="0"/>
        <w:widowControl/>
        <w:shd w:val="clear" w:color="auto" w:fill="FFFFFF"/>
        <w:kinsoku/>
        <w:wordWrap/>
        <w:overflowPunct/>
        <w:topLinePunct w:val="0"/>
        <w:autoSpaceDE/>
        <w:autoSpaceDN/>
        <w:bidi w:val="0"/>
        <w:adjustRightInd/>
        <w:snapToGrid/>
        <w:spacing w:before="157" w:after="157" w:line="600" w:lineRule="exact"/>
        <w:ind w:firstLine="604" w:firstLineChars="200"/>
        <w:textAlignment w:val="auto"/>
        <w:rPr>
          <w:rFonts w:hint="eastAsia" w:ascii="黑体" w:hAnsi="黑体" w:eastAsia="黑体" w:cs="黑体"/>
          <w:color w:val="333333"/>
          <w:kern w:val="0"/>
          <w:sz w:val="30"/>
          <w:szCs w:val="30"/>
        </w:rPr>
      </w:pPr>
      <w:r>
        <w:rPr>
          <w:rFonts w:hint="eastAsia" w:ascii="黑体" w:hAnsi="黑体" w:eastAsia="黑体" w:cs="黑体"/>
          <w:b/>
          <w:bCs/>
          <w:color w:val="333333"/>
          <w:kern w:val="0"/>
          <w:sz w:val="30"/>
          <w:szCs w:val="30"/>
        </w:rPr>
        <w:t>一、项目基本情况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（一）专项概况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为加速赫山区水稻集中育秧专业化、社会化、市场化进程，2021年赫山区把集中育秧工作作为发展粮食生产的重要抓手，控制早稻直播、消灭抛荒的主要手段。2021年，共落实集中育秧面积15.7万亩；积极引导水稻种植专业合作社、种粮大户、科技示范户、农资公司等经营主体开展商品化集中育秧服务；并重点培育了6家有影响力的专业化集中育秧合作社（公司），并以此为据点开展代耕、代育、代插、代管、代防、代收、代烘、代销等全程社会化一站式服务；积极推广育秧技术，推广了“软盘抛秧”、机械育插秧、培育壮秧等技术，做到统一优良品种、统一播种量、统一催芽器催芽、统一耕整秧田、统一施用肥料和药剂、统一秧田管理，秧苗均要达到壮秧标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黑体" w:hAnsi="黑体" w:eastAsia="黑体" w:cs="黑体"/>
          <w:color w:val="333333"/>
          <w:kern w:val="0"/>
          <w:sz w:val="30"/>
          <w:szCs w:val="30"/>
        </w:rPr>
      </w:pPr>
      <w:r>
        <w:rPr>
          <w:rFonts w:hint="eastAsia" w:ascii="黑体" w:hAnsi="黑体" w:eastAsia="黑体" w:cs="黑体"/>
          <w:b/>
          <w:bCs/>
          <w:color w:val="333333"/>
          <w:kern w:val="0"/>
          <w:sz w:val="30"/>
          <w:szCs w:val="30"/>
        </w:rPr>
        <w:t>二、绩效评价工作情况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jc w:val="left"/>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（一）绩效评价目的</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通过对集中育秧专项资金管理绩效的综合评价，建立绩效问责机制，进一步增强项目实施和管理者的主体责任意识，确保项目资金分配科学合理、使用安全高效，充分发挥专项资金的引导示范作用，提高全区早稻集中育秧专业化水平，推广现代育秧技术，促进双季稻稳定生产。2021年我局充分履行职责职能，严格照集中育秧实施方案进行规范操作，严格按财经法律法规及相关制度进行资金使用管理，确保管理制度健全、制度执行有效、项目质量过关、资金使用合理规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（二）项目资金</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1</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项目资金到位情况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根据《湖南省财政厅关于提前下达2021年中央农业生产社会化服务和早稻集中育秧资金的通知》（湘财预〔2020〕373号）文件，共下达2021年水稻集中育秧专项资金570万元，拨付及时，无滞留、闲置等现象。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项目资金实际使用情况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2021年赫山区集中育秧面积15.6万亩，共需拨付资金835.41万元。其中机插机抛秧秧田面积1016.9亩，补贴标准2500元/亩，抛秧秧田面积5811.9亩，补贴标准1000元/亩。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资金管理使用过程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项目资金严格按照财务管理制度及办法的规定使用，区财政设立水稻集中育秧专户，实行专户专账管理，省级集中育秧项目资金主要用于种子、软(硬)盘、地摸、秧田租凭费等的补贴，所有资金必须专款专用，不能挪用、截留和贪污。严格落实补贴标准，资金拨付采取刷卡到育秧主体形式下达，农业农村局粮油站根据核定的育秧面积算出资金明细帐，制定资金明细表交财政局刷卡。资金使用过程无违法违规现象，并受区督察局监督。</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（三）项目组织</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项目组织。赫山区成立集中育秧领导小组，由区级领导任组长，农业、财政、农机等单位及各乡镇负责人为成员的领导小组，负责全区水稻集中育秧的行政领导工作。领导小组下设办公室，办公室主任由区农业农村局长兼任。集中育秧工作作为各乡镇粮食生产考核的重要内容。</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项目流程。2021年初农业农村局讨论制订2021年集中育秧实施方案并报区领导审批；区召开2021年集中育秧宣传发动会议，传达省农农业农村厅会议精神，布置2021年集中育秧工作；各乡镇召开集中育秧宣传发动工作会议，落实2021年水稻集中育秧工作，完成申报，建立台帐。2021年3月上旬：组织搞好集中育秧技术培训，指导育秧主体落实集中育秧合同及种子、秧盘等育秧物资准备。3月中旬开始指导集中浸种催芽播种工作，秧田技术指导，早稻集中育秧验收。4月上旬进行早稻集中育秧总结、验收汇总刷卡。</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面积核定。成立集中育秧面积核查领导小组，由农业农村局局长任组长，采取数秧盘方式进行早稻集中育秧面积核定，粮油站负责核定面积的汇总。抛秧按秧田与大田1：20折算，机插秧按秧田与大田1:40进行折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（四）项目管理</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技术管理制度建设。区农业农村局成立水稻集中育秧专家技术领导小组，由局长任组长，分管粮油工作的副局长任副组长，粮油、土肥、植保等业务站长及技术专家为成员的技术领导小组，组织编写《集中育秧技术意见》，负责集中育秧全程技术指导与服务。另外，区农业农村局建立班子成员和股站室包乡镇的集中育秧工作机制，确保每个集中育秧示范点上农业农村局均有1名班子成员带领技术人员驻点联系，所有驻点人员都深入集中育秧示范点农户开展实地指导，印发集中育秧技术要点，实行全程跟踪技术服务，严把技术关口，切实规避和化解水稻集中育秧技术培训风险，杜绝水稻集中育秧人为事故。</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督查管理。区领导对集中育秧工作进行了3次专项督查，对工作措施过硬，成效显著的进行表彰；对领导不重视，工作不力的乡镇，在全区进行通报批评，并将考核结果纳入年度绩效考核范畴。</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color w:val="333333"/>
          <w:kern w:val="0"/>
          <w:sz w:val="30"/>
          <w:szCs w:val="30"/>
        </w:rPr>
      </w:pPr>
      <w:r>
        <w:rPr>
          <w:rFonts w:hint="eastAsia" w:ascii="仿宋" w:hAnsi="仿宋" w:eastAsia="仿宋" w:cs="仿宋"/>
          <w:color w:val="333333"/>
          <w:kern w:val="0"/>
          <w:sz w:val="30"/>
          <w:szCs w:val="30"/>
          <w:lang w:val="en-US" w:eastAsia="zh-CN"/>
        </w:rPr>
        <w:t xml:space="preserve"> </w:t>
      </w:r>
      <w:r>
        <w:rPr>
          <w:rFonts w:hint="eastAsia" w:ascii="黑体" w:hAnsi="黑体" w:eastAsia="黑体" w:cs="黑体"/>
          <w:b/>
          <w:bCs/>
          <w:color w:val="333333"/>
          <w:kern w:val="0"/>
          <w:sz w:val="30"/>
          <w:szCs w:val="30"/>
        </w:rPr>
        <w:t>三、项目绩效情况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（一）项目产出绩效情况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省财政实际下达集中育秧专项资金570万元，共补助大田面积15.6万亩，印刷技术资料5万份，并成立了以高级农艺师为主要成员的农业技术培训讲师团，共举办培训班14期，培训总人数达600人次。集中育秧项目的实施，有效的控制了早稻直播、消灭了季节性抛荒、推动了土地流转进程，稳定了早稻播种面积，减少直播面积2.5万亩，增产稻谷1.6万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（二）项目效益绩效情况</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1</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项目经济效益。实施集中育秧可使农户每亩大田平均收入增加40元，节支50元，每亩秧田平均收入增加800元，节支1000元。</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2</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项目社会效益。项目实施后，缓解地方劳动力短缺；培育育秧主体，引入市场化竞争，促进地方农业经济发展；专业化集中育秧有效提升农业生产社会化服务水平，减轻散户育秧强度，促进育插秧向专业化方向、市场化转变，有效规避因技术不到位带来的生产风险。</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项目环境效益。压单扩双有效减少撂荒田的出现；集中育秧减少了秧田的使用，增加了可插大田面积，带动提升环境效益；现代育插秧技术的推广普及，有效的减少了农药化肥的使用量；集中育秧避免了直播的发生，减少了除草剂的使用，缓解了面源污染。</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（三）自评结论</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该项目在赫山区推广，数据客观真实、推广措施合理得力、资金管理严格，年新增产谷1.6万吨，农民增收节支700余万元，经济效益、生态效益、社会效益十分显著。</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黑体" w:hAnsi="黑体" w:eastAsia="黑体" w:cs="黑体"/>
          <w:color w:val="333333"/>
          <w:kern w:val="0"/>
          <w:sz w:val="30"/>
          <w:szCs w:val="30"/>
        </w:rPr>
      </w:pPr>
      <w:r>
        <w:rPr>
          <w:rFonts w:hint="eastAsia" w:ascii="黑体" w:hAnsi="黑体" w:eastAsia="黑体" w:cs="黑体"/>
          <w:b/>
          <w:bCs/>
          <w:color w:val="333333"/>
          <w:kern w:val="0"/>
          <w:sz w:val="30"/>
          <w:szCs w:val="30"/>
        </w:rPr>
        <w:t>四、主要经验、问题与对策</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（一）项目实施的经验及做法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1</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加强组织领导。成立区级领导为组长的领导小组，加强行政推动，把集中育秧作为重要的考评指标，积极促进集中育秧工作开展。</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不断培养新的育秧主体，把市场竞争引入到集中育秧工作中来，从而提高集中育秧的专业化、集约化程度。</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3</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确保资金专项专用，严格落实资金补贴标准，狠抓台账落实。</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4</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加强项目的监督和管理，确保项目的进度和质量。</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b/>
          <w:bCs/>
          <w:color w:val="333333"/>
          <w:kern w:val="0"/>
          <w:sz w:val="30"/>
          <w:szCs w:val="30"/>
        </w:rPr>
      </w:pPr>
      <w:r>
        <w:rPr>
          <w:rFonts w:hint="eastAsia" w:ascii="仿宋" w:hAnsi="仿宋" w:eastAsia="仿宋" w:cs="仿宋"/>
          <w:b/>
          <w:bCs/>
          <w:color w:val="333333"/>
          <w:kern w:val="0"/>
          <w:sz w:val="30"/>
          <w:szCs w:val="30"/>
        </w:rPr>
        <w:t>（二）存在的问题及建议</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 1</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劳动力成本增加明显。农村青壮年劳动力外出务工较多导致劳动力成本增至180-200元/天.人，用工难、用工贵问题凸显。</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eastAsia" w:ascii="仿宋" w:hAnsi="仿宋" w:eastAsia="仿宋" w:cs="仿宋"/>
          <w:color w:val="333333"/>
          <w:kern w:val="0"/>
          <w:sz w:val="30"/>
          <w:szCs w:val="30"/>
        </w:rPr>
      </w:pPr>
      <w:r>
        <w:rPr>
          <w:rFonts w:hint="eastAsia" w:ascii="仿宋" w:hAnsi="仿宋" w:eastAsia="仿宋" w:cs="仿宋"/>
          <w:color w:val="333333"/>
          <w:kern w:val="0"/>
          <w:sz w:val="30"/>
          <w:szCs w:val="30"/>
        </w:rPr>
        <w:t>2</w:t>
      </w:r>
      <w:r>
        <w:rPr>
          <w:rFonts w:hint="eastAsia" w:ascii="仿宋" w:hAnsi="仿宋" w:eastAsia="仿宋" w:cs="仿宋"/>
          <w:color w:val="333333"/>
          <w:kern w:val="0"/>
          <w:sz w:val="30"/>
          <w:szCs w:val="30"/>
          <w:lang w:val="en-US" w:eastAsia="zh-CN"/>
        </w:rPr>
        <w:t>.</w:t>
      </w:r>
      <w:r>
        <w:rPr>
          <w:rFonts w:hint="eastAsia" w:ascii="仿宋" w:hAnsi="仿宋" w:eastAsia="仿宋" w:cs="仿宋"/>
          <w:color w:val="333333"/>
          <w:kern w:val="0"/>
          <w:sz w:val="30"/>
          <w:szCs w:val="30"/>
        </w:rPr>
        <w:t>建议加大财政补贴力度与财政投入。根据劳动力上浮成本适度增加补贴标准，促进农户的集中育秧积极性。根据我区每年增加的百亩以上种粮大户的数量适当增加相应的财政投入。</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default" w:ascii="仿宋" w:hAnsi="仿宋" w:eastAsia="仿宋" w:cs="仿宋"/>
          <w:color w:val="333333"/>
          <w:kern w:val="0"/>
          <w:sz w:val="30"/>
          <w:szCs w:val="30"/>
        </w:rPr>
      </w:pPr>
      <w:r>
        <w:rPr>
          <w:rFonts w:hint="eastAsia" w:ascii="仿宋" w:hAnsi="仿宋" w:eastAsia="仿宋" w:cs="仿宋"/>
          <w:color w:val="333333"/>
          <w:kern w:val="0"/>
          <w:sz w:val="30"/>
          <w:szCs w:val="30"/>
          <w:lang w:val="en-US" w:eastAsia="zh-CN"/>
        </w:rPr>
        <w:t>附件：</w:t>
      </w:r>
      <w:r>
        <w:rPr>
          <w:rFonts w:hint="default" w:ascii="仿宋" w:hAnsi="仿宋" w:eastAsia="仿宋" w:cs="仿宋"/>
          <w:color w:val="333333"/>
          <w:kern w:val="0"/>
          <w:sz w:val="30"/>
          <w:szCs w:val="30"/>
        </w:rPr>
        <w:t>2021年度项目支出绩效自评指标计分表</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04" w:firstLineChars="200"/>
        <w:textAlignment w:val="auto"/>
        <w:rPr>
          <w:rFonts w:hint="default" w:ascii="仿宋" w:hAnsi="仿宋" w:eastAsia="仿宋" w:cs="仿宋"/>
          <w:color w:val="333333"/>
          <w:kern w:val="0"/>
          <w:sz w:val="30"/>
          <w:szCs w:val="30"/>
          <w:lang w:val="en-US" w:eastAsia="zh-CN"/>
        </w:rPr>
      </w:pPr>
    </w:p>
    <w:p>
      <w:pPr>
        <w:pStyle w:val="3"/>
        <w:rPr>
          <w:rFonts w:hint="default" w:ascii="仿宋" w:hAnsi="仿宋" w:eastAsia="仿宋" w:cs="仿宋"/>
          <w:sz w:val="30"/>
          <w:szCs w:val="30"/>
          <w:lang w:val="en-US" w:eastAsia="zh-CN"/>
        </w:rPr>
        <w:sectPr>
          <w:pgSz w:w="11906" w:h="16838"/>
          <w:pgMar w:top="1134" w:right="1531" w:bottom="1134" w:left="1531" w:header="851" w:footer="992" w:gutter="0"/>
          <w:cols w:space="0" w:num="1"/>
          <w:rtlGutter w:val="0"/>
          <w:docGrid w:type="linesAndChars" w:linePitch="312" w:charSpace="532"/>
        </w:sectPr>
      </w:pPr>
      <w:r>
        <w:rPr>
          <w:rFonts w:hint="eastAsia" w:ascii="仿宋" w:hAnsi="仿宋" w:eastAsia="仿宋" w:cs="仿宋"/>
          <w:color w:val="333333"/>
          <w:kern w:val="0"/>
          <w:sz w:val="30"/>
          <w:szCs w:val="30"/>
        </w:rPr>
        <w:t xml:space="preserve">                        </w:t>
      </w:r>
    </w:p>
    <w:tbl>
      <w:tblPr>
        <w:tblStyle w:val="4"/>
        <w:tblW w:w="9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3"/>
        <w:gridCol w:w="454"/>
        <w:gridCol w:w="834"/>
        <w:gridCol w:w="540"/>
        <w:gridCol w:w="2625"/>
        <w:gridCol w:w="4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一级</w:t>
            </w:r>
            <w:r>
              <w:rPr>
                <w:rFonts w:ascii="宋体"/>
                <w:b/>
                <w:bCs/>
              </w:rPr>
              <w:br w:type="textWrapping"/>
            </w:r>
            <w:r>
              <w:rPr>
                <w:rFonts w:hint="eastAsia" w:ascii="宋体" w:hAnsi="宋体" w:cs="宋体"/>
                <w:b/>
                <w:bCs/>
              </w:rPr>
              <w:t>指标</w:t>
            </w:r>
          </w:p>
        </w:tc>
        <w:tc>
          <w:tcPr>
            <w:tcW w:w="45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二级</w:t>
            </w:r>
            <w:r>
              <w:rPr>
                <w:rFonts w:ascii="宋体"/>
                <w:b/>
                <w:bCs/>
              </w:rPr>
              <w:br w:type="textWrapping"/>
            </w:r>
            <w:r>
              <w:rPr>
                <w:rFonts w:hint="eastAsia" w:ascii="宋体" w:hAnsi="宋体" w:cs="宋体"/>
                <w:b/>
                <w:bCs/>
              </w:rPr>
              <w:t>指标</w:t>
            </w:r>
          </w:p>
        </w:tc>
        <w:tc>
          <w:tcPr>
            <w:tcW w:w="83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540" w:type="dxa"/>
          </w:tcPr>
          <w:p>
            <w:pPr>
              <w:spacing w:line="240" w:lineRule="exact"/>
              <w:jc w:val="center"/>
              <w:rPr>
                <w:rFonts w:ascii="宋体"/>
                <w:b/>
                <w:bCs/>
              </w:rPr>
            </w:pPr>
            <w:r>
              <w:rPr>
                <w:rFonts w:hint="eastAsia" w:ascii="宋体" w:hAnsi="宋体" w:cs="宋体"/>
                <w:b/>
                <w:bCs/>
              </w:rPr>
              <w:t>自评分</w:t>
            </w:r>
          </w:p>
        </w:tc>
        <w:tc>
          <w:tcPr>
            <w:tcW w:w="2625"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4194" w:type="dxa"/>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预算支出决策（项目立项）依据</w:t>
            </w:r>
          </w:p>
          <w:p>
            <w:pPr>
              <w:spacing w:line="240" w:lineRule="exact"/>
              <w:ind w:left="106" w:leftChars="50" w:right="106"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①决策（立项）是否符合国家相关法律法规、国民经济发展规划和相关政策；</w:t>
            </w:r>
            <w:r>
              <w:rPr>
                <w:rFonts w:ascii="宋体"/>
              </w:rPr>
              <w:br w:type="textWrapping"/>
            </w:r>
            <w:r>
              <w:rPr>
                <w:rFonts w:hint="eastAsia" w:ascii="宋体" w:hAnsi="宋体" w:cs="宋体"/>
              </w:rPr>
              <w:t>②决策（立项）是否符合行业发展规划和政策要求；</w:t>
            </w:r>
            <w:r>
              <w:rPr>
                <w:rFonts w:ascii="宋体"/>
              </w:rPr>
              <w:br w:type="textWrapping"/>
            </w:r>
            <w:r>
              <w:rPr>
                <w:rFonts w:hint="eastAsia" w:ascii="宋体" w:hAnsi="宋体" w:cs="宋体"/>
              </w:rPr>
              <w:t>③决策（立项）是否与部门职责范围相符，属于部门履职所需；</w:t>
            </w:r>
            <w:r>
              <w:rPr>
                <w:rFonts w:ascii="宋体"/>
              </w:rPr>
              <w:br w:type="textWrapping"/>
            </w:r>
            <w:r>
              <w:rPr>
                <w:rFonts w:hint="eastAsia" w:ascii="宋体" w:hAnsi="宋体" w:cs="宋体"/>
              </w:rPr>
              <w:t>④预算支出是否属于公共财政支持范围，是否符合中央、地方事权支出责任划分原则；</w:t>
            </w:r>
          </w:p>
          <w:p>
            <w:pPr>
              <w:spacing w:line="240" w:lineRule="exact"/>
              <w:ind w:left="106" w:leftChars="50" w:right="106"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预算支出申请、设立过程是否符合相关要求，用以反映和考核决策（立项）的规范情况。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Pr>
                <w:rFonts w:ascii="宋体"/>
              </w:rPr>
            </w:pPr>
            <w:r>
              <w:rPr>
                <w:rFonts w:hint="eastAsia" w:ascii="宋体" w:hAnsi="宋体" w:cs="宋体"/>
              </w:rPr>
              <w:t>①预算支出是否按照规定的程序申请设立；</w:t>
            </w:r>
          </w:p>
          <w:p>
            <w:pPr>
              <w:spacing w:line="240" w:lineRule="exact"/>
              <w:ind w:left="106" w:leftChars="50"/>
              <w:rPr>
                <w:rFonts w:ascii="宋体"/>
              </w:rPr>
            </w:pPr>
            <w:r>
              <w:rPr>
                <w:rFonts w:hint="eastAsia" w:ascii="宋体" w:hAnsi="宋体" w:cs="宋体"/>
              </w:rPr>
              <w:t>②审批文件、材料是否符合相关要求；</w:t>
            </w:r>
          </w:p>
          <w:p>
            <w:pPr>
              <w:spacing w:line="240" w:lineRule="exact"/>
              <w:ind w:left="106"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绩效目标</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（如未设定预算绩效目标，也可考核其他工作任务目标）</w:t>
            </w:r>
          </w:p>
          <w:p>
            <w:pPr>
              <w:spacing w:line="240" w:lineRule="exact"/>
              <w:ind w:left="106" w:leftChars="50" w:right="106" w:rightChars="50"/>
              <w:rPr>
                <w:rFonts w:ascii="宋体"/>
              </w:rPr>
            </w:pPr>
            <w:r>
              <w:rPr>
                <w:rFonts w:hint="eastAsia" w:ascii="宋体" w:hAnsi="宋体" w:cs="宋体"/>
              </w:rPr>
              <w:t>①预算支出是否有绩效目标；</w:t>
            </w:r>
          </w:p>
          <w:p>
            <w:pPr>
              <w:spacing w:line="240" w:lineRule="exact"/>
              <w:ind w:left="106" w:leftChars="50" w:right="106" w:rightChars="50"/>
              <w:rPr>
                <w:rFonts w:ascii="宋体"/>
              </w:rPr>
            </w:pPr>
            <w:r>
              <w:rPr>
                <w:rFonts w:hint="eastAsia" w:ascii="宋体" w:hAnsi="宋体" w:cs="宋体"/>
              </w:rPr>
              <w:t>②预算支出绩效目标与实际工作内容是否具有相关性；</w:t>
            </w:r>
          </w:p>
          <w:p>
            <w:pPr>
              <w:spacing w:line="240" w:lineRule="exact"/>
              <w:ind w:left="106" w:leftChars="50" w:right="106"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绩效指标</w:t>
            </w:r>
          </w:p>
          <w:p>
            <w:pPr>
              <w:spacing w:line="240" w:lineRule="exact"/>
              <w:ind w:left="106" w:leftChars="50" w:right="106"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①是否将预算支出绩效目标细化分解为具体的绩效指标；</w:t>
            </w:r>
            <w:r>
              <w:rPr>
                <w:rFonts w:ascii="宋体"/>
              </w:rPr>
              <w:br w:type="textWrapping"/>
            </w:r>
            <w:r>
              <w:rPr>
                <w:rFonts w:hint="eastAsia" w:ascii="宋体" w:hAnsi="宋体" w:cs="宋体"/>
              </w:rPr>
              <w:t>②是否通过清晰、可衡量的指标值予以体现；</w:t>
            </w:r>
            <w:r>
              <w:rPr>
                <w:rFonts w:ascii="宋体"/>
              </w:rPr>
              <w:br w:type="textWrapping"/>
            </w: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543" w:type="dxa"/>
            <w:vMerge w:val="continue"/>
            <w:vAlign w:val="center"/>
          </w:tcPr>
          <w:p>
            <w:pPr>
              <w:spacing w:line="240" w:lineRule="exact"/>
              <w:rPr>
                <w:rFonts w:ascii="宋体"/>
              </w:rPr>
            </w:pPr>
          </w:p>
        </w:tc>
        <w:tc>
          <w:tcPr>
            <w:tcW w:w="454" w:type="dxa"/>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预算编制</w:t>
            </w:r>
          </w:p>
          <w:p>
            <w:pPr>
              <w:spacing w:line="240" w:lineRule="exact"/>
              <w:ind w:left="106" w:leftChars="50" w:right="106"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4194" w:type="dxa"/>
            <w:tcMar>
              <w:top w:w="10" w:type="dxa"/>
              <w:left w:w="10" w:type="dxa"/>
              <w:bottom w:w="0" w:type="dxa"/>
              <w:right w:w="10" w:type="dxa"/>
            </w:tcMar>
            <w:vAlign w:val="center"/>
          </w:tcPr>
          <w:p>
            <w:pPr>
              <w:spacing w:line="220" w:lineRule="exact"/>
              <w:ind w:left="106" w:leftChars="50" w:right="106" w:rightChars="50"/>
              <w:rPr>
                <w:rFonts w:ascii="宋体"/>
              </w:rPr>
            </w:pPr>
            <w:r>
              <w:rPr>
                <w:rFonts w:hint="eastAsia" w:ascii="宋体" w:hAnsi="宋体" w:cs="宋体"/>
              </w:rPr>
              <w:t>评价要点：</w:t>
            </w:r>
          </w:p>
          <w:p>
            <w:pPr>
              <w:spacing w:line="220" w:lineRule="exact"/>
              <w:ind w:left="106" w:leftChars="50" w:right="106" w:rightChars="50"/>
              <w:rPr>
                <w:rFonts w:ascii="宋体"/>
              </w:rPr>
            </w:pPr>
            <w:r>
              <w:rPr>
                <w:rFonts w:hint="eastAsia" w:ascii="宋体" w:hAnsi="宋体" w:cs="宋体"/>
              </w:rPr>
              <w:t>①预算编制是否经过科学论证；</w:t>
            </w:r>
          </w:p>
          <w:p>
            <w:pPr>
              <w:spacing w:line="220" w:lineRule="exact"/>
              <w:ind w:left="106" w:leftChars="50" w:right="106" w:rightChars="50"/>
              <w:rPr>
                <w:rFonts w:ascii="宋体"/>
              </w:rPr>
            </w:pPr>
            <w:r>
              <w:rPr>
                <w:rFonts w:hint="eastAsia" w:ascii="宋体" w:hAnsi="宋体" w:cs="宋体"/>
              </w:rPr>
              <w:t>②预算内容与支出内容是否匹配；</w:t>
            </w:r>
          </w:p>
          <w:p>
            <w:pPr>
              <w:spacing w:line="220" w:lineRule="exact"/>
              <w:ind w:left="106" w:leftChars="50" w:right="106" w:rightChars="50"/>
              <w:rPr>
                <w:rFonts w:ascii="宋体"/>
              </w:rPr>
            </w:pPr>
            <w:r>
              <w:rPr>
                <w:rFonts w:hint="eastAsia" w:ascii="宋体" w:hAnsi="宋体" w:cs="宋体"/>
              </w:rPr>
              <w:t>③预算额度测算依据是否充分，是否按照标准编制；</w:t>
            </w:r>
          </w:p>
          <w:p>
            <w:pPr>
              <w:spacing w:line="220" w:lineRule="exact"/>
              <w:ind w:left="106" w:leftChars="50" w:right="106"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资金分配</w:t>
            </w:r>
          </w:p>
          <w:p>
            <w:pPr>
              <w:spacing w:line="240" w:lineRule="exact"/>
              <w:ind w:left="106" w:leftChars="50" w:right="106"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3</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right="106" w:rightChars="50" w:firstLine="106" w:firstLineChars="50"/>
              <w:rPr>
                <w:rFonts w:ascii="宋体"/>
              </w:rPr>
            </w:pPr>
            <w:r>
              <w:rPr>
                <w:rFonts w:hint="eastAsia" w:ascii="宋体" w:hAnsi="宋体" w:cs="宋体"/>
              </w:rPr>
              <w:t>①预算资金分配依据是否充分；</w:t>
            </w:r>
          </w:p>
          <w:p>
            <w:pPr>
              <w:spacing w:line="240" w:lineRule="exact"/>
              <w:ind w:left="106" w:leftChars="50" w:right="106"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543" w:type="dxa"/>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资金</w:t>
            </w:r>
            <w:r>
              <w:rPr>
                <w:rFonts w:ascii="宋体"/>
              </w:rPr>
              <w:br w:type="textWrapping"/>
            </w:r>
            <w:r>
              <w:rPr>
                <w:rFonts w:hint="eastAsia" w:ascii="宋体" w:hAnsi="宋体" w:cs="宋体"/>
              </w:rPr>
              <w:t>管理（</w:t>
            </w:r>
            <w:r>
              <w:rPr>
                <w:rFonts w:ascii="宋体" w:hAnsi="宋体" w:cs="宋体"/>
              </w:rPr>
              <w:t>12</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w:t>
            </w:r>
          </w:p>
          <w:p>
            <w:pPr>
              <w:spacing w:line="240" w:lineRule="exact"/>
              <w:ind w:left="106" w:leftChars="50" w:right="106"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实际到位资金与预算资金的比率，用以反映和考核资金落实情况对预算支出实施的总体保障程度。</w:t>
            </w:r>
          </w:p>
        </w:tc>
        <w:tc>
          <w:tcPr>
            <w:tcW w:w="4194" w:type="dxa"/>
            <w:tcMar>
              <w:top w:w="10" w:type="dxa"/>
              <w:left w:w="10" w:type="dxa"/>
              <w:bottom w:w="0" w:type="dxa"/>
              <w:right w:w="10" w:type="dxa"/>
            </w:tcMar>
            <w:vAlign w:val="center"/>
          </w:tcPr>
          <w:p>
            <w:pPr>
              <w:spacing w:line="240" w:lineRule="exact"/>
              <w:ind w:left="106" w:leftChars="50" w:right="106" w:rightChars="50"/>
              <w:rPr>
                <w:rFonts w:hint="eastAsia"/>
              </w:rPr>
            </w:pPr>
            <w:r>
              <w:rPr>
                <w:rFonts w:hint="eastAsia"/>
              </w:rPr>
              <w:t>资金到位率</w:t>
            </w:r>
            <w:r>
              <w:t>=</w:t>
            </w:r>
            <w:r>
              <w:rPr>
                <w:rFonts w:hint="eastAsia"/>
              </w:rPr>
              <w:t>（实际到位资金</w:t>
            </w:r>
            <w:r>
              <w:t>/</w:t>
            </w:r>
            <w:r>
              <w:rPr>
                <w:rFonts w:hint="eastAsia"/>
              </w:rPr>
              <w:t>预算资金）×</w:t>
            </w:r>
            <w:r>
              <w:t>100%</w:t>
            </w:r>
            <w:r>
              <w:rPr>
                <w:rFonts w:hint="eastAsia"/>
              </w:rPr>
              <w:t>。</w:t>
            </w:r>
            <w:r>
              <w:br w:type="textWrapping"/>
            </w:r>
            <w:r>
              <w:rPr>
                <w:rFonts w:hint="eastAsia"/>
              </w:rPr>
              <w:t>实际到位资金：一定时期（本年度或预算支出期）内落实到具体预算支出的资金。</w:t>
            </w:r>
            <w:r>
              <w:br w:type="textWrapping"/>
            </w:r>
            <w:r>
              <w:rPr>
                <w:rFonts w:hint="eastAsia"/>
              </w:rPr>
              <w:t>预算资金：一定时期（本年度或预算支出期）内预算安排到具体预算支出的资金。</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543" w:type="dxa"/>
            <w:vMerge w:val="continue"/>
            <w:vAlign w:val="center"/>
          </w:tcPr>
          <w:p>
            <w:pPr>
              <w:spacing w:line="240" w:lineRule="exact"/>
              <w:jc w:val="center"/>
              <w:rPr>
                <w:rFonts w:ascii="宋体"/>
              </w:rPr>
            </w:pPr>
          </w:p>
        </w:tc>
        <w:tc>
          <w:tcPr>
            <w:tcW w:w="454" w:type="dxa"/>
            <w:vMerge w:val="continue"/>
            <w:tcMar>
              <w:top w:w="10" w:type="dxa"/>
              <w:left w:w="10" w:type="dxa"/>
              <w:bottom w:w="0" w:type="dxa"/>
              <w:right w:w="10" w:type="dxa"/>
            </w:tcMar>
            <w:vAlign w:val="center"/>
          </w:tcPr>
          <w:p>
            <w:pPr>
              <w:spacing w:line="240" w:lineRule="exact"/>
              <w:jc w:val="center"/>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预算</w:t>
            </w:r>
          </w:p>
          <w:p>
            <w:pPr>
              <w:spacing w:line="240" w:lineRule="exact"/>
              <w:ind w:left="106" w:leftChars="50" w:right="106"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预算资金是否按照计划执行，用以反映或考核预算支出预算执行情况。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6" w:leftChars="50" w:right="106"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jc w:val="center"/>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资金使用</w:t>
            </w:r>
          </w:p>
          <w:p>
            <w:pPr>
              <w:spacing w:line="240" w:lineRule="exact"/>
              <w:ind w:left="106" w:leftChars="50" w:right="106"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预算资金使用是否符合相关的财务管理制度规定，用以反映和考核预算资金的规范运行情况。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p>
          <w:p>
            <w:pPr>
              <w:spacing w:line="240" w:lineRule="exact"/>
              <w:ind w:left="106" w:leftChars="50" w:right="106"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6" w:rightChars="50" w:firstLine="106" w:firstLineChars="50"/>
              <w:rPr>
                <w:rFonts w:ascii="宋体"/>
              </w:rPr>
            </w:pPr>
            <w:r>
              <w:rPr>
                <w:rFonts w:hint="eastAsia" w:ascii="宋体" w:hAnsi="宋体" w:cs="宋体"/>
              </w:rPr>
              <w:t>②资金的拨付是否有完整的审批程序和手续；</w:t>
            </w:r>
          </w:p>
          <w:p>
            <w:pPr>
              <w:spacing w:line="240" w:lineRule="exact"/>
              <w:ind w:right="106" w:rightChars="50" w:firstLine="106" w:firstLineChars="50"/>
              <w:rPr>
                <w:rFonts w:ascii="宋体"/>
              </w:rPr>
            </w:pPr>
            <w:r>
              <w:rPr>
                <w:rFonts w:hint="eastAsia" w:ascii="宋体" w:hAnsi="宋体" w:cs="宋体"/>
              </w:rPr>
              <w:t>③是否符合预算支出预算批复或合同规定的用途；</w:t>
            </w:r>
          </w:p>
          <w:p>
            <w:pPr>
              <w:spacing w:line="240" w:lineRule="exact"/>
              <w:ind w:left="106" w:leftChars="50" w:right="106"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管理制度</w:t>
            </w:r>
          </w:p>
          <w:p>
            <w:pPr>
              <w:spacing w:line="240" w:lineRule="exact"/>
              <w:ind w:left="106" w:leftChars="50" w:right="106"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①是否已制定或具有相应的业务管理制度；</w:t>
            </w:r>
            <w:r>
              <w:rPr>
                <w:rFonts w:ascii="宋体"/>
              </w:rPr>
              <w:br w:type="textWrapping"/>
            </w: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制度执行</w:t>
            </w:r>
          </w:p>
          <w:p>
            <w:pPr>
              <w:spacing w:line="240" w:lineRule="exact"/>
              <w:ind w:left="106" w:leftChars="50" w:right="106"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4</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预算支出实施是否符合相关业务管理规定，用以反映和考核业务管理制度的有效执行情况。</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评价要点：</w:t>
            </w:r>
            <w:r>
              <w:rPr>
                <w:rFonts w:ascii="宋体"/>
              </w:rPr>
              <w:br w:type="textWrapping"/>
            </w:r>
            <w:r>
              <w:rPr>
                <w:rFonts w:hint="eastAsia" w:ascii="宋体" w:hAnsi="宋体" w:cs="宋体"/>
              </w:rPr>
              <w:t>①是否遵守相关法律法规和相关管理规定；</w:t>
            </w:r>
            <w:r>
              <w:rPr>
                <w:rFonts w:ascii="宋体"/>
              </w:rPr>
              <w:br w:type="textWrapping"/>
            </w:r>
            <w:r>
              <w:rPr>
                <w:rFonts w:hint="eastAsia" w:ascii="宋体" w:hAnsi="宋体" w:cs="宋体"/>
              </w:rPr>
              <w:t>②预算支出调整及支出调整手续是否完备；</w:t>
            </w:r>
            <w:r>
              <w:rPr>
                <w:rFonts w:ascii="宋体"/>
              </w:rPr>
              <w:br w:type="textWrapping"/>
            </w:r>
            <w:r>
              <w:rPr>
                <w:rFonts w:hint="eastAsia" w:ascii="宋体" w:hAnsi="宋体" w:cs="宋体"/>
              </w:rPr>
              <w:t>③预算支出合同书、验收报告、技术鉴定等资料是否齐全并及时归档；</w:t>
            </w:r>
            <w:r>
              <w:rPr>
                <w:rFonts w:ascii="宋体"/>
              </w:rPr>
              <w:br w:type="textWrapping"/>
            </w: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实际</w:t>
            </w:r>
          </w:p>
          <w:p>
            <w:pPr>
              <w:spacing w:line="240" w:lineRule="exact"/>
              <w:ind w:left="106" w:leftChars="50" w:right="106"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实际产出数：一定时期（本年度或预算支出期）内预算支出实际产出的产品或提供的服务数量。</w:t>
            </w:r>
            <w:r>
              <w:rPr>
                <w:rFonts w:ascii="宋体"/>
              </w:rPr>
              <w:br w:type="textWrapping"/>
            </w: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543"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454"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质量</w:t>
            </w:r>
          </w:p>
          <w:p>
            <w:pPr>
              <w:spacing w:line="240" w:lineRule="exact"/>
              <w:ind w:left="106" w:leftChars="50" w:right="106"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543" w:type="dxa"/>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完成</w:t>
            </w:r>
          </w:p>
          <w:p>
            <w:pPr>
              <w:spacing w:line="240" w:lineRule="exact"/>
              <w:ind w:left="106" w:leftChars="50" w:right="106"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8.5</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实际完成时间：预算支出实施单位完成该预算支出实际所耗用的时间。</w:t>
            </w:r>
            <w:r>
              <w:rPr>
                <w:rFonts w:ascii="宋体"/>
              </w:rPr>
              <w:br w:type="textWrapping"/>
            </w: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ind w:left="113"/>
              <w:rPr>
                <w:rFonts w:ascii="宋体"/>
              </w:rPr>
            </w:pPr>
          </w:p>
        </w:tc>
        <w:tc>
          <w:tcPr>
            <w:tcW w:w="454" w:type="dxa"/>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成本</w:t>
            </w:r>
          </w:p>
          <w:p>
            <w:pPr>
              <w:spacing w:line="240" w:lineRule="exact"/>
              <w:ind w:left="106" w:leftChars="50" w:right="106"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r>
              <w:rPr>
                <w:rFonts w:ascii="宋体"/>
              </w:rPr>
              <w:br w:type="textWrapping"/>
            </w:r>
            <w:r>
              <w:rPr>
                <w:rFonts w:hint="eastAsia" w:ascii="宋体" w:hAnsi="宋体" w:cs="宋体"/>
              </w:rPr>
              <w:t>实际成本：预算支出实施单位如期、保质、保量完成既定工作目标实际所耗费的支出。</w:t>
            </w:r>
            <w:r>
              <w:rPr>
                <w:rFonts w:ascii="宋体"/>
              </w:rPr>
              <w:br w:type="textWrapping"/>
            </w: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454" w:type="dxa"/>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w:t>
            </w:r>
            <w:r>
              <w:rPr>
                <w:rFonts w:ascii="宋体"/>
              </w:rPr>
              <w:br w:type="textWrapping"/>
            </w:r>
            <w:r>
              <w:rPr>
                <w:rFonts w:hint="eastAsia" w:ascii="宋体" w:hAnsi="宋体" w:cs="宋体"/>
              </w:rPr>
              <w:t>效益（</w:t>
            </w:r>
            <w:r>
              <w:rPr>
                <w:rFonts w:ascii="宋体" w:hAnsi="宋体" w:cs="宋体"/>
              </w:rPr>
              <w:t>20</w:t>
            </w:r>
            <w:r>
              <w:rPr>
                <w:rFonts w:hint="eastAsia" w:ascii="宋体" w:hAnsi="宋体" w:cs="宋体"/>
              </w:rPr>
              <w:t>分）</w:t>
            </w: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540" w:type="dxa"/>
            <w:vAlign w:val="center"/>
          </w:tcPr>
          <w:p>
            <w:pPr>
              <w:spacing w:line="240" w:lineRule="exact"/>
              <w:ind w:left="106" w:leftChars="50" w:right="106" w:rightChars="50"/>
              <w:jc w:val="center"/>
              <w:rPr>
                <w:rFonts w:ascii="宋体"/>
              </w:rPr>
            </w:pPr>
            <w:r>
              <w:rPr>
                <w:rFonts w:hint="eastAsia" w:ascii="宋体"/>
              </w:rPr>
              <w:t>9.5</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预算支出实施所产生的效益。</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spacing w:line="240" w:lineRule="exact"/>
              <w:rPr>
                <w:rFonts w:ascii="宋体"/>
              </w:rPr>
            </w:pPr>
          </w:p>
        </w:tc>
        <w:tc>
          <w:tcPr>
            <w:tcW w:w="454" w:type="dxa"/>
            <w:vMerge w:val="continue"/>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r>
              <w:rPr>
                <w:rFonts w:hint="eastAsia" w:ascii="宋体" w:hAnsi="宋体" w:cs="宋体"/>
              </w:rPr>
              <w:t>社会公众</w:t>
            </w:r>
          </w:p>
          <w:p>
            <w:pPr>
              <w:spacing w:line="240" w:lineRule="exact"/>
              <w:ind w:left="106" w:leftChars="50" w:right="106"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6" w:leftChars="50" w:right="106" w:rightChars="50"/>
              <w:jc w:val="center"/>
              <w:rPr>
                <w:rFonts w:ascii="宋体"/>
              </w:rPr>
            </w:pPr>
            <w:r>
              <w:rPr>
                <w:rFonts w:hint="eastAsia" w:ascii="宋体" w:hAnsi="宋体" w:cs="宋体"/>
              </w:rPr>
              <w:t>象满意度</w:t>
            </w:r>
          </w:p>
        </w:tc>
        <w:tc>
          <w:tcPr>
            <w:tcW w:w="540" w:type="dxa"/>
            <w:vAlign w:val="center"/>
          </w:tcPr>
          <w:p>
            <w:pPr>
              <w:spacing w:line="240" w:lineRule="exact"/>
              <w:ind w:left="106" w:leftChars="50" w:right="106" w:rightChars="50"/>
              <w:jc w:val="center"/>
              <w:rPr>
                <w:rFonts w:ascii="宋体"/>
              </w:rPr>
            </w:pPr>
            <w:r>
              <w:rPr>
                <w:rFonts w:hint="eastAsia" w:ascii="宋体"/>
              </w:rPr>
              <w:t>10</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社会公众或服务对象对预算支出实施效果的满意程度。</w:t>
            </w: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spacing w:line="240" w:lineRule="exact"/>
              <w:rPr>
                <w:rFonts w:ascii="宋体"/>
              </w:rPr>
            </w:pPr>
            <w:r>
              <w:rPr>
                <w:rFonts w:hint="eastAsia" w:ascii="宋体" w:hAnsi="宋体" w:cs="宋体"/>
              </w:rPr>
              <w:t>总分</w:t>
            </w:r>
          </w:p>
        </w:tc>
        <w:tc>
          <w:tcPr>
            <w:tcW w:w="454" w:type="dxa"/>
            <w:vAlign w:val="center"/>
          </w:tcPr>
          <w:p>
            <w:pPr>
              <w:spacing w:line="240" w:lineRule="exact"/>
              <w:rPr>
                <w:rFonts w:ascii="宋体"/>
              </w:rPr>
            </w:pPr>
          </w:p>
        </w:tc>
        <w:tc>
          <w:tcPr>
            <w:tcW w:w="834" w:type="dxa"/>
            <w:tcMar>
              <w:top w:w="10" w:type="dxa"/>
              <w:left w:w="10" w:type="dxa"/>
              <w:bottom w:w="0" w:type="dxa"/>
              <w:right w:w="10" w:type="dxa"/>
            </w:tcMar>
            <w:vAlign w:val="center"/>
          </w:tcPr>
          <w:p>
            <w:pPr>
              <w:spacing w:line="240" w:lineRule="exact"/>
              <w:ind w:left="106" w:leftChars="50" w:right="106" w:rightChars="50"/>
              <w:jc w:val="center"/>
              <w:rPr>
                <w:rFonts w:ascii="宋体"/>
              </w:rPr>
            </w:pPr>
          </w:p>
        </w:tc>
        <w:tc>
          <w:tcPr>
            <w:tcW w:w="540" w:type="dxa"/>
            <w:vAlign w:val="center"/>
          </w:tcPr>
          <w:p>
            <w:pPr>
              <w:spacing w:line="240" w:lineRule="exact"/>
              <w:ind w:left="106" w:leftChars="50" w:right="106" w:rightChars="50"/>
              <w:jc w:val="center"/>
              <w:rPr>
                <w:rFonts w:ascii="宋体"/>
              </w:rPr>
            </w:pPr>
            <w:r>
              <w:rPr>
                <w:rFonts w:hint="eastAsia" w:ascii="宋体"/>
              </w:rPr>
              <w:t>96</w:t>
            </w:r>
          </w:p>
        </w:tc>
        <w:tc>
          <w:tcPr>
            <w:tcW w:w="2625" w:type="dxa"/>
            <w:tcMar>
              <w:top w:w="10" w:type="dxa"/>
              <w:left w:w="10" w:type="dxa"/>
              <w:bottom w:w="0" w:type="dxa"/>
              <w:right w:w="10" w:type="dxa"/>
            </w:tcMar>
            <w:vAlign w:val="center"/>
          </w:tcPr>
          <w:p>
            <w:pPr>
              <w:spacing w:line="240" w:lineRule="exact"/>
              <w:ind w:left="106" w:leftChars="50" w:right="106" w:rightChars="50"/>
              <w:rPr>
                <w:rFonts w:ascii="宋体"/>
              </w:rPr>
            </w:pPr>
          </w:p>
        </w:tc>
        <w:tc>
          <w:tcPr>
            <w:tcW w:w="4194" w:type="dxa"/>
            <w:tcMar>
              <w:top w:w="10" w:type="dxa"/>
              <w:left w:w="10" w:type="dxa"/>
              <w:bottom w:w="0" w:type="dxa"/>
              <w:right w:w="10" w:type="dxa"/>
            </w:tcMar>
            <w:vAlign w:val="center"/>
          </w:tcPr>
          <w:p>
            <w:pPr>
              <w:spacing w:line="240" w:lineRule="exact"/>
              <w:ind w:left="106" w:leftChars="50" w:right="106" w:rightChars="50"/>
              <w:rPr>
                <w:rFonts w:ascii="宋体"/>
              </w:rPr>
            </w:pPr>
          </w:p>
        </w:tc>
      </w:tr>
    </w:tbl>
    <w:p>
      <w:pPr>
        <w:pStyle w:val="3"/>
        <w:rPr>
          <w:rFonts w:hint="default" w:ascii="仿宋" w:hAnsi="仿宋" w:eastAsia="仿宋" w:cs="仿宋"/>
          <w:sz w:val="30"/>
          <w:szCs w:val="30"/>
          <w:lang w:val="en-US" w:eastAsia="zh-CN"/>
        </w:rPr>
        <w:sectPr>
          <w:pgSz w:w="11906" w:h="16838"/>
          <w:pgMar w:top="1134" w:right="1531" w:bottom="1134" w:left="1531" w:header="851" w:footer="992" w:gutter="0"/>
          <w:cols w:space="0" w:num="1"/>
          <w:rtlGutter w:val="0"/>
          <w:docGrid w:type="linesAndChars" w:linePitch="312" w:charSpace="532"/>
        </w:sect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378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2023-06-18T05:01:58Z</dcterms:created>
  <dc:creator>admin-3</dc:creator>
  <cp:lastModifiedBy>admin-3</cp:lastModifiedBy>
  <dcterms:modified xsi:type="dcterms:W3CDTF">2023-06-18T05:02:25Z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425710ACD4DE4565A46E07573E85B68E_12</vt:lpwstr>
  </property>
</Properties>
</file>