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20" w:lineRule="atLeast"/>
        <w:ind w:firstLine="560"/>
        <w:jc w:val="center"/>
        <w:rPr>
          <w:rFonts w:hint="eastAsia" w:ascii="黑体" w:hAnsi="黑体" w:eastAsia="黑体" w:cs="黑体"/>
          <w:b/>
          <w:color w:val="333333"/>
          <w:kern w:val="0"/>
          <w:sz w:val="36"/>
          <w:szCs w:val="36"/>
          <w:lang w:val="en-US" w:eastAsia="zh-CN"/>
        </w:rPr>
      </w:pPr>
      <w:r>
        <w:rPr>
          <w:rFonts w:hint="eastAsia" w:ascii="黑体" w:hAnsi="黑体" w:eastAsia="黑体" w:cs="黑体"/>
          <w:b/>
          <w:color w:val="333333"/>
          <w:kern w:val="0"/>
          <w:sz w:val="36"/>
          <w:szCs w:val="36"/>
          <w:lang w:val="en-US" w:eastAsia="zh-CN"/>
        </w:rPr>
        <w:t>益阳市</w:t>
      </w:r>
      <w:r>
        <w:rPr>
          <w:rFonts w:hint="eastAsia" w:ascii="黑体" w:hAnsi="黑体" w:eastAsia="黑体" w:cs="黑体"/>
          <w:b/>
          <w:color w:val="333333"/>
          <w:kern w:val="0"/>
          <w:sz w:val="36"/>
          <w:szCs w:val="36"/>
        </w:rPr>
        <w:t>赫山区2021年早稻集中育秧</w:t>
      </w:r>
      <w:r>
        <w:rPr>
          <w:rFonts w:hint="eastAsia" w:ascii="黑体" w:hAnsi="黑体" w:eastAsia="黑体" w:cs="黑体"/>
          <w:b/>
          <w:color w:val="333333"/>
          <w:kern w:val="0"/>
          <w:sz w:val="36"/>
          <w:szCs w:val="36"/>
          <w:lang w:val="en-US" w:eastAsia="zh-CN"/>
        </w:rPr>
        <w:t>项目支出</w:t>
      </w:r>
    </w:p>
    <w:p>
      <w:pPr>
        <w:widowControl/>
        <w:shd w:val="clear" w:color="auto" w:fill="FFFFFF"/>
        <w:spacing w:line="520" w:lineRule="atLeast"/>
        <w:ind w:firstLine="560"/>
        <w:jc w:val="center"/>
        <w:rPr>
          <w:rFonts w:cs="宋体" w:asciiTheme="majorEastAsia" w:hAnsiTheme="majorEastAsia" w:eastAsiaTheme="majorEastAsia"/>
          <w:b/>
          <w:color w:val="333333"/>
          <w:kern w:val="0"/>
          <w:sz w:val="28"/>
          <w:szCs w:val="28"/>
        </w:rPr>
      </w:pPr>
      <w:r>
        <w:rPr>
          <w:rFonts w:hint="eastAsia" w:ascii="黑体" w:hAnsi="黑体" w:eastAsia="黑体" w:cs="黑体"/>
          <w:b/>
          <w:color w:val="333333"/>
          <w:kern w:val="0"/>
          <w:sz w:val="36"/>
          <w:szCs w:val="36"/>
        </w:rPr>
        <w:t>绩效自评报告</w:t>
      </w:r>
    </w:p>
    <w:p>
      <w:pPr>
        <w:widowControl/>
        <w:shd w:val="clear" w:color="auto" w:fill="FFFFFF"/>
        <w:spacing w:line="520" w:lineRule="atLeast"/>
        <w:ind w:firstLine="560"/>
        <w:rPr>
          <w:rFonts w:hint="eastAsia" w:ascii="仿宋_GB2312" w:hAnsi="微软雅黑" w:eastAsia="仿宋_GB2312" w:cs="宋体"/>
          <w:color w:val="333333"/>
          <w:kern w:val="0"/>
          <w:sz w:val="28"/>
          <w:szCs w:val="28"/>
        </w:rPr>
      </w:pP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04" w:firstLineChars="200"/>
        <w:jc w:val="left"/>
        <w:textAlignment w:val="auto"/>
        <w:rPr>
          <w:rFonts w:hint="eastAsia" w:ascii="仿宋" w:hAnsi="仿宋" w:eastAsia="仿宋" w:cs="仿宋"/>
          <w:color w:val="333333"/>
          <w:kern w:val="0"/>
          <w:sz w:val="30"/>
          <w:szCs w:val="30"/>
        </w:rPr>
      </w:pPr>
      <w:r>
        <w:rPr>
          <w:rFonts w:hint="eastAsia" w:ascii="仿宋" w:hAnsi="仿宋" w:eastAsia="仿宋" w:cs="仿宋"/>
          <w:color w:val="414141"/>
          <w:sz w:val="30"/>
          <w:szCs w:val="30"/>
          <w:shd w:val="clear" w:color="auto" w:fill="FFFFFF"/>
        </w:rPr>
        <w:t>根据省农业农村厅《关于开展2021年度中央对地方转移支付资金及省级专项资金绩效自评工作的通知》，我局成立了自评工作小组，并组织计财、粮油等相关股室，对2021年早稻集中育秧开展了绩效评价自查工作，</w:t>
      </w:r>
      <w:r>
        <w:rPr>
          <w:rFonts w:hint="eastAsia" w:ascii="仿宋" w:hAnsi="仿宋" w:eastAsia="仿宋" w:cs="仿宋"/>
          <w:color w:val="333333"/>
          <w:kern w:val="0"/>
          <w:sz w:val="30"/>
          <w:szCs w:val="30"/>
        </w:rPr>
        <w:t>现将项目绩效报告如下：</w:t>
      </w:r>
    </w:p>
    <w:p>
      <w:pPr>
        <w:keepNext w:val="0"/>
        <w:keepLines w:val="0"/>
        <w:pageBreakBefore w:val="0"/>
        <w:widowControl/>
        <w:shd w:val="clear" w:color="auto" w:fill="FFFFFF"/>
        <w:kinsoku/>
        <w:wordWrap/>
        <w:overflowPunct/>
        <w:topLinePunct w:val="0"/>
        <w:autoSpaceDE/>
        <w:autoSpaceDN/>
        <w:bidi w:val="0"/>
        <w:adjustRightInd/>
        <w:snapToGrid/>
        <w:spacing w:before="157" w:after="157" w:line="600" w:lineRule="exact"/>
        <w:ind w:firstLine="604" w:firstLineChars="200"/>
        <w:textAlignment w:val="auto"/>
        <w:rPr>
          <w:rFonts w:hint="eastAsia" w:ascii="黑体" w:hAnsi="黑体" w:eastAsia="黑体" w:cs="黑体"/>
          <w:color w:val="333333"/>
          <w:kern w:val="0"/>
          <w:sz w:val="30"/>
          <w:szCs w:val="30"/>
        </w:rPr>
      </w:pPr>
      <w:r>
        <w:rPr>
          <w:rFonts w:hint="eastAsia" w:ascii="黑体" w:hAnsi="黑体" w:eastAsia="黑体" w:cs="黑体"/>
          <w:b/>
          <w:bCs/>
          <w:color w:val="333333"/>
          <w:kern w:val="0"/>
          <w:sz w:val="30"/>
          <w:szCs w:val="30"/>
        </w:rPr>
        <w:t>一、项目基本情况</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04" w:firstLineChars="200"/>
        <w:textAlignment w:val="auto"/>
        <w:rPr>
          <w:rFonts w:hint="eastAsia" w:ascii="仿宋" w:hAnsi="仿宋" w:eastAsia="仿宋" w:cs="仿宋"/>
          <w:b/>
          <w:bCs/>
          <w:color w:val="333333"/>
          <w:kern w:val="0"/>
          <w:sz w:val="30"/>
          <w:szCs w:val="30"/>
        </w:rPr>
      </w:pPr>
      <w:r>
        <w:rPr>
          <w:rFonts w:hint="eastAsia" w:ascii="仿宋" w:hAnsi="仿宋" w:eastAsia="仿宋" w:cs="仿宋"/>
          <w:b/>
          <w:bCs/>
          <w:color w:val="333333"/>
          <w:kern w:val="0"/>
          <w:sz w:val="30"/>
          <w:szCs w:val="30"/>
        </w:rPr>
        <w:t>（一）专项概况</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04" w:firstLineChars="200"/>
        <w:textAlignment w:val="auto"/>
        <w:rPr>
          <w:rFonts w:hint="eastAsia" w:ascii="仿宋" w:hAnsi="仿宋" w:eastAsia="仿宋" w:cs="仿宋"/>
          <w:color w:val="333333"/>
          <w:kern w:val="0"/>
          <w:sz w:val="30"/>
          <w:szCs w:val="30"/>
        </w:rPr>
      </w:pPr>
      <w:r>
        <w:rPr>
          <w:rFonts w:hint="eastAsia" w:ascii="仿宋" w:hAnsi="仿宋" w:eastAsia="仿宋" w:cs="仿宋"/>
          <w:color w:val="333333"/>
          <w:kern w:val="0"/>
          <w:sz w:val="30"/>
          <w:szCs w:val="30"/>
        </w:rPr>
        <w:t>为加速赫山区水稻集中育秧专业化、社会化、市场化进程，2021年赫山区把集中育秧工作作为发展粮食生产的重要抓手，控制早稻直播、消灭抛荒的主要手段。2021年，共落实集中育秧面积15.7万亩；积极引导水稻种植专业合作社、种粮大户、科技示范户、农资公司等经营主体开展商品化集中育秧服务；并重点培育了6家有影响力的专业化集中育秧合作社（公司），并以此为据点开展代耕、代育、代插、代管、代防、代收、代烘、代销等全程社会化一站式服务；积极推广育秧技术，推广了“软盘抛秧”、机械育插秧、培育壮秧等技术，做到统一优良品种、统一播种量、统一催芽器催芽、统一耕整秧田、统一施用肥料和药剂、统一秧田管理，秧苗均要达到壮秧标准。</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04" w:firstLineChars="200"/>
        <w:jc w:val="left"/>
        <w:textAlignment w:val="auto"/>
        <w:rPr>
          <w:rFonts w:hint="eastAsia" w:ascii="黑体" w:hAnsi="黑体" w:eastAsia="黑体" w:cs="黑体"/>
          <w:color w:val="333333"/>
          <w:kern w:val="0"/>
          <w:sz w:val="30"/>
          <w:szCs w:val="30"/>
        </w:rPr>
      </w:pPr>
      <w:r>
        <w:rPr>
          <w:rFonts w:hint="eastAsia" w:ascii="黑体" w:hAnsi="黑体" w:eastAsia="黑体" w:cs="黑体"/>
          <w:b/>
          <w:bCs/>
          <w:color w:val="333333"/>
          <w:kern w:val="0"/>
          <w:sz w:val="30"/>
          <w:szCs w:val="30"/>
        </w:rPr>
        <w:t>二、绩效评价工作情况</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04" w:firstLineChars="200"/>
        <w:jc w:val="left"/>
        <w:textAlignment w:val="auto"/>
        <w:rPr>
          <w:rFonts w:hint="eastAsia" w:ascii="仿宋" w:hAnsi="仿宋" w:eastAsia="仿宋" w:cs="仿宋"/>
          <w:b/>
          <w:bCs/>
          <w:color w:val="333333"/>
          <w:kern w:val="0"/>
          <w:sz w:val="30"/>
          <w:szCs w:val="30"/>
        </w:rPr>
      </w:pPr>
      <w:r>
        <w:rPr>
          <w:rFonts w:hint="eastAsia" w:ascii="仿宋" w:hAnsi="仿宋" w:eastAsia="仿宋" w:cs="仿宋"/>
          <w:b/>
          <w:bCs/>
          <w:color w:val="333333"/>
          <w:kern w:val="0"/>
          <w:sz w:val="30"/>
          <w:szCs w:val="30"/>
        </w:rPr>
        <w:t>（一）绩效评价目的</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04" w:firstLineChars="200"/>
        <w:textAlignment w:val="auto"/>
        <w:rPr>
          <w:rFonts w:hint="eastAsia" w:ascii="仿宋" w:hAnsi="仿宋" w:eastAsia="仿宋" w:cs="仿宋"/>
          <w:color w:val="333333"/>
          <w:kern w:val="0"/>
          <w:sz w:val="30"/>
          <w:szCs w:val="30"/>
        </w:rPr>
      </w:pPr>
      <w:r>
        <w:rPr>
          <w:rFonts w:hint="eastAsia" w:ascii="仿宋" w:hAnsi="仿宋" w:eastAsia="仿宋" w:cs="仿宋"/>
          <w:color w:val="333333"/>
          <w:kern w:val="0"/>
          <w:sz w:val="30"/>
          <w:szCs w:val="30"/>
        </w:rPr>
        <w:t>通过对集中育秧专项资金管理绩效的综合评价，建立绩效问责机制，进一步增强项目实施和管理者的主体责任意识，确保项目资金分配科学合理、使用安全高效，充分发挥专项资金的引导示范作用，提高全区早稻集中育秧专业化水平，推广现代育秧技术，促进双季稻稳定生产。2021年我局充分履行职责职能，严格照集中育秧实施方案进行规范操作，严格按财经法律法规及相关制度进行资金使用管理，确保管理制度健全、制度执行有效、项目质量过关、资金使用合理规范。</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04" w:firstLineChars="200"/>
        <w:textAlignment w:val="auto"/>
        <w:rPr>
          <w:rFonts w:hint="eastAsia" w:ascii="仿宋" w:hAnsi="仿宋" w:eastAsia="仿宋" w:cs="仿宋"/>
          <w:b/>
          <w:bCs/>
          <w:color w:val="333333"/>
          <w:kern w:val="0"/>
          <w:sz w:val="30"/>
          <w:szCs w:val="30"/>
        </w:rPr>
      </w:pPr>
      <w:r>
        <w:rPr>
          <w:rFonts w:hint="eastAsia" w:ascii="仿宋" w:hAnsi="仿宋" w:eastAsia="仿宋" w:cs="仿宋"/>
          <w:b/>
          <w:bCs/>
          <w:color w:val="333333"/>
          <w:kern w:val="0"/>
          <w:sz w:val="30"/>
          <w:szCs w:val="30"/>
        </w:rPr>
        <w:t>（二）项目资金</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04" w:firstLineChars="200"/>
        <w:textAlignment w:val="auto"/>
        <w:rPr>
          <w:rFonts w:hint="eastAsia" w:ascii="仿宋" w:hAnsi="仿宋" w:eastAsia="仿宋" w:cs="仿宋"/>
          <w:color w:val="333333"/>
          <w:kern w:val="0"/>
          <w:sz w:val="30"/>
          <w:szCs w:val="30"/>
        </w:rPr>
      </w:pPr>
      <w:r>
        <w:rPr>
          <w:rFonts w:hint="eastAsia" w:ascii="仿宋" w:hAnsi="仿宋" w:eastAsia="仿宋" w:cs="仿宋"/>
          <w:color w:val="333333"/>
          <w:kern w:val="0"/>
          <w:sz w:val="30"/>
          <w:szCs w:val="30"/>
        </w:rPr>
        <w:t>    1</w:t>
      </w:r>
      <w:r>
        <w:rPr>
          <w:rFonts w:hint="eastAsia" w:ascii="仿宋" w:hAnsi="仿宋" w:eastAsia="仿宋" w:cs="仿宋"/>
          <w:color w:val="333333"/>
          <w:kern w:val="0"/>
          <w:sz w:val="30"/>
          <w:szCs w:val="30"/>
          <w:lang w:val="en-US" w:eastAsia="zh-CN"/>
        </w:rPr>
        <w:t>.</w:t>
      </w:r>
      <w:r>
        <w:rPr>
          <w:rFonts w:hint="eastAsia" w:ascii="仿宋" w:hAnsi="仿宋" w:eastAsia="仿宋" w:cs="仿宋"/>
          <w:color w:val="333333"/>
          <w:kern w:val="0"/>
          <w:sz w:val="30"/>
          <w:szCs w:val="30"/>
        </w:rPr>
        <w:t>项目资金到位情况</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04" w:firstLineChars="200"/>
        <w:textAlignment w:val="auto"/>
        <w:rPr>
          <w:rFonts w:hint="eastAsia" w:ascii="仿宋" w:hAnsi="仿宋" w:eastAsia="仿宋" w:cs="仿宋"/>
          <w:color w:val="333333"/>
          <w:kern w:val="0"/>
          <w:sz w:val="30"/>
          <w:szCs w:val="30"/>
        </w:rPr>
      </w:pPr>
      <w:r>
        <w:rPr>
          <w:rFonts w:hint="eastAsia" w:ascii="仿宋" w:hAnsi="仿宋" w:eastAsia="仿宋" w:cs="仿宋"/>
          <w:color w:val="333333"/>
          <w:kern w:val="0"/>
          <w:sz w:val="30"/>
          <w:szCs w:val="30"/>
        </w:rPr>
        <w:t>根据《湖南省财政厅关于提前下达2021年中央农业生产社会化服务和早稻集中育秧资金的通知》（湘财预〔2020〕373号）文件，共下达2021年水稻集中育秧专项资金570万元，拨付及时，无滞留、闲置等现象。</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04" w:firstLineChars="200"/>
        <w:textAlignment w:val="auto"/>
        <w:rPr>
          <w:rFonts w:hint="eastAsia" w:ascii="仿宋" w:hAnsi="仿宋" w:eastAsia="仿宋" w:cs="仿宋"/>
          <w:color w:val="333333"/>
          <w:kern w:val="0"/>
          <w:sz w:val="30"/>
          <w:szCs w:val="30"/>
        </w:rPr>
      </w:pPr>
      <w:r>
        <w:rPr>
          <w:rFonts w:hint="eastAsia" w:ascii="仿宋" w:hAnsi="仿宋" w:eastAsia="仿宋" w:cs="仿宋"/>
          <w:color w:val="333333"/>
          <w:kern w:val="0"/>
          <w:sz w:val="30"/>
          <w:szCs w:val="30"/>
        </w:rPr>
        <w:t>2</w:t>
      </w:r>
      <w:r>
        <w:rPr>
          <w:rFonts w:hint="eastAsia" w:ascii="仿宋" w:hAnsi="仿宋" w:eastAsia="仿宋" w:cs="仿宋"/>
          <w:color w:val="333333"/>
          <w:kern w:val="0"/>
          <w:sz w:val="30"/>
          <w:szCs w:val="30"/>
          <w:lang w:val="en-US" w:eastAsia="zh-CN"/>
        </w:rPr>
        <w:t>.</w:t>
      </w:r>
      <w:r>
        <w:rPr>
          <w:rFonts w:hint="eastAsia" w:ascii="仿宋" w:hAnsi="仿宋" w:eastAsia="仿宋" w:cs="仿宋"/>
          <w:color w:val="333333"/>
          <w:kern w:val="0"/>
          <w:sz w:val="30"/>
          <w:szCs w:val="30"/>
        </w:rPr>
        <w:t>项目资金实际使用情况</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04" w:firstLineChars="200"/>
        <w:textAlignment w:val="auto"/>
        <w:rPr>
          <w:rFonts w:hint="eastAsia" w:ascii="仿宋" w:hAnsi="仿宋" w:eastAsia="仿宋" w:cs="仿宋"/>
          <w:color w:val="333333"/>
          <w:kern w:val="0"/>
          <w:sz w:val="30"/>
          <w:szCs w:val="30"/>
        </w:rPr>
      </w:pPr>
      <w:r>
        <w:rPr>
          <w:rFonts w:hint="eastAsia" w:ascii="仿宋" w:hAnsi="仿宋" w:eastAsia="仿宋" w:cs="仿宋"/>
          <w:color w:val="333333"/>
          <w:kern w:val="0"/>
          <w:sz w:val="30"/>
          <w:szCs w:val="30"/>
        </w:rPr>
        <w:t>2021年赫山区集中育秧面积15.6万亩，共需拨付资金835.41万元。其中机插机抛秧秧田面积1016.9亩，补贴标准2500元/亩，抛秧秧田面积5811.9亩，补贴标准1000元/亩。</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04" w:firstLineChars="200"/>
        <w:textAlignment w:val="auto"/>
        <w:rPr>
          <w:rFonts w:hint="eastAsia" w:ascii="仿宋" w:hAnsi="仿宋" w:eastAsia="仿宋" w:cs="仿宋"/>
          <w:color w:val="333333"/>
          <w:kern w:val="0"/>
          <w:sz w:val="30"/>
          <w:szCs w:val="30"/>
        </w:rPr>
      </w:pPr>
      <w:r>
        <w:rPr>
          <w:rFonts w:hint="eastAsia" w:ascii="仿宋" w:hAnsi="仿宋" w:eastAsia="仿宋" w:cs="仿宋"/>
          <w:color w:val="333333"/>
          <w:kern w:val="0"/>
          <w:sz w:val="30"/>
          <w:szCs w:val="30"/>
        </w:rPr>
        <w:t>3</w:t>
      </w:r>
      <w:r>
        <w:rPr>
          <w:rFonts w:hint="eastAsia" w:ascii="仿宋" w:hAnsi="仿宋" w:eastAsia="仿宋" w:cs="仿宋"/>
          <w:color w:val="333333"/>
          <w:kern w:val="0"/>
          <w:sz w:val="30"/>
          <w:szCs w:val="30"/>
          <w:lang w:val="en-US" w:eastAsia="zh-CN"/>
        </w:rPr>
        <w:t>.</w:t>
      </w:r>
      <w:r>
        <w:rPr>
          <w:rFonts w:hint="eastAsia" w:ascii="仿宋" w:hAnsi="仿宋" w:eastAsia="仿宋" w:cs="仿宋"/>
          <w:color w:val="333333"/>
          <w:kern w:val="0"/>
          <w:sz w:val="30"/>
          <w:szCs w:val="30"/>
        </w:rPr>
        <w:t>资金管理使用过程</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04" w:firstLineChars="200"/>
        <w:textAlignment w:val="auto"/>
        <w:rPr>
          <w:rFonts w:hint="eastAsia" w:ascii="仿宋" w:hAnsi="仿宋" w:eastAsia="仿宋" w:cs="仿宋"/>
          <w:color w:val="333333"/>
          <w:kern w:val="0"/>
          <w:sz w:val="30"/>
          <w:szCs w:val="30"/>
        </w:rPr>
      </w:pPr>
      <w:r>
        <w:rPr>
          <w:rFonts w:hint="eastAsia" w:ascii="仿宋" w:hAnsi="仿宋" w:eastAsia="仿宋" w:cs="仿宋"/>
          <w:color w:val="333333"/>
          <w:kern w:val="0"/>
          <w:sz w:val="30"/>
          <w:szCs w:val="30"/>
        </w:rPr>
        <w:t>项目资金严格按照财务管理制度及办法的规定使用，区财政设立水稻集中育秧专户，实行专户专账管理，省级集中育秧项目资金主要用于种子、软(硬)盘、地摸、秧田租凭费等的补贴，所有资金必须专款专用，不能挪用、截留和贪污。严格落实补贴标准，资金拨付采取刷卡到育秧主体形式下达，农业农村局粮油站根据核定的育秧面积算出资金明细帐，制定资金明细表交财政局刷卡。资金使用过程无违法违规现象，并受区督察局监督。</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04" w:firstLineChars="200"/>
        <w:textAlignment w:val="auto"/>
        <w:rPr>
          <w:rFonts w:hint="eastAsia" w:ascii="仿宋" w:hAnsi="仿宋" w:eastAsia="仿宋" w:cs="仿宋"/>
          <w:b/>
          <w:bCs/>
          <w:color w:val="333333"/>
          <w:kern w:val="0"/>
          <w:sz w:val="30"/>
          <w:szCs w:val="30"/>
        </w:rPr>
      </w:pPr>
      <w:r>
        <w:rPr>
          <w:rFonts w:hint="eastAsia" w:ascii="仿宋" w:hAnsi="仿宋" w:eastAsia="仿宋" w:cs="仿宋"/>
          <w:b/>
          <w:bCs/>
          <w:color w:val="333333"/>
          <w:kern w:val="0"/>
          <w:sz w:val="30"/>
          <w:szCs w:val="30"/>
        </w:rPr>
        <w:t>（三）项目组织</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04" w:firstLineChars="200"/>
        <w:textAlignment w:val="auto"/>
        <w:rPr>
          <w:rFonts w:hint="eastAsia" w:ascii="仿宋" w:hAnsi="仿宋" w:eastAsia="仿宋" w:cs="仿宋"/>
          <w:color w:val="333333"/>
          <w:kern w:val="0"/>
          <w:sz w:val="30"/>
          <w:szCs w:val="30"/>
        </w:rPr>
      </w:pPr>
      <w:r>
        <w:rPr>
          <w:rFonts w:hint="eastAsia" w:ascii="仿宋" w:hAnsi="仿宋" w:eastAsia="仿宋" w:cs="仿宋"/>
          <w:color w:val="333333"/>
          <w:kern w:val="0"/>
          <w:sz w:val="30"/>
          <w:szCs w:val="30"/>
        </w:rPr>
        <w:t>项目组织。赫山区成立集中育秧领导小组，由区级领导任组长，农业、财政、农机等单位及各乡镇负责人为成员的领导小组，负责全区水稻集中育秧的行政领导工作。领导小组下设办公室，办公室主任由区农业农村局长兼任。集中育秧工作作为各乡镇粮食生产考核的重要内容。</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04" w:firstLineChars="200"/>
        <w:textAlignment w:val="auto"/>
        <w:rPr>
          <w:rFonts w:hint="eastAsia" w:ascii="仿宋" w:hAnsi="仿宋" w:eastAsia="仿宋" w:cs="仿宋"/>
          <w:color w:val="333333"/>
          <w:kern w:val="0"/>
          <w:sz w:val="30"/>
          <w:szCs w:val="30"/>
        </w:rPr>
      </w:pPr>
      <w:r>
        <w:rPr>
          <w:rFonts w:hint="eastAsia" w:ascii="仿宋" w:hAnsi="仿宋" w:eastAsia="仿宋" w:cs="仿宋"/>
          <w:color w:val="333333"/>
          <w:kern w:val="0"/>
          <w:sz w:val="30"/>
          <w:szCs w:val="30"/>
        </w:rPr>
        <w:t>项目流程。2021年初农业农村局讨论制订2021年集中育秧实施方案并报区领导审批；区召开2021年集中育秧宣传发动会议，传达省农农业农村厅会议精神，布置2021年集中育秧工作；各乡镇召开集中育秧宣传发动工作会议，落实2021年水稻集中育秧工作，完成申报，建立台帐。2021年3月上旬：组织搞好集中育秧技术培训，指导育秧主体落实集中育秧合同及种子、秧盘等育秧物资准备。3月中旬开始指导集中浸种催芽播种工作，秧田技术指导，早稻集中育秧验收。4月上旬进行早稻集中育秧总结、验收汇总刷卡。</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04" w:firstLineChars="200"/>
        <w:textAlignment w:val="auto"/>
        <w:rPr>
          <w:rFonts w:hint="eastAsia" w:ascii="仿宋" w:hAnsi="仿宋" w:eastAsia="仿宋" w:cs="仿宋"/>
          <w:color w:val="333333"/>
          <w:kern w:val="0"/>
          <w:sz w:val="30"/>
          <w:szCs w:val="30"/>
        </w:rPr>
      </w:pPr>
      <w:r>
        <w:rPr>
          <w:rFonts w:hint="eastAsia" w:ascii="仿宋" w:hAnsi="仿宋" w:eastAsia="仿宋" w:cs="仿宋"/>
          <w:color w:val="333333"/>
          <w:kern w:val="0"/>
          <w:sz w:val="30"/>
          <w:szCs w:val="30"/>
        </w:rPr>
        <w:t>面积核定。成立集中育秧面积核查领导小组，由农业农村局局长任组长，采取数秧盘方式进行早稻集中育秧面积核定，粮油站负责核定面积的汇总。抛秧按秧田与大田1：20折算，机插秧按秧田与大田1:40进行折算。</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04" w:firstLineChars="200"/>
        <w:textAlignment w:val="auto"/>
        <w:rPr>
          <w:rFonts w:hint="eastAsia" w:ascii="仿宋" w:hAnsi="仿宋" w:eastAsia="仿宋" w:cs="仿宋"/>
          <w:b/>
          <w:bCs/>
          <w:color w:val="333333"/>
          <w:kern w:val="0"/>
          <w:sz w:val="30"/>
          <w:szCs w:val="30"/>
        </w:rPr>
      </w:pPr>
      <w:r>
        <w:rPr>
          <w:rFonts w:hint="eastAsia" w:ascii="仿宋" w:hAnsi="仿宋" w:eastAsia="仿宋" w:cs="仿宋"/>
          <w:b/>
          <w:bCs/>
          <w:color w:val="333333"/>
          <w:kern w:val="0"/>
          <w:sz w:val="30"/>
          <w:szCs w:val="30"/>
        </w:rPr>
        <w:t>（四）项目管理</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04" w:firstLineChars="200"/>
        <w:textAlignment w:val="auto"/>
        <w:rPr>
          <w:rFonts w:hint="eastAsia" w:ascii="仿宋" w:hAnsi="仿宋" w:eastAsia="仿宋" w:cs="仿宋"/>
          <w:color w:val="333333"/>
          <w:kern w:val="0"/>
          <w:sz w:val="30"/>
          <w:szCs w:val="30"/>
        </w:rPr>
      </w:pPr>
      <w:r>
        <w:rPr>
          <w:rFonts w:hint="eastAsia" w:ascii="仿宋" w:hAnsi="仿宋" w:eastAsia="仿宋" w:cs="仿宋"/>
          <w:color w:val="333333"/>
          <w:kern w:val="0"/>
          <w:sz w:val="30"/>
          <w:szCs w:val="30"/>
        </w:rPr>
        <w:t>技术管理制度建设。区农业农村局成立水稻集中育秧专家技术领导小组，由局长任组长，分管粮油工作的副局长任副组长，粮油、土肥、植保等业务站长及技术专家为成员的技术领导小组，组织编写《集中育秧技术意见》，负责集中育秧全程技术指导与服务。另外，区农业农村局建立班子成员和股站室包乡镇的集中育秧工作机制，确保每个集中育秧示范点上农业农村局均有1名班子成员带领技术人员驻点联系，所有驻点人员都深入集中育秧示范点农户开展实地指导，印发集中育秧技术要点，实行全程跟踪技术服务，严把技术关口，切实规避和化解水稻集中育秧技术培训风险，杜绝水稻集中育秧人为事故。</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04" w:firstLineChars="200"/>
        <w:textAlignment w:val="auto"/>
        <w:rPr>
          <w:rFonts w:hint="eastAsia" w:ascii="仿宋" w:hAnsi="仿宋" w:eastAsia="仿宋" w:cs="仿宋"/>
          <w:color w:val="333333"/>
          <w:kern w:val="0"/>
          <w:sz w:val="30"/>
          <w:szCs w:val="30"/>
        </w:rPr>
      </w:pPr>
      <w:r>
        <w:rPr>
          <w:rFonts w:hint="eastAsia" w:ascii="仿宋" w:hAnsi="仿宋" w:eastAsia="仿宋" w:cs="仿宋"/>
          <w:color w:val="333333"/>
          <w:kern w:val="0"/>
          <w:sz w:val="30"/>
          <w:szCs w:val="30"/>
        </w:rPr>
        <w:t>督查管理。区领导对集中育秧工作进行了3次专项督查，对工作措施过硬，成效显著的进行表彰；对领导不重视，工作不力的乡镇，在全区进行通报批评，并将考核结果纳入年度绩效考核范畴。</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04" w:firstLineChars="200"/>
        <w:textAlignment w:val="auto"/>
        <w:rPr>
          <w:rFonts w:hint="eastAsia" w:ascii="黑体" w:hAnsi="黑体" w:eastAsia="黑体" w:cs="黑体"/>
          <w:color w:val="333333"/>
          <w:kern w:val="0"/>
          <w:sz w:val="30"/>
          <w:szCs w:val="30"/>
        </w:rPr>
      </w:pPr>
      <w:r>
        <w:rPr>
          <w:rFonts w:hint="eastAsia" w:ascii="仿宋" w:hAnsi="仿宋" w:eastAsia="仿宋" w:cs="仿宋"/>
          <w:color w:val="333333"/>
          <w:kern w:val="0"/>
          <w:sz w:val="30"/>
          <w:szCs w:val="30"/>
          <w:lang w:val="en-US" w:eastAsia="zh-CN"/>
        </w:rPr>
        <w:t xml:space="preserve"> </w:t>
      </w:r>
      <w:r>
        <w:rPr>
          <w:rFonts w:hint="eastAsia" w:ascii="黑体" w:hAnsi="黑体" w:eastAsia="黑体" w:cs="黑体"/>
          <w:b/>
          <w:bCs/>
          <w:color w:val="333333"/>
          <w:kern w:val="0"/>
          <w:sz w:val="30"/>
          <w:szCs w:val="30"/>
        </w:rPr>
        <w:t>三、项目绩效情况</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04" w:firstLineChars="200"/>
        <w:textAlignment w:val="auto"/>
        <w:rPr>
          <w:rFonts w:hint="eastAsia" w:ascii="仿宋" w:hAnsi="仿宋" w:eastAsia="仿宋" w:cs="仿宋"/>
          <w:b/>
          <w:bCs/>
          <w:color w:val="333333"/>
          <w:kern w:val="0"/>
          <w:sz w:val="30"/>
          <w:szCs w:val="30"/>
        </w:rPr>
      </w:pPr>
      <w:r>
        <w:rPr>
          <w:rFonts w:hint="eastAsia" w:ascii="仿宋" w:hAnsi="仿宋" w:eastAsia="仿宋" w:cs="仿宋"/>
          <w:b/>
          <w:bCs/>
          <w:color w:val="333333"/>
          <w:kern w:val="0"/>
          <w:sz w:val="30"/>
          <w:szCs w:val="30"/>
        </w:rPr>
        <w:t>（一）项目产出绩效情况</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04" w:firstLineChars="200"/>
        <w:textAlignment w:val="auto"/>
        <w:rPr>
          <w:rFonts w:hint="eastAsia" w:ascii="仿宋" w:hAnsi="仿宋" w:eastAsia="仿宋" w:cs="仿宋"/>
          <w:color w:val="333333"/>
          <w:kern w:val="0"/>
          <w:sz w:val="30"/>
          <w:szCs w:val="30"/>
        </w:rPr>
      </w:pPr>
      <w:r>
        <w:rPr>
          <w:rFonts w:hint="eastAsia" w:ascii="仿宋" w:hAnsi="仿宋" w:eastAsia="仿宋" w:cs="仿宋"/>
          <w:color w:val="333333"/>
          <w:kern w:val="0"/>
          <w:sz w:val="30"/>
          <w:szCs w:val="30"/>
        </w:rPr>
        <w:t> 省财政实际下达集中育秧专项资金570万元，共补助大田面积15.6万亩，印刷技术资料5万份，并成立了以高级农艺师为主要成员的农业技术培训讲师团，共举办培训班14期，培训总人数达600人次。集中育秧项目的实施，有效的控制了早稻直播、消灭了季节性抛荒、推动了土地流转进程，稳定了早稻播种面积，减少直播面积2.5万亩，增产稻谷1.6万吨。</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04" w:firstLineChars="200"/>
        <w:textAlignment w:val="auto"/>
        <w:rPr>
          <w:rFonts w:hint="eastAsia" w:ascii="仿宋" w:hAnsi="仿宋" w:eastAsia="仿宋" w:cs="仿宋"/>
          <w:b/>
          <w:bCs/>
          <w:color w:val="333333"/>
          <w:kern w:val="0"/>
          <w:sz w:val="30"/>
          <w:szCs w:val="30"/>
        </w:rPr>
      </w:pPr>
      <w:r>
        <w:rPr>
          <w:rFonts w:hint="eastAsia" w:ascii="仿宋" w:hAnsi="仿宋" w:eastAsia="仿宋" w:cs="仿宋"/>
          <w:b/>
          <w:bCs/>
          <w:color w:val="333333"/>
          <w:kern w:val="0"/>
          <w:sz w:val="30"/>
          <w:szCs w:val="30"/>
        </w:rPr>
        <w:t>（二）项目效益绩效情况</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04" w:firstLineChars="200"/>
        <w:textAlignment w:val="auto"/>
        <w:rPr>
          <w:rFonts w:hint="eastAsia" w:ascii="仿宋" w:hAnsi="仿宋" w:eastAsia="仿宋" w:cs="仿宋"/>
          <w:color w:val="333333"/>
          <w:kern w:val="0"/>
          <w:sz w:val="30"/>
          <w:szCs w:val="30"/>
        </w:rPr>
      </w:pPr>
      <w:r>
        <w:rPr>
          <w:rFonts w:hint="eastAsia" w:ascii="仿宋" w:hAnsi="仿宋" w:eastAsia="仿宋" w:cs="仿宋"/>
          <w:color w:val="333333"/>
          <w:kern w:val="0"/>
          <w:sz w:val="30"/>
          <w:szCs w:val="30"/>
        </w:rPr>
        <w:t> 1</w:t>
      </w:r>
      <w:r>
        <w:rPr>
          <w:rFonts w:hint="eastAsia" w:ascii="仿宋" w:hAnsi="仿宋" w:eastAsia="仿宋" w:cs="仿宋"/>
          <w:color w:val="333333"/>
          <w:kern w:val="0"/>
          <w:sz w:val="30"/>
          <w:szCs w:val="30"/>
          <w:lang w:val="en-US" w:eastAsia="zh-CN"/>
        </w:rPr>
        <w:t>.</w:t>
      </w:r>
      <w:r>
        <w:rPr>
          <w:rFonts w:hint="eastAsia" w:ascii="仿宋" w:hAnsi="仿宋" w:eastAsia="仿宋" w:cs="仿宋"/>
          <w:color w:val="333333"/>
          <w:kern w:val="0"/>
          <w:sz w:val="30"/>
          <w:szCs w:val="30"/>
        </w:rPr>
        <w:t>项目经济效益。实施集中育秧可使农户每亩大田平均收入增加40元，节支50元，每亩秧田平均收入增加800元，节支1000元。</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04" w:firstLineChars="200"/>
        <w:textAlignment w:val="auto"/>
        <w:rPr>
          <w:rFonts w:hint="eastAsia" w:ascii="仿宋" w:hAnsi="仿宋" w:eastAsia="仿宋" w:cs="仿宋"/>
          <w:color w:val="333333"/>
          <w:kern w:val="0"/>
          <w:sz w:val="30"/>
          <w:szCs w:val="30"/>
        </w:rPr>
      </w:pPr>
      <w:r>
        <w:rPr>
          <w:rFonts w:hint="eastAsia" w:ascii="仿宋" w:hAnsi="仿宋" w:eastAsia="仿宋" w:cs="仿宋"/>
          <w:color w:val="333333"/>
          <w:kern w:val="0"/>
          <w:sz w:val="30"/>
          <w:szCs w:val="30"/>
        </w:rPr>
        <w:t> 2</w:t>
      </w:r>
      <w:r>
        <w:rPr>
          <w:rFonts w:hint="eastAsia" w:ascii="仿宋" w:hAnsi="仿宋" w:eastAsia="仿宋" w:cs="仿宋"/>
          <w:color w:val="333333"/>
          <w:kern w:val="0"/>
          <w:sz w:val="30"/>
          <w:szCs w:val="30"/>
          <w:lang w:val="en-US" w:eastAsia="zh-CN"/>
        </w:rPr>
        <w:t>.</w:t>
      </w:r>
      <w:r>
        <w:rPr>
          <w:rFonts w:hint="eastAsia" w:ascii="仿宋" w:hAnsi="仿宋" w:eastAsia="仿宋" w:cs="仿宋"/>
          <w:color w:val="333333"/>
          <w:kern w:val="0"/>
          <w:sz w:val="30"/>
          <w:szCs w:val="30"/>
        </w:rPr>
        <w:t>项目社会效益。项目实施后，缓解地方劳动力短缺；培育育秧主体，引入市场化竞争，促进地方农业经济发展；专业化集中育秧有效提升农业生产社会化服务水平，减轻散户育秧强度，促进育插秧向专业化方向、市场化转变，有效规避因技术不到位带来的生产风险。</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04" w:firstLineChars="200"/>
        <w:textAlignment w:val="auto"/>
        <w:rPr>
          <w:rFonts w:hint="eastAsia" w:ascii="仿宋" w:hAnsi="仿宋" w:eastAsia="仿宋" w:cs="仿宋"/>
          <w:color w:val="333333"/>
          <w:kern w:val="0"/>
          <w:sz w:val="30"/>
          <w:szCs w:val="30"/>
        </w:rPr>
      </w:pPr>
      <w:r>
        <w:rPr>
          <w:rFonts w:hint="eastAsia" w:ascii="仿宋" w:hAnsi="仿宋" w:eastAsia="仿宋" w:cs="仿宋"/>
          <w:color w:val="333333"/>
          <w:kern w:val="0"/>
          <w:sz w:val="30"/>
          <w:szCs w:val="30"/>
        </w:rPr>
        <w:t>3</w:t>
      </w:r>
      <w:r>
        <w:rPr>
          <w:rFonts w:hint="eastAsia" w:ascii="仿宋" w:hAnsi="仿宋" w:eastAsia="仿宋" w:cs="仿宋"/>
          <w:color w:val="333333"/>
          <w:kern w:val="0"/>
          <w:sz w:val="30"/>
          <w:szCs w:val="30"/>
          <w:lang w:val="en-US" w:eastAsia="zh-CN"/>
        </w:rPr>
        <w:t>.</w:t>
      </w:r>
      <w:r>
        <w:rPr>
          <w:rFonts w:hint="eastAsia" w:ascii="仿宋" w:hAnsi="仿宋" w:eastAsia="仿宋" w:cs="仿宋"/>
          <w:color w:val="333333"/>
          <w:kern w:val="0"/>
          <w:sz w:val="30"/>
          <w:szCs w:val="30"/>
        </w:rPr>
        <w:t>项目环境效益。压单扩双有效减少撂荒田的出现；集中育秧减少了秧田的使用，增加了可插大田面积，带动提升环境效益；现代育插秧技术的推广普及，有效的减少了农药化肥的使用量；集中育秧避免了直播的发生，减少了除草剂的使用，缓解了面源污染。</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04" w:firstLineChars="200"/>
        <w:textAlignment w:val="auto"/>
        <w:rPr>
          <w:rFonts w:hint="eastAsia" w:ascii="仿宋" w:hAnsi="仿宋" w:eastAsia="仿宋" w:cs="仿宋"/>
          <w:b/>
          <w:bCs/>
          <w:color w:val="333333"/>
          <w:kern w:val="0"/>
          <w:sz w:val="30"/>
          <w:szCs w:val="30"/>
        </w:rPr>
      </w:pPr>
      <w:r>
        <w:rPr>
          <w:rFonts w:hint="eastAsia" w:ascii="仿宋" w:hAnsi="仿宋" w:eastAsia="仿宋" w:cs="仿宋"/>
          <w:b/>
          <w:bCs/>
          <w:color w:val="333333"/>
          <w:kern w:val="0"/>
          <w:sz w:val="30"/>
          <w:szCs w:val="30"/>
        </w:rPr>
        <w:t>（三）自评结论</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04" w:firstLineChars="200"/>
        <w:textAlignment w:val="auto"/>
        <w:rPr>
          <w:rFonts w:hint="eastAsia" w:ascii="仿宋" w:hAnsi="仿宋" w:eastAsia="仿宋" w:cs="仿宋"/>
          <w:color w:val="333333"/>
          <w:kern w:val="0"/>
          <w:sz w:val="30"/>
          <w:szCs w:val="30"/>
        </w:rPr>
      </w:pPr>
      <w:r>
        <w:rPr>
          <w:rFonts w:hint="eastAsia" w:ascii="仿宋" w:hAnsi="仿宋" w:eastAsia="仿宋" w:cs="仿宋"/>
          <w:color w:val="333333"/>
          <w:kern w:val="0"/>
          <w:sz w:val="30"/>
          <w:szCs w:val="30"/>
        </w:rPr>
        <w:t>该项目在赫山区推广，数据客观真实、推广措施合理得力、资金管理严格，年新增产谷1.6万吨，农民增收节支700余万元，经济效益、生态效益、社会效益十分显著。</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04" w:firstLineChars="200"/>
        <w:textAlignment w:val="auto"/>
        <w:rPr>
          <w:rFonts w:hint="eastAsia" w:ascii="黑体" w:hAnsi="黑体" w:eastAsia="黑体" w:cs="黑体"/>
          <w:color w:val="333333"/>
          <w:kern w:val="0"/>
          <w:sz w:val="30"/>
          <w:szCs w:val="30"/>
        </w:rPr>
      </w:pPr>
      <w:r>
        <w:rPr>
          <w:rFonts w:hint="eastAsia" w:ascii="黑体" w:hAnsi="黑体" w:eastAsia="黑体" w:cs="黑体"/>
          <w:b/>
          <w:bCs/>
          <w:color w:val="333333"/>
          <w:kern w:val="0"/>
          <w:sz w:val="30"/>
          <w:szCs w:val="30"/>
        </w:rPr>
        <w:t>四、主要经验、问题与对策</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04" w:firstLineChars="200"/>
        <w:textAlignment w:val="auto"/>
        <w:rPr>
          <w:rFonts w:hint="eastAsia" w:ascii="仿宋" w:hAnsi="仿宋" w:eastAsia="仿宋" w:cs="仿宋"/>
          <w:b/>
          <w:bCs/>
          <w:color w:val="333333"/>
          <w:kern w:val="0"/>
          <w:sz w:val="30"/>
          <w:szCs w:val="30"/>
        </w:rPr>
      </w:pPr>
      <w:r>
        <w:rPr>
          <w:rFonts w:hint="eastAsia" w:ascii="仿宋" w:hAnsi="仿宋" w:eastAsia="仿宋" w:cs="仿宋"/>
          <w:b/>
          <w:bCs/>
          <w:color w:val="333333"/>
          <w:kern w:val="0"/>
          <w:sz w:val="30"/>
          <w:szCs w:val="30"/>
        </w:rPr>
        <w:t>（一）项目实施的经验及做法</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04" w:firstLineChars="200"/>
        <w:textAlignment w:val="auto"/>
        <w:rPr>
          <w:rFonts w:hint="eastAsia" w:ascii="仿宋" w:hAnsi="仿宋" w:eastAsia="仿宋" w:cs="仿宋"/>
          <w:color w:val="333333"/>
          <w:kern w:val="0"/>
          <w:sz w:val="30"/>
          <w:szCs w:val="30"/>
        </w:rPr>
      </w:pPr>
      <w:r>
        <w:rPr>
          <w:rFonts w:hint="eastAsia" w:ascii="仿宋" w:hAnsi="仿宋" w:eastAsia="仿宋" w:cs="仿宋"/>
          <w:color w:val="333333"/>
          <w:kern w:val="0"/>
          <w:sz w:val="30"/>
          <w:szCs w:val="30"/>
        </w:rPr>
        <w:t>1</w:t>
      </w:r>
      <w:r>
        <w:rPr>
          <w:rFonts w:hint="eastAsia" w:ascii="仿宋" w:hAnsi="仿宋" w:eastAsia="仿宋" w:cs="仿宋"/>
          <w:color w:val="333333"/>
          <w:kern w:val="0"/>
          <w:sz w:val="30"/>
          <w:szCs w:val="30"/>
          <w:lang w:val="en-US" w:eastAsia="zh-CN"/>
        </w:rPr>
        <w:t>.</w:t>
      </w:r>
      <w:r>
        <w:rPr>
          <w:rFonts w:hint="eastAsia" w:ascii="仿宋" w:hAnsi="仿宋" w:eastAsia="仿宋" w:cs="仿宋"/>
          <w:color w:val="333333"/>
          <w:kern w:val="0"/>
          <w:sz w:val="30"/>
          <w:szCs w:val="30"/>
        </w:rPr>
        <w:t>加强组织领导。成立区级领导为组长的领导小组，加强行政推动，把集中育秧作为重要的考评指标，积极促进集中育秧工作开展。</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04" w:firstLineChars="200"/>
        <w:textAlignment w:val="auto"/>
        <w:rPr>
          <w:rFonts w:hint="eastAsia" w:ascii="仿宋" w:hAnsi="仿宋" w:eastAsia="仿宋" w:cs="仿宋"/>
          <w:color w:val="333333"/>
          <w:kern w:val="0"/>
          <w:sz w:val="30"/>
          <w:szCs w:val="30"/>
        </w:rPr>
      </w:pPr>
      <w:r>
        <w:rPr>
          <w:rFonts w:hint="eastAsia" w:ascii="仿宋" w:hAnsi="仿宋" w:eastAsia="仿宋" w:cs="仿宋"/>
          <w:color w:val="333333"/>
          <w:kern w:val="0"/>
          <w:sz w:val="30"/>
          <w:szCs w:val="30"/>
        </w:rPr>
        <w:t>2</w:t>
      </w:r>
      <w:r>
        <w:rPr>
          <w:rFonts w:hint="eastAsia" w:ascii="仿宋" w:hAnsi="仿宋" w:eastAsia="仿宋" w:cs="仿宋"/>
          <w:color w:val="333333"/>
          <w:kern w:val="0"/>
          <w:sz w:val="30"/>
          <w:szCs w:val="30"/>
          <w:lang w:val="en-US" w:eastAsia="zh-CN"/>
        </w:rPr>
        <w:t>.</w:t>
      </w:r>
      <w:r>
        <w:rPr>
          <w:rFonts w:hint="eastAsia" w:ascii="仿宋" w:hAnsi="仿宋" w:eastAsia="仿宋" w:cs="仿宋"/>
          <w:color w:val="333333"/>
          <w:kern w:val="0"/>
          <w:sz w:val="30"/>
          <w:szCs w:val="30"/>
        </w:rPr>
        <w:t>不断培养新的育秧主体，把市场竞争引入到集中育秧工作中来，从而提高集中育秧的专业化、集约化程度。</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04" w:firstLineChars="200"/>
        <w:textAlignment w:val="auto"/>
        <w:rPr>
          <w:rFonts w:hint="eastAsia" w:ascii="仿宋" w:hAnsi="仿宋" w:eastAsia="仿宋" w:cs="仿宋"/>
          <w:color w:val="333333"/>
          <w:kern w:val="0"/>
          <w:sz w:val="30"/>
          <w:szCs w:val="30"/>
        </w:rPr>
      </w:pPr>
      <w:r>
        <w:rPr>
          <w:rFonts w:hint="eastAsia" w:ascii="仿宋" w:hAnsi="仿宋" w:eastAsia="仿宋" w:cs="仿宋"/>
          <w:color w:val="333333"/>
          <w:kern w:val="0"/>
          <w:sz w:val="30"/>
          <w:szCs w:val="30"/>
        </w:rPr>
        <w:t>3</w:t>
      </w:r>
      <w:r>
        <w:rPr>
          <w:rFonts w:hint="eastAsia" w:ascii="仿宋" w:hAnsi="仿宋" w:eastAsia="仿宋" w:cs="仿宋"/>
          <w:color w:val="333333"/>
          <w:kern w:val="0"/>
          <w:sz w:val="30"/>
          <w:szCs w:val="30"/>
          <w:lang w:val="en-US" w:eastAsia="zh-CN"/>
        </w:rPr>
        <w:t>.</w:t>
      </w:r>
      <w:r>
        <w:rPr>
          <w:rFonts w:hint="eastAsia" w:ascii="仿宋" w:hAnsi="仿宋" w:eastAsia="仿宋" w:cs="仿宋"/>
          <w:color w:val="333333"/>
          <w:kern w:val="0"/>
          <w:sz w:val="30"/>
          <w:szCs w:val="30"/>
        </w:rPr>
        <w:t>确保资金专项专用，严格落实资金补贴标准，狠抓台账落实。</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04" w:firstLineChars="200"/>
        <w:textAlignment w:val="auto"/>
        <w:rPr>
          <w:rFonts w:hint="eastAsia" w:ascii="仿宋" w:hAnsi="仿宋" w:eastAsia="仿宋" w:cs="仿宋"/>
          <w:color w:val="333333"/>
          <w:kern w:val="0"/>
          <w:sz w:val="30"/>
          <w:szCs w:val="30"/>
        </w:rPr>
      </w:pPr>
      <w:r>
        <w:rPr>
          <w:rFonts w:hint="eastAsia" w:ascii="仿宋" w:hAnsi="仿宋" w:eastAsia="仿宋" w:cs="仿宋"/>
          <w:color w:val="333333"/>
          <w:kern w:val="0"/>
          <w:sz w:val="30"/>
          <w:szCs w:val="30"/>
        </w:rPr>
        <w:t>4</w:t>
      </w:r>
      <w:r>
        <w:rPr>
          <w:rFonts w:hint="eastAsia" w:ascii="仿宋" w:hAnsi="仿宋" w:eastAsia="仿宋" w:cs="仿宋"/>
          <w:color w:val="333333"/>
          <w:kern w:val="0"/>
          <w:sz w:val="30"/>
          <w:szCs w:val="30"/>
          <w:lang w:val="en-US" w:eastAsia="zh-CN"/>
        </w:rPr>
        <w:t>.</w:t>
      </w:r>
      <w:r>
        <w:rPr>
          <w:rFonts w:hint="eastAsia" w:ascii="仿宋" w:hAnsi="仿宋" w:eastAsia="仿宋" w:cs="仿宋"/>
          <w:color w:val="333333"/>
          <w:kern w:val="0"/>
          <w:sz w:val="30"/>
          <w:szCs w:val="30"/>
        </w:rPr>
        <w:t>加强项目的监督和管理，确保项目的进度和质量。</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04" w:firstLineChars="200"/>
        <w:textAlignment w:val="auto"/>
        <w:rPr>
          <w:rFonts w:hint="eastAsia" w:ascii="仿宋" w:hAnsi="仿宋" w:eastAsia="仿宋" w:cs="仿宋"/>
          <w:b/>
          <w:bCs/>
          <w:color w:val="333333"/>
          <w:kern w:val="0"/>
          <w:sz w:val="30"/>
          <w:szCs w:val="30"/>
        </w:rPr>
      </w:pPr>
      <w:r>
        <w:rPr>
          <w:rFonts w:hint="eastAsia" w:ascii="仿宋" w:hAnsi="仿宋" w:eastAsia="仿宋" w:cs="仿宋"/>
          <w:b/>
          <w:bCs/>
          <w:color w:val="333333"/>
          <w:kern w:val="0"/>
          <w:sz w:val="30"/>
          <w:szCs w:val="30"/>
        </w:rPr>
        <w:t>（二）存在的问题及建议</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04" w:firstLineChars="200"/>
        <w:textAlignment w:val="auto"/>
        <w:rPr>
          <w:rFonts w:hint="eastAsia" w:ascii="仿宋" w:hAnsi="仿宋" w:eastAsia="仿宋" w:cs="仿宋"/>
          <w:color w:val="333333"/>
          <w:kern w:val="0"/>
          <w:sz w:val="30"/>
          <w:szCs w:val="30"/>
        </w:rPr>
      </w:pPr>
      <w:r>
        <w:rPr>
          <w:rFonts w:hint="eastAsia" w:ascii="仿宋" w:hAnsi="仿宋" w:eastAsia="仿宋" w:cs="仿宋"/>
          <w:color w:val="333333"/>
          <w:kern w:val="0"/>
          <w:sz w:val="30"/>
          <w:szCs w:val="30"/>
        </w:rPr>
        <w:t> 1</w:t>
      </w:r>
      <w:r>
        <w:rPr>
          <w:rFonts w:hint="eastAsia" w:ascii="仿宋" w:hAnsi="仿宋" w:eastAsia="仿宋" w:cs="仿宋"/>
          <w:color w:val="333333"/>
          <w:kern w:val="0"/>
          <w:sz w:val="30"/>
          <w:szCs w:val="30"/>
          <w:lang w:val="en-US" w:eastAsia="zh-CN"/>
        </w:rPr>
        <w:t>.</w:t>
      </w:r>
      <w:r>
        <w:rPr>
          <w:rFonts w:hint="eastAsia" w:ascii="仿宋" w:hAnsi="仿宋" w:eastAsia="仿宋" w:cs="仿宋"/>
          <w:color w:val="333333"/>
          <w:kern w:val="0"/>
          <w:sz w:val="30"/>
          <w:szCs w:val="30"/>
        </w:rPr>
        <w:t>劳动力成本增加明显。农村青壮年劳动力外出务工较多导致劳动力成本增至180-200元/天.人，用工难、用工贵问题凸显。</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04" w:firstLineChars="200"/>
        <w:textAlignment w:val="auto"/>
        <w:rPr>
          <w:rFonts w:hint="eastAsia" w:ascii="仿宋" w:hAnsi="仿宋" w:eastAsia="仿宋" w:cs="仿宋"/>
          <w:color w:val="333333"/>
          <w:kern w:val="0"/>
          <w:sz w:val="30"/>
          <w:szCs w:val="30"/>
        </w:rPr>
      </w:pPr>
      <w:r>
        <w:rPr>
          <w:rFonts w:hint="eastAsia" w:ascii="仿宋" w:hAnsi="仿宋" w:eastAsia="仿宋" w:cs="仿宋"/>
          <w:color w:val="333333"/>
          <w:kern w:val="0"/>
          <w:sz w:val="30"/>
          <w:szCs w:val="30"/>
        </w:rPr>
        <w:t>2</w:t>
      </w:r>
      <w:r>
        <w:rPr>
          <w:rFonts w:hint="eastAsia" w:ascii="仿宋" w:hAnsi="仿宋" w:eastAsia="仿宋" w:cs="仿宋"/>
          <w:color w:val="333333"/>
          <w:kern w:val="0"/>
          <w:sz w:val="30"/>
          <w:szCs w:val="30"/>
          <w:lang w:val="en-US" w:eastAsia="zh-CN"/>
        </w:rPr>
        <w:t>.</w:t>
      </w:r>
      <w:r>
        <w:rPr>
          <w:rFonts w:hint="eastAsia" w:ascii="仿宋" w:hAnsi="仿宋" w:eastAsia="仿宋" w:cs="仿宋"/>
          <w:color w:val="333333"/>
          <w:kern w:val="0"/>
          <w:sz w:val="30"/>
          <w:szCs w:val="30"/>
        </w:rPr>
        <w:t>建议加大财政补贴力度与财政投入。根据劳动力上浮成本适度增加补贴标准，促进农户的集中育秧积极性。根据我区每年增加的百亩以上种粮大户的数量适当增加相应的财政投入。</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04" w:firstLineChars="200"/>
        <w:textAlignment w:val="auto"/>
        <w:rPr>
          <w:rFonts w:hint="default" w:ascii="仿宋" w:hAnsi="仿宋" w:eastAsia="仿宋" w:cs="仿宋"/>
          <w:color w:val="333333"/>
          <w:kern w:val="0"/>
          <w:sz w:val="30"/>
          <w:szCs w:val="30"/>
        </w:rPr>
      </w:pPr>
      <w:r>
        <w:rPr>
          <w:rFonts w:hint="eastAsia" w:ascii="仿宋" w:hAnsi="仿宋" w:eastAsia="仿宋" w:cs="仿宋"/>
          <w:color w:val="333333"/>
          <w:kern w:val="0"/>
          <w:sz w:val="30"/>
          <w:szCs w:val="30"/>
          <w:lang w:val="en-US" w:eastAsia="zh-CN"/>
        </w:rPr>
        <w:t>附件：</w:t>
      </w:r>
      <w:r>
        <w:rPr>
          <w:rFonts w:hint="default" w:ascii="仿宋" w:hAnsi="仿宋" w:eastAsia="仿宋" w:cs="仿宋"/>
          <w:color w:val="333333"/>
          <w:kern w:val="0"/>
          <w:sz w:val="30"/>
          <w:szCs w:val="30"/>
        </w:rPr>
        <w:t>2021年度项目支出绩效自评指标计分表</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04" w:firstLineChars="200"/>
        <w:textAlignment w:val="auto"/>
        <w:rPr>
          <w:rFonts w:hint="default" w:ascii="仿宋" w:hAnsi="仿宋" w:eastAsia="仿宋" w:cs="仿宋"/>
          <w:color w:val="333333"/>
          <w:kern w:val="0"/>
          <w:sz w:val="30"/>
          <w:szCs w:val="30"/>
          <w:lang w:val="en-US" w:eastAsia="zh-CN"/>
        </w:rPr>
      </w:pPr>
    </w:p>
    <w:p>
      <w:pPr>
        <w:pStyle w:val="3"/>
        <w:rPr>
          <w:rFonts w:hint="default" w:ascii="仿宋" w:hAnsi="仿宋" w:eastAsia="仿宋" w:cs="仿宋"/>
          <w:sz w:val="30"/>
          <w:szCs w:val="30"/>
          <w:lang w:val="en-US" w:eastAsia="zh-CN"/>
        </w:rPr>
        <w:sectPr>
          <w:pgSz w:w="11906" w:h="16838"/>
          <w:pgMar w:top="1134" w:right="1531" w:bottom="1134" w:left="1531" w:header="851" w:footer="992" w:gutter="0"/>
          <w:cols w:space="0" w:num="1"/>
          <w:rtlGutter w:val="0"/>
          <w:docGrid w:type="linesAndChars" w:linePitch="312" w:charSpace="532"/>
        </w:sectPr>
      </w:pPr>
      <w:r>
        <w:rPr>
          <w:rFonts w:hint="eastAsia" w:ascii="仿宋" w:hAnsi="仿宋" w:eastAsia="仿宋" w:cs="仿宋"/>
          <w:color w:val="333333"/>
          <w:kern w:val="0"/>
          <w:sz w:val="30"/>
          <w:szCs w:val="30"/>
        </w:rPr>
        <w:t xml:space="preserve">                        </w:t>
      </w:r>
    </w:p>
    <w:tbl>
      <w:tblPr>
        <w:tblStyle w:val="4"/>
        <w:tblW w:w="91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43"/>
        <w:gridCol w:w="454"/>
        <w:gridCol w:w="834"/>
        <w:gridCol w:w="540"/>
        <w:gridCol w:w="2625"/>
        <w:gridCol w:w="4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blHeader/>
          <w:jc w:val="center"/>
        </w:trPr>
        <w:tc>
          <w:tcPr>
            <w:tcW w:w="543" w:type="dxa"/>
            <w:tcMar>
              <w:top w:w="10" w:type="dxa"/>
              <w:left w:w="10" w:type="dxa"/>
              <w:bottom w:w="0" w:type="dxa"/>
              <w:right w:w="10" w:type="dxa"/>
            </w:tcMar>
            <w:vAlign w:val="center"/>
          </w:tcPr>
          <w:p>
            <w:pPr>
              <w:spacing w:line="240" w:lineRule="exact"/>
              <w:jc w:val="center"/>
              <w:rPr>
                <w:rFonts w:ascii="宋体"/>
                <w:b/>
                <w:bCs/>
              </w:rPr>
            </w:pPr>
            <w:r>
              <w:rPr>
                <w:rFonts w:hint="eastAsia" w:ascii="宋体" w:hAnsi="宋体" w:cs="宋体"/>
                <w:b/>
                <w:bCs/>
              </w:rPr>
              <w:t>一级</w:t>
            </w:r>
            <w:r>
              <w:rPr>
                <w:rFonts w:ascii="宋体"/>
                <w:b/>
                <w:bCs/>
              </w:rPr>
              <w:br w:type="textWrapping"/>
            </w:r>
            <w:r>
              <w:rPr>
                <w:rFonts w:hint="eastAsia" w:ascii="宋体" w:hAnsi="宋体" w:cs="宋体"/>
                <w:b/>
                <w:bCs/>
              </w:rPr>
              <w:t>指标</w:t>
            </w:r>
          </w:p>
        </w:tc>
        <w:tc>
          <w:tcPr>
            <w:tcW w:w="454" w:type="dxa"/>
            <w:tcMar>
              <w:top w:w="10" w:type="dxa"/>
              <w:left w:w="10" w:type="dxa"/>
              <w:bottom w:w="0" w:type="dxa"/>
              <w:right w:w="10" w:type="dxa"/>
            </w:tcMar>
            <w:vAlign w:val="center"/>
          </w:tcPr>
          <w:p>
            <w:pPr>
              <w:spacing w:line="240" w:lineRule="exact"/>
              <w:jc w:val="center"/>
              <w:rPr>
                <w:rFonts w:ascii="宋体"/>
                <w:b/>
                <w:bCs/>
              </w:rPr>
            </w:pPr>
            <w:r>
              <w:rPr>
                <w:rFonts w:hint="eastAsia" w:ascii="宋体" w:hAnsi="宋体" w:cs="宋体"/>
                <w:b/>
                <w:bCs/>
              </w:rPr>
              <w:t>二级</w:t>
            </w:r>
            <w:r>
              <w:rPr>
                <w:rFonts w:ascii="宋体"/>
                <w:b/>
                <w:bCs/>
              </w:rPr>
              <w:br w:type="textWrapping"/>
            </w:r>
            <w:r>
              <w:rPr>
                <w:rFonts w:hint="eastAsia" w:ascii="宋体" w:hAnsi="宋体" w:cs="宋体"/>
                <w:b/>
                <w:bCs/>
              </w:rPr>
              <w:t>指标</w:t>
            </w:r>
          </w:p>
        </w:tc>
        <w:tc>
          <w:tcPr>
            <w:tcW w:w="834" w:type="dxa"/>
            <w:tcMar>
              <w:top w:w="10" w:type="dxa"/>
              <w:left w:w="10" w:type="dxa"/>
              <w:bottom w:w="0" w:type="dxa"/>
              <w:right w:w="10" w:type="dxa"/>
            </w:tcMar>
            <w:vAlign w:val="center"/>
          </w:tcPr>
          <w:p>
            <w:pPr>
              <w:spacing w:line="240" w:lineRule="exact"/>
              <w:jc w:val="center"/>
              <w:rPr>
                <w:rFonts w:ascii="宋体"/>
                <w:b/>
                <w:bCs/>
              </w:rPr>
            </w:pPr>
            <w:r>
              <w:rPr>
                <w:rFonts w:hint="eastAsia" w:ascii="宋体" w:hAnsi="宋体" w:cs="宋体"/>
                <w:b/>
                <w:bCs/>
              </w:rPr>
              <w:t>三级指标</w:t>
            </w:r>
          </w:p>
        </w:tc>
        <w:tc>
          <w:tcPr>
            <w:tcW w:w="540" w:type="dxa"/>
          </w:tcPr>
          <w:p>
            <w:pPr>
              <w:spacing w:line="240" w:lineRule="exact"/>
              <w:jc w:val="center"/>
              <w:rPr>
                <w:rFonts w:ascii="宋体"/>
                <w:b/>
                <w:bCs/>
              </w:rPr>
            </w:pPr>
            <w:r>
              <w:rPr>
                <w:rFonts w:hint="eastAsia" w:ascii="宋体" w:hAnsi="宋体" w:cs="宋体"/>
                <w:b/>
                <w:bCs/>
              </w:rPr>
              <w:t>自评分</w:t>
            </w:r>
          </w:p>
        </w:tc>
        <w:tc>
          <w:tcPr>
            <w:tcW w:w="2625" w:type="dxa"/>
            <w:tcMar>
              <w:top w:w="10" w:type="dxa"/>
              <w:left w:w="10" w:type="dxa"/>
              <w:bottom w:w="0" w:type="dxa"/>
              <w:right w:w="10" w:type="dxa"/>
            </w:tcMar>
            <w:vAlign w:val="center"/>
          </w:tcPr>
          <w:p>
            <w:pPr>
              <w:spacing w:line="240" w:lineRule="exact"/>
              <w:jc w:val="center"/>
              <w:rPr>
                <w:rFonts w:ascii="宋体"/>
                <w:b/>
                <w:bCs/>
              </w:rPr>
            </w:pPr>
            <w:r>
              <w:rPr>
                <w:rFonts w:hint="eastAsia" w:ascii="宋体" w:hAnsi="宋体" w:cs="宋体"/>
                <w:b/>
                <w:bCs/>
              </w:rPr>
              <w:t>指标解释</w:t>
            </w:r>
          </w:p>
        </w:tc>
        <w:tc>
          <w:tcPr>
            <w:tcW w:w="4194" w:type="dxa"/>
            <w:tcMar>
              <w:top w:w="10" w:type="dxa"/>
              <w:left w:w="10" w:type="dxa"/>
              <w:bottom w:w="0" w:type="dxa"/>
              <w:right w:w="10" w:type="dxa"/>
            </w:tcMar>
            <w:vAlign w:val="center"/>
          </w:tcPr>
          <w:p>
            <w:pPr>
              <w:spacing w:line="240" w:lineRule="exact"/>
              <w:jc w:val="center"/>
              <w:rPr>
                <w:rFonts w:ascii="宋体"/>
                <w:b/>
                <w:bCs/>
              </w:rPr>
            </w:pPr>
            <w:r>
              <w:rPr>
                <w:rFonts w:hint="eastAsia" w:ascii="宋体" w:hAnsi="宋体" w:cs="宋体"/>
                <w:b/>
                <w:bCs/>
              </w:rPr>
              <w:t>指标说明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43" w:type="dxa"/>
            <w:vMerge w:val="restart"/>
            <w:tcMar>
              <w:top w:w="10" w:type="dxa"/>
              <w:left w:w="10" w:type="dxa"/>
              <w:bottom w:w="0" w:type="dxa"/>
              <w:right w:w="10" w:type="dxa"/>
            </w:tcMar>
            <w:textDirection w:val="tbRlV"/>
            <w:vAlign w:val="center"/>
          </w:tcPr>
          <w:p>
            <w:pPr>
              <w:spacing w:line="240" w:lineRule="exact"/>
              <w:jc w:val="center"/>
              <w:rPr>
                <w:rFonts w:ascii="宋体"/>
              </w:rPr>
            </w:pPr>
            <w:r>
              <w:rPr>
                <w:rFonts w:hint="eastAsia" w:ascii="宋体" w:hAnsi="宋体" w:cs="宋体"/>
              </w:rPr>
              <w:t>决</w:t>
            </w:r>
            <w:r>
              <w:rPr>
                <w:rFonts w:ascii="宋体" w:hAnsi="宋体" w:cs="宋体"/>
              </w:rPr>
              <w:t xml:space="preserve">  </w:t>
            </w:r>
            <w:r>
              <w:rPr>
                <w:rFonts w:hint="eastAsia" w:ascii="宋体" w:hAnsi="宋体" w:cs="宋体"/>
              </w:rPr>
              <w:t>策（</w:t>
            </w:r>
            <w:r>
              <w:rPr>
                <w:rFonts w:ascii="宋体" w:hAnsi="宋体" w:cs="宋体"/>
              </w:rPr>
              <w:t>20</w:t>
            </w:r>
            <w:r>
              <w:rPr>
                <w:rFonts w:hint="eastAsia" w:ascii="宋体" w:hAnsi="宋体" w:cs="宋体"/>
              </w:rPr>
              <w:t>分）</w:t>
            </w:r>
          </w:p>
        </w:tc>
        <w:tc>
          <w:tcPr>
            <w:tcW w:w="454" w:type="dxa"/>
            <w:vMerge w:val="restart"/>
            <w:tcMar>
              <w:top w:w="10" w:type="dxa"/>
              <w:left w:w="10" w:type="dxa"/>
              <w:bottom w:w="0" w:type="dxa"/>
              <w:right w:w="10" w:type="dxa"/>
            </w:tcMar>
            <w:vAlign w:val="center"/>
          </w:tcPr>
          <w:p>
            <w:pPr>
              <w:spacing w:line="240" w:lineRule="exact"/>
              <w:jc w:val="center"/>
              <w:rPr>
                <w:rFonts w:ascii="宋体"/>
              </w:rPr>
            </w:pPr>
            <w:r>
              <w:rPr>
                <w:rFonts w:hint="eastAsia" w:ascii="宋体" w:hAnsi="宋体" w:cs="宋体"/>
              </w:rPr>
              <w:t>预算支出决策</w:t>
            </w:r>
          </w:p>
          <w:p>
            <w:pPr>
              <w:spacing w:line="240" w:lineRule="exact"/>
              <w:jc w:val="center"/>
              <w:rPr>
                <w:rFonts w:ascii="宋体"/>
              </w:rPr>
            </w:pPr>
            <w:r>
              <w:rPr>
                <w:rFonts w:hint="eastAsia" w:ascii="宋体" w:hAnsi="宋体" w:cs="宋体"/>
              </w:rPr>
              <w:t>（项目立项）（</w:t>
            </w:r>
            <w:r>
              <w:rPr>
                <w:rFonts w:ascii="宋体" w:hAnsi="宋体" w:cs="宋体"/>
              </w:rPr>
              <w:t>8</w:t>
            </w:r>
            <w:r>
              <w:rPr>
                <w:rFonts w:hint="eastAsia" w:ascii="宋体" w:hAnsi="宋体" w:cs="宋体"/>
              </w:rPr>
              <w:t>分）</w:t>
            </w:r>
          </w:p>
        </w:tc>
        <w:tc>
          <w:tcPr>
            <w:tcW w:w="834" w:type="dxa"/>
            <w:tcMar>
              <w:top w:w="10" w:type="dxa"/>
              <w:left w:w="10" w:type="dxa"/>
              <w:bottom w:w="0" w:type="dxa"/>
              <w:right w:w="10" w:type="dxa"/>
            </w:tcMar>
            <w:vAlign w:val="center"/>
          </w:tcPr>
          <w:p>
            <w:pPr>
              <w:spacing w:line="240" w:lineRule="exact"/>
              <w:ind w:left="106" w:leftChars="50" w:right="106" w:rightChars="50"/>
              <w:jc w:val="center"/>
              <w:rPr>
                <w:rFonts w:ascii="宋体"/>
              </w:rPr>
            </w:pPr>
            <w:r>
              <w:rPr>
                <w:rFonts w:hint="eastAsia" w:ascii="宋体" w:hAnsi="宋体" w:cs="宋体"/>
              </w:rPr>
              <w:t>预算支出决策（项目立项）依据</w:t>
            </w:r>
          </w:p>
          <w:p>
            <w:pPr>
              <w:spacing w:line="240" w:lineRule="exact"/>
              <w:ind w:left="106" w:leftChars="50" w:right="106" w:rightChars="50"/>
              <w:jc w:val="center"/>
              <w:rPr>
                <w:rFonts w:ascii="宋体"/>
              </w:rPr>
            </w:pPr>
            <w:r>
              <w:rPr>
                <w:rFonts w:hint="eastAsia" w:ascii="宋体" w:hAnsi="宋体" w:cs="宋体"/>
              </w:rPr>
              <w:t>充分性（</w:t>
            </w:r>
            <w:r>
              <w:rPr>
                <w:rFonts w:ascii="宋体" w:hAnsi="宋体" w:cs="宋体"/>
              </w:rPr>
              <w:t>4</w:t>
            </w:r>
            <w:r>
              <w:rPr>
                <w:rFonts w:hint="eastAsia" w:ascii="宋体" w:hAnsi="宋体" w:cs="宋体"/>
              </w:rPr>
              <w:t>分）</w:t>
            </w:r>
          </w:p>
        </w:tc>
        <w:tc>
          <w:tcPr>
            <w:tcW w:w="540" w:type="dxa"/>
            <w:vAlign w:val="center"/>
          </w:tcPr>
          <w:p>
            <w:pPr>
              <w:spacing w:line="240" w:lineRule="exact"/>
              <w:ind w:left="106" w:leftChars="50" w:right="106" w:rightChars="50"/>
              <w:jc w:val="center"/>
              <w:rPr>
                <w:rFonts w:ascii="宋体"/>
              </w:rPr>
            </w:pPr>
            <w:r>
              <w:rPr>
                <w:rFonts w:hint="eastAsia" w:ascii="宋体"/>
              </w:rPr>
              <w:t>4</w:t>
            </w:r>
          </w:p>
        </w:tc>
        <w:tc>
          <w:tcPr>
            <w:tcW w:w="2625" w:type="dxa"/>
            <w:tcMar>
              <w:top w:w="10" w:type="dxa"/>
              <w:left w:w="10" w:type="dxa"/>
              <w:bottom w:w="0" w:type="dxa"/>
              <w:right w:w="10" w:type="dxa"/>
            </w:tcMar>
            <w:vAlign w:val="center"/>
          </w:tcPr>
          <w:p>
            <w:pPr>
              <w:spacing w:line="240" w:lineRule="exact"/>
              <w:ind w:left="106" w:leftChars="50" w:right="106" w:rightChars="50"/>
              <w:rPr>
                <w:rFonts w:ascii="宋体"/>
              </w:rPr>
            </w:pPr>
            <w:r>
              <w:rPr>
                <w:rFonts w:hint="eastAsia" w:ascii="宋体" w:hAnsi="宋体" w:cs="宋体"/>
              </w:rPr>
              <w:t>预算支出决策（项目立项）是否符合法律法规、相关政策、发展规划以及部门职责，用以反映和考核决策（立项）的依据情况。</w:t>
            </w:r>
          </w:p>
        </w:tc>
        <w:tc>
          <w:tcPr>
            <w:tcW w:w="4194" w:type="dxa"/>
            <w:tcMar>
              <w:top w:w="10" w:type="dxa"/>
              <w:left w:w="10" w:type="dxa"/>
              <w:bottom w:w="0" w:type="dxa"/>
              <w:right w:w="10" w:type="dxa"/>
            </w:tcMar>
            <w:vAlign w:val="center"/>
          </w:tcPr>
          <w:p>
            <w:pPr>
              <w:spacing w:line="240" w:lineRule="exact"/>
              <w:ind w:left="106" w:leftChars="50" w:right="106" w:rightChars="50"/>
              <w:rPr>
                <w:rFonts w:ascii="宋体"/>
              </w:rPr>
            </w:pPr>
            <w:r>
              <w:rPr>
                <w:rFonts w:hint="eastAsia" w:ascii="宋体" w:hAnsi="宋体" w:cs="宋体"/>
              </w:rPr>
              <w:t>评价要点：</w:t>
            </w:r>
            <w:r>
              <w:rPr>
                <w:rFonts w:ascii="宋体"/>
              </w:rPr>
              <w:br w:type="textWrapping"/>
            </w:r>
            <w:r>
              <w:rPr>
                <w:rFonts w:hint="eastAsia" w:ascii="宋体" w:hAnsi="宋体" w:cs="宋体"/>
              </w:rPr>
              <w:t>①决策（立项）是否符合国家相关法律法规、国民经济发展规划和相关政策；</w:t>
            </w:r>
            <w:r>
              <w:rPr>
                <w:rFonts w:ascii="宋体"/>
              </w:rPr>
              <w:br w:type="textWrapping"/>
            </w:r>
            <w:r>
              <w:rPr>
                <w:rFonts w:hint="eastAsia" w:ascii="宋体" w:hAnsi="宋体" w:cs="宋体"/>
              </w:rPr>
              <w:t>②决策（立项）是否符合行业发展规划和政策要求；</w:t>
            </w:r>
            <w:r>
              <w:rPr>
                <w:rFonts w:ascii="宋体"/>
              </w:rPr>
              <w:br w:type="textWrapping"/>
            </w:r>
            <w:r>
              <w:rPr>
                <w:rFonts w:hint="eastAsia" w:ascii="宋体" w:hAnsi="宋体" w:cs="宋体"/>
              </w:rPr>
              <w:t>③决策（立项）是否与部门职责范围相符，属于部门履职所需；</w:t>
            </w:r>
            <w:r>
              <w:rPr>
                <w:rFonts w:ascii="宋体"/>
              </w:rPr>
              <w:br w:type="textWrapping"/>
            </w:r>
            <w:r>
              <w:rPr>
                <w:rFonts w:hint="eastAsia" w:ascii="宋体" w:hAnsi="宋体" w:cs="宋体"/>
              </w:rPr>
              <w:t>④预算支出是否属于公共财政支持范围，是否符合中央、地方事权支出责任划分原则；</w:t>
            </w:r>
          </w:p>
          <w:p>
            <w:pPr>
              <w:spacing w:line="240" w:lineRule="exact"/>
              <w:ind w:left="106" w:leftChars="50" w:right="106" w:rightChars="50"/>
              <w:rPr>
                <w:rFonts w:ascii="宋体"/>
              </w:rPr>
            </w:pPr>
            <w:r>
              <w:rPr>
                <w:rFonts w:hint="eastAsia" w:ascii="宋体" w:hAnsi="宋体" w:cs="宋体"/>
              </w:rPr>
              <w:t>⑤预算支出是否与相关部门同类预算支出或部门内部相关预算支出重复。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30" w:hRule="atLeast"/>
          <w:jc w:val="center"/>
        </w:trPr>
        <w:tc>
          <w:tcPr>
            <w:tcW w:w="543" w:type="dxa"/>
            <w:vMerge w:val="continue"/>
            <w:tcMar>
              <w:top w:w="10" w:type="dxa"/>
              <w:left w:w="10" w:type="dxa"/>
              <w:bottom w:w="0" w:type="dxa"/>
              <w:right w:w="10" w:type="dxa"/>
            </w:tcMar>
            <w:textDirection w:val="tbRlV"/>
            <w:vAlign w:val="center"/>
          </w:tcPr>
          <w:p>
            <w:pPr>
              <w:spacing w:line="240" w:lineRule="exact"/>
              <w:jc w:val="center"/>
              <w:rPr>
                <w:rFonts w:ascii="宋体"/>
              </w:rPr>
            </w:pPr>
          </w:p>
        </w:tc>
        <w:tc>
          <w:tcPr>
            <w:tcW w:w="454" w:type="dxa"/>
            <w:vMerge w:val="continue"/>
            <w:tcMar>
              <w:top w:w="10" w:type="dxa"/>
              <w:left w:w="10" w:type="dxa"/>
              <w:bottom w:w="0" w:type="dxa"/>
              <w:right w:w="10" w:type="dxa"/>
            </w:tcMar>
            <w:vAlign w:val="center"/>
          </w:tcPr>
          <w:p>
            <w:pPr>
              <w:spacing w:line="240" w:lineRule="exact"/>
              <w:jc w:val="center"/>
              <w:rPr>
                <w:rFonts w:ascii="宋体"/>
              </w:rPr>
            </w:pPr>
          </w:p>
        </w:tc>
        <w:tc>
          <w:tcPr>
            <w:tcW w:w="834" w:type="dxa"/>
            <w:tcMar>
              <w:top w:w="10" w:type="dxa"/>
              <w:left w:w="10" w:type="dxa"/>
              <w:bottom w:w="0" w:type="dxa"/>
              <w:right w:w="10" w:type="dxa"/>
            </w:tcMar>
            <w:vAlign w:val="center"/>
          </w:tcPr>
          <w:p>
            <w:pPr>
              <w:spacing w:line="240" w:lineRule="exact"/>
              <w:ind w:left="106" w:leftChars="50" w:right="106" w:rightChars="50"/>
              <w:jc w:val="center"/>
              <w:rPr>
                <w:rFonts w:ascii="宋体"/>
              </w:rPr>
            </w:pPr>
            <w:r>
              <w:rPr>
                <w:rFonts w:hint="eastAsia" w:ascii="宋体" w:hAnsi="宋体" w:cs="宋体"/>
              </w:rPr>
              <w:t>决策(立项）程序规范性(</w:t>
            </w:r>
            <w:r>
              <w:rPr>
                <w:rFonts w:ascii="宋体" w:hAnsi="宋体" w:cs="宋体"/>
              </w:rPr>
              <w:t>4</w:t>
            </w:r>
            <w:r>
              <w:rPr>
                <w:rFonts w:hint="eastAsia" w:ascii="宋体" w:hAnsi="宋体" w:cs="宋体"/>
              </w:rPr>
              <w:t>分)</w:t>
            </w:r>
          </w:p>
        </w:tc>
        <w:tc>
          <w:tcPr>
            <w:tcW w:w="540" w:type="dxa"/>
            <w:vAlign w:val="center"/>
          </w:tcPr>
          <w:p>
            <w:pPr>
              <w:spacing w:line="240" w:lineRule="exact"/>
              <w:ind w:left="106" w:leftChars="50" w:right="106" w:rightChars="50"/>
              <w:jc w:val="center"/>
              <w:rPr>
                <w:rFonts w:ascii="宋体"/>
              </w:rPr>
            </w:pPr>
            <w:r>
              <w:rPr>
                <w:rFonts w:hint="eastAsia" w:ascii="宋体"/>
              </w:rPr>
              <w:t>4</w:t>
            </w:r>
          </w:p>
        </w:tc>
        <w:tc>
          <w:tcPr>
            <w:tcW w:w="2625" w:type="dxa"/>
            <w:tcMar>
              <w:top w:w="10" w:type="dxa"/>
              <w:left w:w="10" w:type="dxa"/>
              <w:bottom w:w="0" w:type="dxa"/>
              <w:right w:w="10" w:type="dxa"/>
            </w:tcMar>
            <w:vAlign w:val="center"/>
          </w:tcPr>
          <w:p>
            <w:pPr>
              <w:spacing w:line="240" w:lineRule="exact"/>
              <w:ind w:left="106" w:leftChars="50" w:right="106" w:rightChars="50"/>
              <w:rPr>
                <w:rFonts w:ascii="宋体"/>
              </w:rPr>
            </w:pPr>
            <w:r>
              <w:rPr>
                <w:rFonts w:hint="eastAsia" w:ascii="宋体" w:hAnsi="宋体" w:cs="宋体"/>
              </w:rPr>
              <w:t>预算支出申请、设立过程是否符合相关要求，用以反映和考核决策（立项）的规范情况。</w:t>
            </w:r>
          </w:p>
        </w:tc>
        <w:tc>
          <w:tcPr>
            <w:tcW w:w="4194" w:type="dxa"/>
            <w:tcMar>
              <w:top w:w="10" w:type="dxa"/>
              <w:left w:w="10" w:type="dxa"/>
              <w:bottom w:w="0" w:type="dxa"/>
              <w:right w:w="10" w:type="dxa"/>
            </w:tcMar>
            <w:vAlign w:val="center"/>
          </w:tcPr>
          <w:p>
            <w:pPr>
              <w:spacing w:line="240" w:lineRule="exact"/>
              <w:ind w:left="106" w:leftChars="50" w:right="106" w:rightChars="50"/>
              <w:rPr>
                <w:rFonts w:ascii="宋体"/>
              </w:rPr>
            </w:pPr>
            <w:r>
              <w:rPr>
                <w:rFonts w:hint="eastAsia" w:ascii="宋体" w:hAnsi="宋体" w:cs="宋体"/>
              </w:rPr>
              <w:t>评价要点：</w:t>
            </w:r>
          </w:p>
          <w:p>
            <w:pPr>
              <w:spacing w:line="240" w:lineRule="exact"/>
              <w:ind w:left="106" w:leftChars="50"/>
              <w:rPr>
                <w:rFonts w:ascii="宋体"/>
              </w:rPr>
            </w:pPr>
            <w:r>
              <w:rPr>
                <w:rFonts w:hint="eastAsia" w:ascii="宋体" w:hAnsi="宋体" w:cs="宋体"/>
              </w:rPr>
              <w:t>①预算支出是否按照规定的程序申请设立；</w:t>
            </w:r>
          </w:p>
          <w:p>
            <w:pPr>
              <w:spacing w:line="240" w:lineRule="exact"/>
              <w:ind w:left="106" w:leftChars="50"/>
              <w:rPr>
                <w:rFonts w:ascii="宋体"/>
              </w:rPr>
            </w:pPr>
            <w:r>
              <w:rPr>
                <w:rFonts w:hint="eastAsia" w:ascii="宋体" w:hAnsi="宋体" w:cs="宋体"/>
              </w:rPr>
              <w:t>②审批文件、材料是否符合相关要求；</w:t>
            </w:r>
          </w:p>
          <w:p>
            <w:pPr>
              <w:spacing w:line="240" w:lineRule="exact"/>
              <w:ind w:left="106" w:leftChars="50"/>
              <w:rPr>
                <w:rFonts w:ascii="宋体"/>
              </w:rPr>
            </w:pPr>
            <w:r>
              <w:rPr>
                <w:rFonts w:hint="eastAsia" w:ascii="宋体" w:hAnsi="宋体" w:cs="宋体"/>
              </w:rPr>
              <w:t>③事前是否已经过必要的可行性研究、专家论证、风险评估、绩效评估、集体决策。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22" w:hRule="atLeast"/>
          <w:jc w:val="center"/>
        </w:trPr>
        <w:tc>
          <w:tcPr>
            <w:tcW w:w="543" w:type="dxa"/>
            <w:vMerge w:val="continue"/>
            <w:vAlign w:val="center"/>
          </w:tcPr>
          <w:p>
            <w:pPr>
              <w:spacing w:line="240" w:lineRule="exact"/>
              <w:rPr>
                <w:rFonts w:ascii="宋体"/>
              </w:rPr>
            </w:pPr>
          </w:p>
        </w:tc>
        <w:tc>
          <w:tcPr>
            <w:tcW w:w="454" w:type="dxa"/>
            <w:vMerge w:val="restart"/>
            <w:vAlign w:val="center"/>
          </w:tcPr>
          <w:p>
            <w:pPr>
              <w:spacing w:line="240" w:lineRule="exact"/>
              <w:jc w:val="center"/>
              <w:rPr>
                <w:rFonts w:ascii="宋体"/>
              </w:rPr>
            </w:pPr>
            <w:r>
              <w:rPr>
                <w:rFonts w:hint="eastAsia" w:ascii="宋体" w:hAnsi="宋体" w:cs="宋体"/>
              </w:rPr>
              <w:t>绩效</w:t>
            </w:r>
          </w:p>
          <w:p>
            <w:pPr>
              <w:spacing w:line="240" w:lineRule="exact"/>
              <w:jc w:val="center"/>
              <w:rPr>
                <w:rFonts w:ascii="宋体"/>
              </w:rPr>
            </w:pPr>
            <w:r>
              <w:rPr>
                <w:rFonts w:hint="eastAsia" w:ascii="宋体" w:hAnsi="宋体" w:cs="宋体"/>
              </w:rPr>
              <w:t>目标（</w:t>
            </w:r>
            <w:r>
              <w:rPr>
                <w:rFonts w:ascii="宋体" w:hAnsi="宋体" w:cs="宋体"/>
              </w:rPr>
              <w:t>6</w:t>
            </w:r>
            <w:r>
              <w:rPr>
                <w:rFonts w:hint="eastAsia" w:ascii="宋体" w:hAnsi="宋体" w:cs="宋体"/>
              </w:rPr>
              <w:t>分）</w:t>
            </w:r>
          </w:p>
        </w:tc>
        <w:tc>
          <w:tcPr>
            <w:tcW w:w="834" w:type="dxa"/>
            <w:tcMar>
              <w:top w:w="10" w:type="dxa"/>
              <w:left w:w="10" w:type="dxa"/>
              <w:bottom w:w="0" w:type="dxa"/>
              <w:right w:w="10" w:type="dxa"/>
            </w:tcMar>
            <w:vAlign w:val="center"/>
          </w:tcPr>
          <w:p>
            <w:pPr>
              <w:spacing w:line="240" w:lineRule="exact"/>
              <w:ind w:left="106" w:leftChars="50" w:right="106" w:rightChars="50"/>
              <w:jc w:val="center"/>
              <w:rPr>
                <w:rFonts w:ascii="宋体"/>
              </w:rPr>
            </w:pPr>
            <w:r>
              <w:rPr>
                <w:rFonts w:hint="eastAsia" w:ascii="宋体" w:hAnsi="宋体" w:cs="宋体"/>
              </w:rPr>
              <w:t>绩效目标</w:t>
            </w:r>
          </w:p>
          <w:p>
            <w:pPr>
              <w:spacing w:line="240" w:lineRule="exact"/>
              <w:ind w:left="106" w:leftChars="50" w:right="106" w:rightChars="50"/>
              <w:jc w:val="center"/>
              <w:rPr>
                <w:rFonts w:ascii="宋体"/>
              </w:rPr>
            </w:pPr>
            <w:r>
              <w:rPr>
                <w:rFonts w:hint="eastAsia" w:ascii="宋体" w:hAnsi="宋体" w:cs="宋体"/>
              </w:rPr>
              <w:t>合理性（</w:t>
            </w:r>
            <w:r>
              <w:rPr>
                <w:rFonts w:ascii="宋体" w:hAnsi="宋体" w:cs="宋体"/>
              </w:rPr>
              <w:t>3</w:t>
            </w:r>
            <w:r>
              <w:rPr>
                <w:rFonts w:hint="eastAsia" w:ascii="宋体" w:hAnsi="宋体" w:cs="宋体"/>
              </w:rPr>
              <w:t>分）</w:t>
            </w:r>
          </w:p>
        </w:tc>
        <w:tc>
          <w:tcPr>
            <w:tcW w:w="540" w:type="dxa"/>
            <w:vAlign w:val="center"/>
          </w:tcPr>
          <w:p>
            <w:pPr>
              <w:spacing w:line="240" w:lineRule="exact"/>
              <w:ind w:left="106" w:leftChars="50" w:right="106" w:rightChars="50"/>
              <w:jc w:val="center"/>
              <w:rPr>
                <w:rFonts w:ascii="宋体"/>
              </w:rPr>
            </w:pPr>
            <w:r>
              <w:rPr>
                <w:rFonts w:hint="eastAsia" w:ascii="宋体"/>
              </w:rPr>
              <w:t>3</w:t>
            </w:r>
          </w:p>
        </w:tc>
        <w:tc>
          <w:tcPr>
            <w:tcW w:w="2625" w:type="dxa"/>
            <w:tcMar>
              <w:top w:w="10" w:type="dxa"/>
              <w:left w:w="10" w:type="dxa"/>
              <w:bottom w:w="0" w:type="dxa"/>
              <w:right w:w="10" w:type="dxa"/>
            </w:tcMar>
            <w:vAlign w:val="center"/>
          </w:tcPr>
          <w:p>
            <w:pPr>
              <w:spacing w:line="240" w:lineRule="exact"/>
              <w:ind w:left="106" w:leftChars="50" w:right="106" w:rightChars="50"/>
              <w:rPr>
                <w:rFonts w:ascii="宋体"/>
              </w:rPr>
            </w:pPr>
            <w:r>
              <w:rPr>
                <w:rFonts w:hint="eastAsia" w:ascii="宋体" w:hAnsi="宋体" w:cs="宋体"/>
              </w:rPr>
              <w:t>预算支出所设定的绩效目标是否依据充分，是否符合客观实际，用以反映和考核预算支出绩效目标与预算支出实施的相符情况。</w:t>
            </w:r>
          </w:p>
        </w:tc>
        <w:tc>
          <w:tcPr>
            <w:tcW w:w="4194" w:type="dxa"/>
            <w:tcMar>
              <w:top w:w="10" w:type="dxa"/>
              <w:left w:w="10" w:type="dxa"/>
              <w:bottom w:w="0" w:type="dxa"/>
              <w:right w:w="10" w:type="dxa"/>
            </w:tcMar>
            <w:vAlign w:val="center"/>
          </w:tcPr>
          <w:p>
            <w:pPr>
              <w:spacing w:line="240" w:lineRule="exact"/>
              <w:ind w:left="106" w:leftChars="50" w:right="106" w:rightChars="50"/>
              <w:rPr>
                <w:rFonts w:ascii="宋体"/>
              </w:rPr>
            </w:pPr>
            <w:r>
              <w:rPr>
                <w:rFonts w:hint="eastAsia" w:ascii="宋体" w:hAnsi="宋体" w:cs="宋体"/>
              </w:rPr>
              <w:t>评价要点：</w:t>
            </w:r>
          </w:p>
          <w:p>
            <w:pPr>
              <w:spacing w:line="240" w:lineRule="exact"/>
              <w:ind w:left="106" w:leftChars="50" w:right="106" w:rightChars="50"/>
              <w:rPr>
                <w:rFonts w:ascii="宋体"/>
              </w:rPr>
            </w:pPr>
            <w:r>
              <w:rPr>
                <w:rFonts w:hint="eastAsia" w:ascii="宋体" w:hAnsi="宋体" w:cs="宋体"/>
              </w:rPr>
              <w:t>（如未设定预算绩效目标，也可考核其他工作任务目标）</w:t>
            </w:r>
          </w:p>
          <w:p>
            <w:pPr>
              <w:spacing w:line="240" w:lineRule="exact"/>
              <w:ind w:left="106" w:leftChars="50" w:right="106" w:rightChars="50"/>
              <w:rPr>
                <w:rFonts w:ascii="宋体"/>
              </w:rPr>
            </w:pPr>
            <w:r>
              <w:rPr>
                <w:rFonts w:hint="eastAsia" w:ascii="宋体" w:hAnsi="宋体" w:cs="宋体"/>
              </w:rPr>
              <w:t>①预算支出是否有绩效目标；</w:t>
            </w:r>
          </w:p>
          <w:p>
            <w:pPr>
              <w:spacing w:line="240" w:lineRule="exact"/>
              <w:ind w:left="106" w:leftChars="50" w:right="106" w:rightChars="50"/>
              <w:rPr>
                <w:rFonts w:ascii="宋体"/>
              </w:rPr>
            </w:pPr>
            <w:r>
              <w:rPr>
                <w:rFonts w:hint="eastAsia" w:ascii="宋体" w:hAnsi="宋体" w:cs="宋体"/>
              </w:rPr>
              <w:t>②预算支出绩效目标与实际工作内容是否具有相关性；</w:t>
            </w:r>
          </w:p>
          <w:p>
            <w:pPr>
              <w:spacing w:line="240" w:lineRule="exact"/>
              <w:ind w:left="106" w:leftChars="50" w:right="106" w:rightChars="50"/>
              <w:rPr>
                <w:rFonts w:ascii="宋体"/>
              </w:rPr>
            </w:pPr>
            <w:r>
              <w:rPr>
                <w:rFonts w:hint="eastAsia" w:ascii="宋体" w:hAnsi="宋体" w:cs="宋体"/>
              </w:rPr>
              <w:t>③预算支出预期产出效益和效果是否符合正常的业绩水平；是否与预算确定的预算支出投资额或资金量相匹配。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43" w:type="dxa"/>
            <w:vMerge w:val="continue"/>
            <w:vAlign w:val="center"/>
          </w:tcPr>
          <w:p>
            <w:pPr>
              <w:spacing w:line="240" w:lineRule="exact"/>
              <w:rPr>
                <w:rFonts w:ascii="宋体"/>
              </w:rPr>
            </w:pPr>
          </w:p>
        </w:tc>
        <w:tc>
          <w:tcPr>
            <w:tcW w:w="454" w:type="dxa"/>
            <w:vMerge w:val="continue"/>
            <w:vAlign w:val="center"/>
          </w:tcPr>
          <w:p>
            <w:pPr>
              <w:spacing w:line="240" w:lineRule="exact"/>
              <w:jc w:val="center"/>
              <w:rPr>
                <w:rFonts w:ascii="宋体"/>
              </w:rPr>
            </w:pPr>
          </w:p>
        </w:tc>
        <w:tc>
          <w:tcPr>
            <w:tcW w:w="834" w:type="dxa"/>
            <w:tcMar>
              <w:top w:w="10" w:type="dxa"/>
              <w:left w:w="10" w:type="dxa"/>
              <w:bottom w:w="0" w:type="dxa"/>
              <w:right w:w="10" w:type="dxa"/>
            </w:tcMar>
            <w:vAlign w:val="center"/>
          </w:tcPr>
          <w:p>
            <w:pPr>
              <w:spacing w:line="240" w:lineRule="exact"/>
              <w:ind w:left="106" w:leftChars="50" w:right="106" w:rightChars="50"/>
              <w:jc w:val="center"/>
              <w:rPr>
                <w:rFonts w:ascii="宋体"/>
              </w:rPr>
            </w:pPr>
            <w:r>
              <w:rPr>
                <w:rFonts w:hint="eastAsia" w:ascii="宋体" w:hAnsi="宋体" w:cs="宋体"/>
              </w:rPr>
              <w:t>绩效指标</w:t>
            </w:r>
          </w:p>
          <w:p>
            <w:pPr>
              <w:spacing w:line="240" w:lineRule="exact"/>
              <w:ind w:left="106" w:leftChars="50" w:right="106" w:rightChars="50"/>
              <w:jc w:val="center"/>
              <w:rPr>
                <w:rFonts w:ascii="宋体"/>
              </w:rPr>
            </w:pPr>
            <w:r>
              <w:rPr>
                <w:rFonts w:hint="eastAsia" w:ascii="宋体" w:hAnsi="宋体" w:cs="宋体"/>
              </w:rPr>
              <w:t>明确性（</w:t>
            </w:r>
            <w:r>
              <w:rPr>
                <w:rFonts w:ascii="宋体" w:hAnsi="宋体" w:cs="宋体"/>
              </w:rPr>
              <w:t>3</w:t>
            </w:r>
            <w:r>
              <w:rPr>
                <w:rFonts w:hint="eastAsia" w:ascii="宋体" w:hAnsi="宋体" w:cs="宋体"/>
              </w:rPr>
              <w:t>分）</w:t>
            </w:r>
          </w:p>
        </w:tc>
        <w:tc>
          <w:tcPr>
            <w:tcW w:w="540" w:type="dxa"/>
            <w:vAlign w:val="center"/>
          </w:tcPr>
          <w:p>
            <w:pPr>
              <w:spacing w:line="240" w:lineRule="exact"/>
              <w:ind w:left="106" w:leftChars="50" w:right="106" w:rightChars="50"/>
              <w:jc w:val="center"/>
              <w:rPr>
                <w:rFonts w:ascii="宋体"/>
              </w:rPr>
            </w:pPr>
            <w:r>
              <w:rPr>
                <w:rFonts w:hint="eastAsia" w:ascii="宋体"/>
              </w:rPr>
              <w:t>3</w:t>
            </w:r>
          </w:p>
        </w:tc>
        <w:tc>
          <w:tcPr>
            <w:tcW w:w="2625" w:type="dxa"/>
            <w:tcMar>
              <w:top w:w="10" w:type="dxa"/>
              <w:left w:w="10" w:type="dxa"/>
              <w:bottom w:w="0" w:type="dxa"/>
              <w:right w:w="10" w:type="dxa"/>
            </w:tcMar>
            <w:vAlign w:val="center"/>
          </w:tcPr>
          <w:p>
            <w:pPr>
              <w:spacing w:line="240" w:lineRule="exact"/>
              <w:ind w:left="106" w:leftChars="50" w:right="106" w:rightChars="50"/>
              <w:rPr>
                <w:rFonts w:ascii="宋体"/>
              </w:rPr>
            </w:pPr>
            <w:r>
              <w:rPr>
                <w:rFonts w:hint="eastAsia" w:ascii="宋体" w:hAnsi="宋体" w:cs="宋体"/>
              </w:rPr>
              <w:t>依据绩效目标设定的绩效指标是否清晰、细化、可衡量等，用以反映和考核预算支出绩效目标的明细化情况。</w:t>
            </w:r>
          </w:p>
        </w:tc>
        <w:tc>
          <w:tcPr>
            <w:tcW w:w="4194" w:type="dxa"/>
            <w:tcMar>
              <w:top w:w="10" w:type="dxa"/>
              <w:left w:w="10" w:type="dxa"/>
              <w:bottom w:w="0" w:type="dxa"/>
              <w:right w:w="10" w:type="dxa"/>
            </w:tcMar>
            <w:vAlign w:val="center"/>
          </w:tcPr>
          <w:p>
            <w:pPr>
              <w:spacing w:line="240" w:lineRule="exact"/>
              <w:ind w:left="106" w:leftChars="50" w:right="106" w:rightChars="50"/>
              <w:rPr>
                <w:rFonts w:ascii="宋体"/>
              </w:rPr>
            </w:pPr>
            <w:r>
              <w:rPr>
                <w:rFonts w:hint="eastAsia" w:ascii="宋体" w:hAnsi="宋体" w:cs="宋体"/>
              </w:rPr>
              <w:t>评价要点：</w:t>
            </w:r>
            <w:r>
              <w:rPr>
                <w:rFonts w:ascii="宋体"/>
              </w:rPr>
              <w:br w:type="textWrapping"/>
            </w:r>
            <w:r>
              <w:rPr>
                <w:rFonts w:hint="eastAsia" w:ascii="宋体" w:hAnsi="宋体" w:cs="宋体"/>
              </w:rPr>
              <w:t>①是否将预算支出绩效目标细化分解为具体的绩效指标；</w:t>
            </w:r>
            <w:r>
              <w:rPr>
                <w:rFonts w:ascii="宋体"/>
              </w:rPr>
              <w:br w:type="textWrapping"/>
            </w:r>
            <w:r>
              <w:rPr>
                <w:rFonts w:hint="eastAsia" w:ascii="宋体" w:hAnsi="宋体" w:cs="宋体"/>
              </w:rPr>
              <w:t>②是否通过清晰、可衡量的指标值予以体现；</w:t>
            </w:r>
            <w:r>
              <w:rPr>
                <w:rFonts w:ascii="宋体"/>
              </w:rPr>
              <w:br w:type="textWrapping"/>
            </w:r>
            <w:r>
              <w:rPr>
                <w:rFonts w:hint="eastAsia" w:ascii="宋体" w:hAnsi="宋体" w:cs="宋体"/>
              </w:rPr>
              <w:t>③是否与预算支出目标任务数或计划数相对应。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00" w:hRule="atLeast"/>
          <w:jc w:val="center"/>
        </w:trPr>
        <w:tc>
          <w:tcPr>
            <w:tcW w:w="543" w:type="dxa"/>
            <w:vMerge w:val="continue"/>
            <w:vAlign w:val="center"/>
          </w:tcPr>
          <w:p>
            <w:pPr>
              <w:spacing w:line="240" w:lineRule="exact"/>
              <w:rPr>
                <w:rFonts w:ascii="宋体"/>
              </w:rPr>
            </w:pPr>
          </w:p>
        </w:tc>
        <w:tc>
          <w:tcPr>
            <w:tcW w:w="454" w:type="dxa"/>
            <w:vMerge w:val="restart"/>
            <w:vAlign w:val="center"/>
          </w:tcPr>
          <w:p>
            <w:pPr>
              <w:spacing w:line="240" w:lineRule="exact"/>
              <w:jc w:val="center"/>
              <w:rPr>
                <w:rFonts w:ascii="宋体"/>
              </w:rPr>
            </w:pPr>
            <w:r>
              <w:rPr>
                <w:rFonts w:hint="eastAsia" w:ascii="宋体" w:hAnsi="宋体" w:cs="宋体"/>
              </w:rPr>
              <w:t>资金</w:t>
            </w:r>
          </w:p>
          <w:p>
            <w:pPr>
              <w:spacing w:line="240" w:lineRule="exact"/>
              <w:jc w:val="center"/>
              <w:rPr>
                <w:rFonts w:ascii="宋体"/>
              </w:rPr>
            </w:pPr>
            <w:r>
              <w:rPr>
                <w:rFonts w:hint="eastAsia" w:ascii="宋体" w:hAnsi="宋体" w:cs="宋体"/>
              </w:rPr>
              <w:t>投入（</w:t>
            </w:r>
            <w:r>
              <w:rPr>
                <w:rFonts w:ascii="宋体" w:hAnsi="宋体" w:cs="宋体"/>
              </w:rPr>
              <w:t>6</w:t>
            </w:r>
            <w:r>
              <w:rPr>
                <w:rFonts w:hint="eastAsia" w:ascii="宋体" w:hAnsi="宋体" w:cs="宋体"/>
              </w:rPr>
              <w:t>分）</w:t>
            </w:r>
          </w:p>
        </w:tc>
        <w:tc>
          <w:tcPr>
            <w:tcW w:w="834" w:type="dxa"/>
            <w:tcMar>
              <w:top w:w="10" w:type="dxa"/>
              <w:left w:w="10" w:type="dxa"/>
              <w:bottom w:w="0" w:type="dxa"/>
              <w:right w:w="10" w:type="dxa"/>
            </w:tcMar>
            <w:vAlign w:val="center"/>
          </w:tcPr>
          <w:p>
            <w:pPr>
              <w:spacing w:line="240" w:lineRule="exact"/>
              <w:ind w:left="106" w:leftChars="50" w:right="106" w:rightChars="50"/>
              <w:jc w:val="center"/>
              <w:rPr>
                <w:rFonts w:ascii="宋体"/>
              </w:rPr>
            </w:pPr>
            <w:r>
              <w:rPr>
                <w:rFonts w:hint="eastAsia" w:ascii="宋体" w:hAnsi="宋体" w:cs="宋体"/>
              </w:rPr>
              <w:t>预算编制</w:t>
            </w:r>
          </w:p>
          <w:p>
            <w:pPr>
              <w:spacing w:line="240" w:lineRule="exact"/>
              <w:ind w:left="106" w:leftChars="50" w:right="106" w:rightChars="50"/>
              <w:jc w:val="center"/>
              <w:rPr>
                <w:rFonts w:ascii="宋体"/>
              </w:rPr>
            </w:pPr>
            <w:r>
              <w:rPr>
                <w:rFonts w:hint="eastAsia" w:ascii="宋体" w:hAnsi="宋体" w:cs="宋体"/>
              </w:rPr>
              <w:t>科学性（</w:t>
            </w:r>
            <w:r>
              <w:rPr>
                <w:rFonts w:ascii="宋体" w:hAnsi="宋体" w:cs="宋体"/>
              </w:rPr>
              <w:t>3</w:t>
            </w:r>
            <w:r>
              <w:rPr>
                <w:rFonts w:hint="eastAsia" w:ascii="宋体" w:hAnsi="宋体" w:cs="宋体"/>
              </w:rPr>
              <w:t>分）</w:t>
            </w:r>
          </w:p>
        </w:tc>
        <w:tc>
          <w:tcPr>
            <w:tcW w:w="540" w:type="dxa"/>
            <w:vAlign w:val="center"/>
          </w:tcPr>
          <w:p>
            <w:pPr>
              <w:spacing w:line="240" w:lineRule="exact"/>
              <w:ind w:left="106" w:leftChars="50" w:right="106" w:rightChars="50"/>
              <w:jc w:val="center"/>
              <w:rPr>
                <w:rFonts w:ascii="宋体"/>
              </w:rPr>
            </w:pPr>
            <w:r>
              <w:rPr>
                <w:rFonts w:hint="eastAsia" w:ascii="宋体"/>
              </w:rPr>
              <w:t>3</w:t>
            </w:r>
          </w:p>
        </w:tc>
        <w:tc>
          <w:tcPr>
            <w:tcW w:w="2625" w:type="dxa"/>
            <w:tcMar>
              <w:top w:w="10" w:type="dxa"/>
              <w:left w:w="10" w:type="dxa"/>
              <w:bottom w:w="0" w:type="dxa"/>
              <w:right w:w="10" w:type="dxa"/>
            </w:tcMar>
            <w:vAlign w:val="center"/>
          </w:tcPr>
          <w:p>
            <w:pPr>
              <w:spacing w:line="240" w:lineRule="exact"/>
              <w:ind w:left="106" w:leftChars="50" w:right="106" w:rightChars="50"/>
              <w:rPr>
                <w:rFonts w:ascii="宋体"/>
              </w:rPr>
            </w:pPr>
            <w:r>
              <w:rPr>
                <w:rFonts w:hint="eastAsia" w:ascii="宋体" w:hAnsi="宋体" w:cs="宋体"/>
              </w:rPr>
              <w:t>预算编制是否经过科学论证、有明确标准，资金额度与年度目标是否相适应，用以反映和考核预算支出预算编制的科学性、合理性情况。</w:t>
            </w:r>
          </w:p>
        </w:tc>
        <w:tc>
          <w:tcPr>
            <w:tcW w:w="4194" w:type="dxa"/>
            <w:tcMar>
              <w:top w:w="10" w:type="dxa"/>
              <w:left w:w="10" w:type="dxa"/>
              <w:bottom w:w="0" w:type="dxa"/>
              <w:right w:w="10" w:type="dxa"/>
            </w:tcMar>
            <w:vAlign w:val="center"/>
          </w:tcPr>
          <w:p>
            <w:pPr>
              <w:spacing w:line="220" w:lineRule="exact"/>
              <w:ind w:left="106" w:leftChars="50" w:right="106" w:rightChars="50"/>
              <w:rPr>
                <w:rFonts w:ascii="宋体"/>
              </w:rPr>
            </w:pPr>
            <w:r>
              <w:rPr>
                <w:rFonts w:hint="eastAsia" w:ascii="宋体" w:hAnsi="宋体" w:cs="宋体"/>
              </w:rPr>
              <w:t>评价要点：</w:t>
            </w:r>
          </w:p>
          <w:p>
            <w:pPr>
              <w:spacing w:line="220" w:lineRule="exact"/>
              <w:ind w:left="106" w:leftChars="50" w:right="106" w:rightChars="50"/>
              <w:rPr>
                <w:rFonts w:ascii="宋体"/>
              </w:rPr>
            </w:pPr>
            <w:r>
              <w:rPr>
                <w:rFonts w:hint="eastAsia" w:ascii="宋体" w:hAnsi="宋体" w:cs="宋体"/>
              </w:rPr>
              <w:t>①预算编制是否经过科学论证；</w:t>
            </w:r>
          </w:p>
          <w:p>
            <w:pPr>
              <w:spacing w:line="220" w:lineRule="exact"/>
              <w:ind w:left="106" w:leftChars="50" w:right="106" w:rightChars="50"/>
              <w:rPr>
                <w:rFonts w:ascii="宋体"/>
              </w:rPr>
            </w:pPr>
            <w:r>
              <w:rPr>
                <w:rFonts w:hint="eastAsia" w:ascii="宋体" w:hAnsi="宋体" w:cs="宋体"/>
              </w:rPr>
              <w:t>②预算内容与支出内容是否匹配；</w:t>
            </w:r>
          </w:p>
          <w:p>
            <w:pPr>
              <w:spacing w:line="220" w:lineRule="exact"/>
              <w:ind w:left="106" w:leftChars="50" w:right="106" w:rightChars="50"/>
              <w:rPr>
                <w:rFonts w:ascii="宋体"/>
              </w:rPr>
            </w:pPr>
            <w:r>
              <w:rPr>
                <w:rFonts w:hint="eastAsia" w:ascii="宋体" w:hAnsi="宋体" w:cs="宋体"/>
              </w:rPr>
              <w:t>③预算额度测算依据是否充分，是否按照标准编制；</w:t>
            </w:r>
          </w:p>
          <w:p>
            <w:pPr>
              <w:spacing w:line="220" w:lineRule="exact"/>
              <w:ind w:left="106" w:leftChars="50" w:right="106" w:rightChars="50"/>
              <w:rPr>
                <w:rFonts w:ascii="宋体"/>
              </w:rPr>
            </w:pPr>
            <w:r>
              <w:rPr>
                <w:rFonts w:hint="eastAsia" w:ascii="宋体" w:hAnsi="宋体" w:cs="宋体"/>
              </w:rPr>
              <w:t>④预算确定的预算支出投资额或资金量是否与工作任务相匹配。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43" w:type="dxa"/>
            <w:vMerge w:val="continue"/>
            <w:vAlign w:val="center"/>
          </w:tcPr>
          <w:p>
            <w:pPr>
              <w:spacing w:line="240" w:lineRule="exact"/>
              <w:rPr>
                <w:rFonts w:ascii="宋体"/>
              </w:rPr>
            </w:pPr>
          </w:p>
        </w:tc>
        <w:tc>
          <w:tcPr>
            <w:tcW w:w="454" w:type="dxa"/>
            <w:vMerge w:val="continue"/>
            <w:vAlign w:val="center"/>
          </w:tcPr>
          <w:p>
            <w:pPr>
              <w:spacing w:line="240" w:lineRule="exact"/>
              <w:jc w:val="center"/>
              <w:rPr>
                <w:rFonts w:ascii="宋体"/>
              </w:rPr>
            </w:pPr>
          </w:p>
        </w:tc>
        <w:tc>
          <w:tcPr>
            <w:tcW w:w="834" w:type="dxa"/>
            <w:tcMar>
              <w:top w:w="10" w:type="dxa"/>
              <w:left w:w="10" w:type="dxa"/>
              <w:bottom w:w="0" w:type="dxa"/>
              <w:right w:w="10" w:type="dxa"/>
            </w:tcMar>
            <w:vAlign w:val="center"/>
          </w:tcPr>
          <w:p>
            <w:pPr>
              <w:spacing w:line="240" w:lineRule="exact"/>
              <w:ind w:left="106" w:leftChars="50" w:right="106" w:rightChars="50"/>
              <w:jc w:val="center"/>
              <w:rPr>
                <w:rFonts w:ascii="宋体"/>
              </w:rPr>
            </w:pPr>
            <w:r>
              <w:rPr>
                <w:rFonts w:hint="eastAsia" w:ascii="宋体" w:hAnsi="宋体" w:cs="宋体"/>
              </w:rPr>
              <w:t>资金分配</w:t>
            </w:r>
          </w:p>
          <w:p>
            <w:pPr>
              <w:spacing w:line="240" w:lineRule="exact"/>
              <w:ind w:left="106" w:leftChars="50" w:right="106" w:rightChars="50"/>
              <w:jc w:val="center"/>
              <w:rPr>
                <w:rFonts w:ascii="宋体"/>
              </w:rPr>
            </w:pPr>
            <w:r>
              <w:rPr>
                <w:rFonts w:hint="eastAsia" w:ascii="宋体" w:hAnsi="宋体" w:cs="宋体"/>
              </w:rPr>
              <w:t>合理性（</w:t>
            </w:r>
            <w:r>
              <w:rPr>
                <w:rFonts w:ascii="宋体" w:hAnsi="宋体" w:cs="宋体"/>
              </w:rPr>
              <w:t>3</w:t>
            </w:r>
            <w:r>
              <w:rPr>
                <w:rFonts w:hint="eastAsia" w:ascii="宋体" w:hAnsi="宋体" w:cs="宋体"/>
              </w:rPr>
              <w:t>分）</w:t>
            </w:r>
          </w:p>
        </w:tc>
        <w:tc>
          <w:tcPr>
            <w:tcW w:w="540" w:type="dxa"/>
            <w:vAlign w:val="center"/>
          </w:tcPr>
          <w:p>
            <w:pPr>
              <w:spacing w:line="240" w:lineRule="exact"/>
              <w:ind w:left="106" w:leftChars="50" w:right="106" w:rightChars="50"/>
              <w:jc w:val="center"/>
              <w:rPr>
                <w:rFonts w:ascii="宋体"/>
              </w:rPr>
            </w:pPr>
            <w:r>
              <w:rPr>
                <w:rFonts w:hint="eastAsia" w:ascii="宋体"/>
              </w:rPr>
              <w:t>3</w:t>
            </w:r>
          </w:p>
        </w:tc>
        <w:tc>
          <w:tcPr>
            <w:tcW w:w="2625" w:type="dxa"/>
            <w:tcMar>
              <w:top w:w="10" w:type="dxa"/>
              <w:left w:w="10" w:type="dxa"/>
              <w:bottom w:w="0" w:type="dxa"/>
              <w:right w:w="10" w:type="dxa"/>
            </w:tcMar>
            <w:vAlign w:val="center"/>
          </w:tcPr>
          <w:p>
            <w:pPr>
              <w:spacing w:line="240" w:lineRule="exact"/>
              <w:ind w:left="106" w:leftChars="50" w:right="106" w:rightChars="50"/>
              <w:rPr>
                <w:rFonts w:ascii="宋体"/>
              </w:rPr>
            </w:pPr>
            <w:r>
              <w:rPr>
                <w:rFonts w:hint="eastAsia" w:ascii="宋体" w:hAnsi="宋体" w:cs="宋体"/>
              </w:rPr>
              <w:t>预算资金分配是否有测算依据，与补助单位或地方实际是否相适应，用以反映和考核预算支出预算资金分配的科学性、合理性情况。</w:t>
            </w:r>
          </w:p>
        </w:tc>
        <w:tc>
          <w:tcPr>
            <w:tcW w:w="4194" w:type="dxa"/>
            <w:tcMar>
              <w:top w:w="10" w:type="dxa"/>
              <w:left w:w="10" w:type="dxa"/>
              <w:bottom w:w="0" w:type="dxa"/>
              <w:right w:w="10" w:type="dxa"/>
            </w:tcMar>
            <w:vAlign w:val="center"/>
          </w:tcPr>
          <w:p>
            <w:pPr>
              <w:spacing w:line="240" w:lineRule="exact"/>
              <w:ind w:left="106" w:leftChars="50" w:right="106" w:rightChars="50"/>
              <w:rPr>
                <w:rFonts w:ascii="宋体"/>
              </w:rPr>
            </w:pPr>
            <w:r>
              <w:rPr>
                <w:rFonts w:hint="eastAsia" w:ascii="宋体" w:hAnsi="宋体" w:cs="宋体"/>
              </w:rPr>
              <w:t>评价要点：</w:t>
            </w:r>
          </w:p>
          <w:p>
            <w:pPr>
              <w:spacing w:line="240" w:lineRule="exact"/>
              <w:ind w:right="106" w:rightChars="50" w:firstLine="106" w:firstLineChars="50"/>
              <w:rPr>
                <w:rFonts w:ascii="宋体"/>
              </w:rPr>
            </w:pPr>
            <w:r>
              <w:rPr>
                <w:rFonts w:hint="eastAsia" w:ascii="宋体" w:hAnsi="宋体" w:cs="宋体"/>
              </w:rPr>
              <w:t>①预算资金分配依据是否充分；</w:t>
            </w:r>
          </w:p>
          <w:p>
            <w:pPr>
              <w:spacing w:line="240" w:lineRule="exact"/>
              <w:ind w:left="106" w:leftChars="50" w:right="106" w:rightChars="50"/>
              <w:rPr>
                <w:rFonts w:ascii="宋体"/>
              </w:rPr>
            </w:pPr>
            <w:r>
              <w:rPr>
                <w:rFonts w:hint="eastAsia" w:ascii="宋体" w:hAnsi="宋体" w:cs="宋体"/>
              </w:rPr>
              <w:t>②资金分配额度是否合理，与项目实施单位或地方实际是否相适应。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33" w:hRule="atLeast"/>
          <w:jc w:val="center"/>
        </w:trPr>
        <w:tc>
          <w:tcPr>
            <w:tcW w:w="543" w:type="dxa"/>
            <w:vMerge w:val="restart"/>
            <w:vAlign w:val="center"/>
          </w:tcPr>
          <w:p>
            <w:pPr>
              <w:spacing w:line="240" w:lineRule="exact"/>
              <w:jc w:val="center"/>
              <w:rPr>
                <w:rFonts w:ascii="宋体"/>
              </w:rPr>
            </w:pPr>
            <w:r>
              <w:rPr>
                <w:rFonts w:hint="eastAsia" w:ascii="宋体" w:hAnsi="宋体" w:cs="宋体"/>
              </w:rPr>
              <w:t>过</w:t>
            </w:r>
          </w:p>
          <w:p>
            <w:pPr>
              <w:spacing w:line="240" w:lineRule="exact"/>
              <w:jc w:val="center"/>
              <w:rPr>
                <w:rFonts w:ascii="宋体"/>
              </w:rPr>
            </w:pPr>
          </w:p>
          <w:p>
            <w:pPr>
              <w:spacing w:line="240" w:lineRule="exact"/>
              <w:jc w:val="center"/>
              <w:rPr>
                <w:rFonts w:ascii="宋体"/>
              </w:rPr>
            </w:pPr>
          </w:p>
          <w:p>
            <w:pPr>
              <w:spacing w:line="240" w:lineRule="exact"/>
              <w:jc w:val="center"/>
              <w:rPr>
                <w:rFonts w:ascii="宋体"/>
              </w:rPr>
            </w:pPr>
            <w:r>
              <w:rPr>
                <w:rFonts w:hint="eastAsia" w:ascii="宋体" w:hAnsi="宋体" w:cs="宋体"/>
              </w:rPr>
              <w:t>程（</w:t>
            </w:r>
            <w:r>
              <w:rPr>
                <w:rFonts w:ascii="宋体" w:hAnsi="宋体" w:cs="宋体"/>
              </w:rPr>
              <w:t>20</w:t>
            </w:r>
            <w:r>
              <w:rPr>
                <w:rFonts w:hint="eastAsia" w:ascii="宋体" w:hAnsi="宋体" w:cs="宋体"/>
              </w:rPr>
              <w:t>分）</w:t>
            </w:r>
          </w:p>
        </w:tc>
        <w:tc>
          <w:tcPr>
            <w:tcW w:w="454" w:type="dxa"/>
            <w:vMerge w:val="restart"/>
            <w:tcMar>
              <w:top w:w="10" w:type="dxa"/>
              <w:left w:w="10" w:type="dxa"/>
              <w:bottom w:w="0" w:type="dxa"/>
              <w:right w:w="10" w:type="dxa"/>
            </w:tcMar>
            <w:vAlign w:val="center"/>
          </w:tcPr>
          <w:p>
            <w:pPr>
              <w:spacing w:line="240" w:lineRule="exact"/>
              <w:jc w:val="center"/>
              <w:rPr>
                <w:rFonts w:ascii="宋体"/>
              </w:rPr>
            </w:pPr>
            <w:r>
              <w:rPr>
                <w:rFonts w:hint="eastAsia" w:ascii="宋体" w:hAnsi="宋体" w:cs="宋体"/>
              </w:rPr>
              <w:t>资金</w:t>
            </w:r>
            <w:r>
              <w:rPr>
                <w:rFonts w:ascii="宋体"/>
              </w:rPr>
              <w:br w:type="textWrapping"/>
            </w:r>
            <w:r>
              <w:rPr>
                <w:rFonts w:hint="eastAsia" w:ascii="宋体" w:hAnsi="宋体" w:cs="宋体"/>
              </w:rPr>
              <w:t>管理（</w:t>
            </w:r>
            <w:r>
              <w:rPr>
                <w:rFonts w:ascii="宋体" w:hAnsi="宋体" w:cs="宋体"/>
              </w:rPr>
              <w:t>12</w:t>
            </w:r>
            <w:r>
              <w:rPr>
                <w:rFonts w:hint="eastAsia" w:ascii="宋体" w:hAnsi="宋体" w:cs="宋体"/>
              </w:rPr>
              <w:t>分）</w:t>
            </w:r>
          </w:p>
        </w:tc>
        <w:tc>
          <w:tcPr>
            <w:tcW w:w="834" w:type="dxa"/>
            <w:tcMar>
              <w:top w:w="10" w:type="dxa"/>
              <w:left w:w="10" w:type="dxa"/>
              <w:bottom w:w="0" w:type="dxa"/>
              <w:right w:w="10" w:type="dxa"/>
            </w:tcMar>
            <w:vAlign w:val="center"/>
          </w:tcPr>
          <w:p>
            <w:pPr>
              <w:spacing w:line="240" w:lineRule="exact"/>
              <w:ind w:left="106" w:leftChars="50" w:right="106" w:rightChars="50"/>
              <w:jc w:val="center"/>
              <w:rPr>
                <w:rFonts w:ascii="宋体"/>
              </w:rPr>
            </w:pPr>
            <w:r>
              <w:rPr>
                <w:rFonts w:hint="eastAsia" w:ascii="宋体" w:hAnsi="宋体" w:cs="宋体"/>
              </w:rPr>
              <w:t>资金</w:t>
            </w:r>
          </w:p>
          <w:p>
            <w:pPr>
              <w:spacing w:line="240" w:lineRule="exact"/>
              <w:ind w:left="106" w:leftChars="50" w:right="106" w:rightChars="50"/>
              <w:jc w:val="center"/>
              <w:rPr>
                <w:rFonts w:ascii="宋体"/>
              </w:rPr>
            </w:pPr>
            <w:r>
              <w:rPr>
                <w:rFonts w:hint="eastAsia" w:ascii="宋体" w:hAnsi="宋体" w:cs="宋体"/>
              </w:rPr>
              <w:t>到位率（</w:t>
            </w:r>
            <w:r>
              <w:rPr>
                <w:rFonts w:ascii="宋体" w:hAnsi="宋体" w:cs="宋体"/>
              </w:rPr>
              <w:t>4</w:t>
            </w:r>
            <w:r>
              <w:rPr>
                <w:rFonts w:hint="eastAsia" w:ascii="宋体" w:hAnsi="宋体" w:cs="宋体"/>
              </w:rPr>
              <w:t>分）</w:t>
            </w:r>
          </w:p>
        </w:tc>
        <w:tc>
          <w:tcPr>
            <w:tcW w:w="540" w:type="dxa"/>
            <w:vAlign w:val="center"/>
          </w:tcPr>
          <w:p>
            <w:pPr>
              <w:spacing w:line="240" w:lineRule="exact"/>
              <w:ind w:left="106" w:leftChars="50" w:right="106" w:rightChars="50"/>
              <w:jc w:val="center"/>
              <w:rPr>
                <w:rFonts w:ascii="宋体"/>
              </w:rPr>
            </w:pPr>
            <w:r>
              <w:rPr>
                <w:rFonts w:hint="eastAsia" w:ascii="宋体"/>
              </w:rPr>
              <w:t>4</w:t>
            </w:r>
          </w:p>
        </w:tc>
        <w:tc>
          <w:tcPr>
            <w:tcW w:w="2625" w:type="dxa"/>
            <w:tcMar>
              <w:top w:w="10" w:type="dxa"/>
              <w:left w:w="10" w:type="dxa"/>
              <w:bottom w:w="0" w:type="dxa"/>
              <w:right w:w="10" w:type="dxa"/>
            </w:tcMar>
            <w:vAlign w:val="center"/>
          </w:tcPr>
          <w:p>
            <w:pPr>
              <w:spacing w:line="240" w:lineRule="exact"/>
              <w:ind w:left="106" w:leftChars="50" w:right="106" w:rightChars="50"/>
              <w:rPr>
                <w:rFonts w:ascii="宋体"/>
              </w:rPr>
            </w:pPr>
            <w:r>
              <w:rPr>
                <w:rFonts w:hint="eastAsia" w:ascii="宋体" w:hAnsi="宋体" w:cs="宋体"/>
              </w:rPr>
              <w:t>实际到位资金与预算资金的比率，用以反映和考核资金落实情况对预算支出实施的总体保障程度。</w:t>
            </w:r>
          </w:p>
        </w:tc>
        <w:tc>
          <w:tcPr>
            <w:tcW w:w="4194" w:type="dxa"/>
            <w:tcMar>
              <w:top w:w="10" w:type="dxa"/>
              <w:left w:w="10" w:type="dxa"/>
              <w:bottom w:w="0" w:type="dxa"/>
              <w:right w:w="10" w:type="dxa"/>
            </w:tcMar>
            <w:vAlign w:val="center"/>
          </w:tcPr>
          <w:p>
            <w:pPr>
              <w:spacing w:line="240" w:lineRule="exact"/>
              <w:ind w:left="106" w:leftChars="50" w:right="106" w:rightChars="50"/>
              <w:rPr>
                <w:rFonts w:hint="eastAsia"/>
              </w:rPr>
            </w:pPr>
            <w:r>
              <w:rPr>
                <w:rFonts w:hint="eastAsia"/>
              </w:rPr>
              <w:t>资金到位率</w:t>
            </w:r>
            <w:r>
              <w:t>=</w:t>
            </w:r>
            <w:r>
              <w:rPr>
                <w:rFonts w:hint="eastAsia"/>
              </w:rPr>
              <w:t>（实际到位资金</w:t>
            </w:r>
            <w:r>
              <w:t>/</w:t>
            </w:r>
            <w:r>
              <w:rPr>
                <w:rFonts w:hint="eastAsia"/>
              </w:rPr>
              <w:t>预算资金）×</w:t>
            </w:r>
            <w:r>
              <w:t>100%</w:t>
            </w:r>
            <w:r>
              <w:rPr>
                <w:rFonts w:hint="eastAsia"/>
              </w:rPr>
              <w:t>。</w:t>
            </w:r>
            <w:r>
              <w:br w:type="textWrapping"/>
            </w:r>
            <w:r>
              <w:rPr>
                <w:rFonts w:hint="eastAsia"/>
              </w:rPr>
              <w:t>实际到位资金：一定时期（本年度或预算支出期）内落实到具体预算支出的资金。</w:t>
            </w:r>
            <w:r>
              <w:br w:type="textWrapping"/>
            </w:r>
            <w:r>
              <w:rPr>
                <w:rFonts w:hint="eastAsia"/>
              </w:rPr>
              <w:t>预算资金：一定时期（本年度或预算支出期）内预算安排到具体预算支出的资金。</w:t>
            </w:r>
          </w:p>
          <w:p>
            <w:pPr>
              <w:pStyle w:val="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65" w:hRule="atLeast"/>
          <w:jc w:val="center"/>
        </w:trPr>
        <w:tc>
          <w:tcPr>
            <w:tcW w:w="543" w:type="dxa"/>
            <w:vMerge w:val="continue"/>
            <w:vAlign w:val="center"/>
          </w:tcPr>
          <w:p>
            <w:pPr>
              <w:spacing w:line="240" w:lineRule="exact"/>
              <w:jc w:val="center"/>
              <w:rPr>
                <w:rFonts w:ascii="宋体"/>
              </w:rPr>
            </w:pPr>
          </w:p>
        </w:tc>
        <w:tc>
          <w:tcPr>
            <w:tcW w:w="454" w:type="dxa"/>
            <w:vMerge w:val="continue"/>
            <w:tcMar>
              <w:top w:w="10" w:type="dxa"/>
              <w:left w:w="10" w:type="dxa"/>
              <w:bottom w:w="0" w:type="dxa"/>
              <w:right w:w="10" w:type="dxa"/>
            </w:tcMar>
            <w:vAlign w:val="center"/>
          </w:tcPr>
          <w:p>
            <w:pPr>
              <w:spacing w:line="240" w:lineRule="exact"/>
              <w:jc w:val="center"/>
              <w:rPr>
                <w:rFonts w:ascii="宋体"/>
              </w:rPr>
            </w:pPr>
          </w:p>
        </w:tc>
        <w:tc>
          <w:tcPr>
            <w:tcW w:w="834" w:type="dxa"/>
            <w:tcMar>
              <w:top w:w="10" w:type="dxa"/>
              <w:left w:w="10" w:type="dxa"/>
              <w:bottom w:w="0" w:type="dxa"/>
              <w:right w:w="10" w:type="dxa"/>
            </w:tcMar>
            <w:vAlign w:val="center"/>
          </w:tcPr>
          <w:p>
            <w:pPr>
              <w:spacing w:line="240" w:lineRule="exact"/>
              <w:ind w:left="106" w:leftChars="50" w:right="106" w:rightChars="50"/>
              <w:jc w:val="center"/>
              <w:rPr>
                <w:rFonts w:ascii="宋体"/>
              </w:rPr>
            </w:pPr>
            <w:r>
              <w:rPr>
                <w:rFonts w:hint="eastAsia" w:ascii="宋体" w:hAnsi="宋体" w:cs="宋体"/>
              </w:rPr>
              <w:t>预算</w:t>
            </w:r>
          </w:p>
          <w:p>
            <w:pPr>
              <w:spacing w:line="240" w:lineRule="exact"/>
              <w:ind w:left="106" w:leftChars="50" w:right="106" w:rightChars="50"/>
              <w:jc w:val="center"/>
              <w:rPr>
                <w:rFonts w:ascii="宋体"/>
              </w:rPr>
            </w:pPr>
            <w:r>
              <w:rPr>
                <w:rFonts w:hint="eastAsia" w:ascii="宋体" w:hAnsi="宋体" w:cs="宋体"/>
              </w:rPr>
              <w:t>执行率（</w:t>
            </w:r>
            <w:r>
              <w:rPr>
                <w:rFonts w:ascii="宋体" w:hAnsi="宋体" w:cs="宋体"/>
              </w:rPr>
              <w:t>4</w:t>
            </w:r>
            <w:r>
              <w:rPr>
                <w:rFonts w:hint="eastAsia" w:ascii="宋体" w:hAnsi="宋体" w:cs="宋体"/>
              </w:rPr>
              <w:t>分）</w:t>
            </w:r>
          </w:p>
        </w:tc>
        <w:tc>
          <w:tcPr>
            <w:tcW w:w="540" w:type="dxa"/>
            <w:vAlign w:val="center"/>
          </w:tcPr>
          <w:p>
            <w:pPr>
              <w:spacing w:line="240" w:lineRule="exact"/>
              <w:ind w:left="106" w:leftChars="50" w:right="106" w:rightChars="50"/>
              <w:jc w:val="center"/>
              <w:rPr>
                <w:rFonts w:ascii="宋体"/>
              </w:rPr>
            </w:pPr>
            <w:r>
              <w:rPr>
                <w:rFonts w:hint="eastAsia" w:ascii="宋体"/>
              </w:rPr>
              <w:t>4</w:t>
            </w:r>
          </w:p>
        </w:tc>
        <w:tc>
          <w:tcPr>
            <w:tcW w:w="2625" w:type="dxa"/>
            <w:tcMar>
              <w:top w:w="10" w:type="dxa"/>
              <w:left w:w="10" w:type="dxa"/>
              <w:bottom w:w="0" w:type="dxa"/>
              <w:right w:w="10" w:type="dxa"/>
            </w:tcMar>
            <w:vAlign w:val="center"/>
          </w:tcPr>
          <w:p>
            <w:pPr>
              <w:spacing w:line="240" w:lineRule="exact"/>
              <w:ind w:left="106" w:leftChars="50" w:right="106" w:rightChars="50"/>
              <w:rPr>
                <w:rFonts w:ascii="宋体"/>
              </w:rPr>
            </w:pPr>
            <w:r>
              <w:rPr>
                <w:rFonts w:hint="eastAsia" w:ascii="宋体" w:hAnsi="宋体" w:cs="宋体"/>
              </w:rPr>
              <w:t>预算资金是否按照计划执行，用以反映或考核预算支出预算执行情况。</w:t>
            </w:r>
          </w:p>
        </w:tc>
        <w:tc>
          <w:tcPr>
            <w:tcW w:w="4194" w:type="dxa"/>
            <w:tcMar>
              <w:top w:w="10" w:type="dxa"/>
              <w:left w:w="10" w:type="dxa"/>
              <w:bottom w:w="0" w:type="dxa"/>
              <w:right w:w="10" w:type="dxa"/>
            </w:tcMar>
            <w:vAlign w:val="center"/>
          </w:tcPr>
          <w:p>
            <w:pPr>
              <w:spacing w:line="240" w:lineRule="exact"/>
              <w:ind w:left="106" w:leftChars="50" w:right="106" w:rightChars="50"/>
              <w:rPr>
                <w:rFonts w:ascii="宋体"/>
              </w:rPr>
            </w:pPr>
            <w:r>
              <w:rPr>
                <w:rFonts w:hint="eastAsia" w:ascii="宋体" w:hAnsi="宋体" w:cs="宋体"/>
              </w:rPr>
              <w:t>预算执行率</w:t>
            </w:r>
            <w:r>
              <w:rPr>
                <w:rFonts w:ascii="宋体" w:hAnsi="宋体" w:cs="宋体"/>
              </w:rPr>
              <w:t>=</w:t>
            </w:r>
            <w:r>
              <w:rPr>
                <w:rFonts w:hint="eastAsia" w:ascii="宋体" w:hAnsi="宋体" w:cs="宋体"/>
              </w:rPr>
              <w:t>（实际支出资金</w:t>
            </w:r>
            <w:r>
              <w:rPr>
                <w:rFonts w:ascii="宋体" w:hAnsi="宋体" w:cs="宋体"/>
              </w:rPr>
              <w:t>/</w:t>
            </w:r>
            <w:r>
              <w:rPr>
                <w:rFonts w:hint="eastAsia" w:ascii="宋体" w:hAnsi="宋体" w:cs="宋体"/>
              </w:rPr>
              <w:t>实际到位资金）×</w:t>
            </w:r>
            <w:r>
              <w:rPr>
                <w:rFonts w:ascii="宋体" w:hAnsi="宋体" w:cs="宋体"/>
              </w:rPr>
              <w:t>100%</w:t>
            </w:r>
            <w:r>
              <w:rPr>
                <w:rFonts w:hint="eastAsia" w:ascii="宋体" w:hAnsi="宋体" w:cs="宋体"/>
              </w:rPr>
              <w:t>。</w:t>
            </w:r>
          </w:p>
          <w:p>
            <w:pPr>
              <w:spacing w:line="240" w:lineRule="exact"/>
              <w:ind w:left="106" w:leftChars="50" w:right="106" w:rightChars="50"/>
              <w:rPr>
                <w:rFonts w:ascii="宋体"/>
              </w:rPr>
            </w:pPr>
            <w:r>
              <w:rPr>
                <w:rFonts w:hint="eastAsia" w:ascii="宋体" w:hAnsi="宋体" w:cs="宋体"/>
              </w:rPr>
              <w:t>实际支出资金：一定时期（本年度或预算支出期）内预算支出实际拨付的资金。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43" w:type="dxa"/>
            <w:vMerge w:val="continue"/>
            <w:vAlign w:val="center"/>
          </w:tcPr>
          <w:p>
            <w:pPr>
              <w:spacing w:line="240" w:lineRule="exact"/>
              <w:jc w:val="center"/>
              <w:rPr>
                <w:rFonts w:ascii="宋体"/>
              </w:rPr>
            </w:pPr>
          </w:p>
        </w:tc>
        <w:tc>
          <w:tcPr>
            <w:tcW w:w="454" w:type="dxa"/>
            <w:vMerge w:val="continue"/>
            <w:vAlign w:val="center"/>
          </w:tcPr>
          <w:p>
            <w:pPr>
              <w:spacing w:line="240" w:lineRule="exact"/>
              <w:rPr>
                <w:rFonts w:ascii="宋体"/>
              </w:rPr>
            </w:pPr>
          </w:p>
        </w:tc>
        <w:tc>
          <w:tcPr>
            <w:tcW w:w="834" w:type="dxa"/>
            <w:tcMar>
              <w:top w:w="10" w:type="dxa"/>
              <w:left w:w="10" w:type="dxa"/>
              <w:bottom w:w="0" w:type="dxa"/>
              <w:right w:w="10" w:type="dxa"/>
            </w:tcMar>
            <w:vAlign w:val="center"/>
          </w:tcPr>
          <w:p>
            <w:pPr>
              <w:spacing w:line="240" w:lineRule="exact"/>
              <w:ind w:left="106" w:leftChars="50" w:right="106" w:rightChars="50"/>
              <w:jc w:val="center"/>
              <w:rPr>
                <w:rFonts w:ascii="宋体"/>
              </w:rPr>
            </w:pPr>
            <w:r>
              <w:rPr>
                <w:rFonts w:hint="eastAsia" w:ascii="宋体" w:hAnsi="宋体" w:cs="宋体"/>
              </w:rPr>
              <w:t>资金使用</w:t>
            </w:r>
          </w:p>
          <w:p>
            <w:pPr>
              <w:spacing w:line="240" w:lineRule="exact"/>
              <w:ind w:left="106" w:leftChars="50" w:right="106" w:rightChars="50"/>
              <w:jc w:val="center"/>
              <w:rPr>
                <w:rFonts w:ascii="宋体"/>
              </w:rPr>
            </w:pPr>
            <w:r>
              <w:rPr>
                <w:rFonts w:hint="eastAsia" w:ascii="宋体" w:hAnsi="宋体" w:cs="宋体"/>
              </w:rPr>
              <w:t>合规性（</w:t>
            </w:r>
            <w:r>
              <w:rPr>
                <w:rFonts w:ascii="宋体" w:hAnsi="宋体" w:cs="宋体"/>
              </w:rPr>
              <w:t>4</w:t>
            </w:r>
            <w:r>
              <w:rPr>
                <w:rFonts w:hint="eastAsia" w:ascii="宋体" w:hAnsi="宋体" w:cs="宋体"/>
              </w:rPr>
              <w:t>分）</w:t>
            </w:r>
          </w:p>
        </w:tc>
        <w:tc>
          <w:tcPr>
            <w:tcW w:w="540" w:type="dxa"/>
            <w:vAlign w:val="center"/>
          </w:tcPr>
          <w:p>
            <w:pPr>
              <w:spacing w:line="240" w:lineRule="exact"/>
              <w:ind w:left="106" w:leftChars="50" w:right="106" w:rightChars="50"/>
              <w:jc w:val="center"/>
              <w:rPr>
                <w:rFonts w:ascii="宋体"/>
              </w:rPr>
            </w:pPr>
            <w:r>
              <w:rPr>
                <w:rFonts w:hint="eastAsia" w:ascii="宋体"/>
              </w:rPr>
              <w:t>4</w:t>
            </w:r>
          </w:p>
        </w:tc>
        <w:tc>
          <w:tcPr>
            <w:tcW w:w="2625" w:type="dxa"/>
            <w:tcMar>
              <w:top w:w="10" w:type="dxa"/>
              <w:left w:w="10" w:type="dxa"/>
              <w:bottom w:w="0" w:type="dxa"/>
              <w:right w:w="10" w:type="dxa"/>
            </w:tcMar>
            <w:vAlign w:val="center"/>
          </w:tcPr>
          <w:p>
            <w:pPr>
              <w:spacing w:line="240" w:lineRule="exact"/>
              <w:ind w:left="106" w:leftChars="50" w:right="106" w:rightChars="50"/>
              <w:rPr>
                <w:rFonts w:ascii="宋体"/>
              </w:rPr>
            </w:pPr>
            <w:r>
              <w:rPr>
                <w:rFonts w:hint="eastAsia" w:ascii="宋体" w:hAnsi="宋体" w:cs="宋体"/>
              </w:rPr>
              <w:t>预算资金使用是否符合相关的财务管理制度规定，用以反映和考核预算资金的规范运行情况。</w:t>
            </w:r>
          </w:p>
        </w:tc>
        <w:tc>
          <w:tcPr>
            <w:tcW w:w="4194" w:type="dxa"/>
            <w:tcMar>
              <w:top w:w="10" w:type="dxa"/>
              <w:left w:w="10" w:type="dxa"/>
              <w:bottom w:w="0" w:type="dxa"/>
              <w:right w:w="10" w:type="dxa"/>
            </w:tcMar>
            <w:vAlign w:val="center"/>
          </w:tcPr>
          <w:p>
            <w:pPr>
              <w:spacing w:line="240" w:lineRule="exact"/>
              <w:ind w:left="106" w:leftChars="50" w:right="106" w:rightChars="50"/>
              <w:rPr>
                <w:rFonts w:ascii="宋体"/>
              </w:rPr>
            </w:pPr>
            <w:r>
              <w:rPr>
                <w:rFonts w:hint="eastAsia" w:ascii="宋体" w:hAnsi="宋体" w:cs="宋体"/>
              </w:rPr>
              <w:t>评价要点：</w:t>
            </w:r>
          </w:p>
          <w:p>
            <w:pPr>
              <w:spacing w:line="240" w:lineRule="exact"/>
              <w:ind w:left="106" w:leftChars="50" w:right="106" w:rightChars="50"/>
              <w:rPr>
                <w:rFonts w:ascii="宋体"/>
              </w:rPr>
            </w:pPr>
            <w:r>
              <w:rPr>
                <w:rFonts w:hint="eastAsia" w:ascii="宋体" w:hAnsi="宋体" w:cs="宋体"/>
              </w:rPr>
              <w:t>①是否符合国家财经法规和财务管理制度以及有关专项资金管理办法的规定；</w:t>
            </w:r>
          </w:p>
          <w:p>
            <w:pPr>
              <w:spacing w:line="240" w:lineRule="exact"/>
              <w:ind w:right="106" w:rightChars="50" w:firstLine="106" w:firstLineChars="50"/>
              <w:rPr>
                <w:rFonts w:ascii="宋体"/>
              </w:rPr>
            </w:pPr>
            <w:r>
              <w:rPr>
                <w:rFonts w:hint="eastAsia" w:ascii="宋体" w:hAnsi="宋体" w:cs="宋体"/>
              </w:rPr>
              <w:t>②资金的拨付是否有完整的审批程序和手续；</w:t>
            </w:r>
          </w:p>
          <w:p>
            <w:pPr>
              <w:spacing w:line="240" w:lineRule="exact"/>
              <w:ind w:right="106" w:rightChars="50" w:firstLine="106" w:firstLineChars="50"/>
              <w:rPr>
                <w:rFonts w:ascii="宋体"/>
              </w:rPr>
            </w:pPr>
            <w:r>
              <w:rPr>
                <w:rFonts w:hint="eastAsia" w:ascii="宋体" w:hAnsi="宋体" w:cs="宋体"/>
              </w:rPr>
              <w:t>③是否符合预算支出预算批复或合同规定的用途；</w:t>
            </w:r>
          </w:p>
          <w:p>
            <w:pPr>
              <w:spacing w:line="240" w:lineRule="exact"/>
              <w:ind w:left="106" w:leftChars="50" w:right="106" w:rightChars="50"/>
              <w:rPr>
                <w:rFonts w:ascii="宋体"/>
              </w:rPr>
            </w:pPr>
            <w:r>
              <w:rPr>
                <w:rFonts w:hint="eastAsia" w:ascii="宋体" w:hAnsi="宋体" w:cs="宋体"/>
              </w:rPr>
              <w:t>④是否存在截留、挤占、挪用、虐列支出等情况。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43" w:type="dxa"/>
            <w:vMerge w:val="continue"/>
            <w:tcMar>
              <w:top w:w="10" w:type="dxa"/>
              <w:left w:w="10" w:type="dxa"/>
              <w:bottom w:w="0" w:type="dxa"/>
              <w:right w:w="10" w:type="dxa"/>
            </w:tcMar>
            <w:textDirection w:val="tbRlV"/>
            <w:vAlign w:val="center"/>
          </w:tcPr>
          <w:p>
            <w:pPr>
              <w:spacing w:line="240" w:lineRule="exact"/>
              <w:jc w:val="center"/>
              <w:rPr>
                <w:rFonts w:ascii="宋体"/>
              </w:rPr>
            </w:pPr>
          </w:p>
        </w:tc>
        <w:tc>
          <w:tcPr>
            <w:tcW w:w="454" w:type="dxa"/>
            <w:vMerge w:val="restart"/>
            <w:tcMar>
              <w:top w:w="10" w:type="dxa"/>
              <w:left w:w="10" w:type="dxa"/>
              <w:bottom w:w="0" w:type="dxa"/>
              <w:right w:w="10" w:type="dxa"/>
            </w:tcMar>
            <w:vAlign w:val="center"/>
          </w:tcPr>
          <w:p>
            <w:pPr>
              <w:spacing w:line="240" w:lineRule="exact"/>
              <w:jc w:val="center"/>
              <w:rPr>
                <w:rFonts w:ascii="宋体"/>
              </w:rPr>
            </w:pPr>
            <w:r>
              <w:rPr>
                <w:rFonts w:hint="eastAsia" w:ascii="宋体" w:hAnsi="宋体" w:cs="宋体"/>
              </w:rPr>
              <w:t>组织</w:t>
            </w:r>
          </w:p>
          <w:p>
            <w:pPr>
              <w:spacing w:line="240" w:lineRule="exact"/>
              <w:jc w:val="center"/>
              <w:rPr>
                <w:rFonts w:ascii="宋体"/>
              </w:rPr>
            </w:pPr>
            <w:r>
              <w:rPr>
                <w:rFonts w:hint="eastAsia" w:ascii="宋体" w:hAnsi="宋体" w:cs="宋体"/>
              </w:rPr>
              <w:t>实施（</w:t>
            </w:r>
            <w:r>
              <w:rPr>
                <w:rFonts w:ascii="宋体" w:hAnsi="宋体" w:cs="宋体"/>
              </w:rPr>
              <w:t>8</w:t>
            </w:r>
            <w:r>
              <w:rPr>
                <w:rFonts w:hint="eastAsia" w:ascii="宋体" w:hAnsi="宋体" w:cs="宋体"/>
              </w:rPr>
              <w:t>分）</w:t>
            </w:r>
          </w:p>
        </w:tc>
        <w:tc>
          <w:tcPr>
            <w:tcW w:w="834" w:type="dxa"/>
            <w:tcMar>
              <w:top w:w="10" w:type="dxa"/>
              <w:left w:w="10" w:type="dxa"/>
              <w:bottom w:w="0" w:type="dxa"/>
              <w:right w:w="10" w:type="dxa"/>
            </w:tcMar>
            <w:vAlign w:val="center"/>
          </w:tcPr>
          <w:p>
            <w:pPr>
              <w:spacing w:line="240" w:lineRule="exact"/>
              <w:ind w:left="106" w:leftChars="50" w:right="106" w:rightChars="50"/>
              <w:jc w:val="center"/>
              <w:rPr>
                <w:rFonts w:ascii="宋体"/>
              </w:rPr>
            </w:pPr>
            <w:r>
              <w:rPr>
                <w:rFonts w:hint="eastAsia" w:ascii="宋体" w:hAnsi="宋体" w:cs="宋体"/>
              </w:rPr>
              <w:t>管理制度</w:t>
            </w:r>
          </w:p>
          <w:p>
            <w:pPr>
              <w:spacing w:line="240" w:lineRule="exact"/>
              <w:ind w:left="106" w:leftChars="50" w:right="106" w:rightChars="50"/>
              <w:jc w:val="center"/>
              <w:rPr>
                <w:rFonts w:ascii="宋体"/>
              </w:rPr>
            </w:pPr>
            <w:r>
              <w:rPr>
                <w:rFonts w:hint="eastAsia" w:ascii="宋体" w:hAnsi="宋体" w:cs="宋体"/>
              </w:rPr>
              <w:t>健全性（</w:t>
            </w:r>
            <w:r>
              <w:rPr>
                <w:rFonts w:ascii="宋体" w:hAnsi="宋体" w:cs="宋体"/>
              </w:rPr>
              <w:t>4</w:t>
            </w:r>
            <w:r>
              <w:rPr>
                <w:rFonts w:hint="eastAsia" w:ascii="宋体" w:hAnsi="宋体" w:cs="宋体"/>
              </w:rPr>
              <w:t>分）</w:t>
            </w:r>
          </w:p>
        </w:tc>
        <w:tc>
          <w:tcPr>
            <w:tcW w:w="540" w:type="dxa"/>
            <w:vAlign w:val="center"/>
          </w:tcPr>
          <w:p>
            <w:pPr>
              <w:spacing w:line="240" w:lineRule="exact"/>
              <w:ind w:left="106" w:leftChars="50" w:right="106" w:rightChars="50"/>
              <w:jc w:val="center"/>
              <w:rPr>
                <w:rFonts w:ascii="宋体"/>
              </w:rPr>
            </w:pPr>
            <w:r>
              <w:rPr>
                <w:rFonts w:hint="eastAsia" w:ascii="宋体"/>
              </w:rPr>
              <w:t>4</w:t>
            </w:r>
          </w:p>
        </w:tc>
        <w:tc>
          <w:tcPr>
            <w:tcW w:w="2625" w:type="dxa"/>
            <w:tcMar>
              <w:top w:w="10" w:type="dxa"/>
              <w:left w:w="10" w:type="dxa"/>
              <w:bottom w:w="0" w:type="dxa"/>
              <w:right w:w="10" w:type="dxa"/>
            </w:tcMar>
            <w:vAlign w:val="center"/>
          </w:tcPr>
          <w:p>
            <w:pPr>
              <w:spacing w:line="240" w:lineRule="exact"/>
              <w:ind w:left="106" w:leftChars="50" w:right="106" w:rightChars="50"/>
              <w:rPr>
                <w:rFonts w:ascii="宋体"/>
              </w:rPr>
            </w:pPr>
            <w:r>
              <w:rPr>
                <w:rFonts w:hint="eastAsia" w:ascii="宋体" w:hAnsi="宋体" w:cs="宋体"/>
              </w:rPr>
              <w:t>预算支出实施单位的财务和业务管理制度是否健全，用以反映和考核财务和业务管理制度对预算支出顺利实施的保障情况。</w:t>
            </w:r>
          </w:p>
        </w:tc>
        <w:tc>
          <w:tcPr>
            <w:tcW w:w="4194" w:type="dxa"/>
            <w:tcMar>
              <w:top w:w="10" w:type="dxa"/>
              <w:left w:w="10" w:type="dxa"/>
              <w:bottom w:w="0" w:type="dxa"/>
              <w:right w:w="10" w:type="dxa"/>
            </w:tcMar>
            <w:vAlign w:val="center"/>
          </w:tcPr>
          <w:p>
            <w:pPr>
              <w:spacing w:line="240" w:lineRule="exact"/>
              <w:ind w:left="106" w:leftChars="50" w:right="106" w:rightChars="50"/>
              <w:rPr>
                <w:rFonts w:ascii="宋体"/>
              </w:rPr>
            </w:pPr>
            <w:r>
              <w:rPr>
                <w:rFonts w:hint="eastAsia" w:ascii="宋体" w:hAnsi="宋体" w:cs="宋体"/>
              </w:rPr>
              <w:t>评价要点：</w:t>
            </w:r>
            <w:r>
              <w:rPr>
                <w:rFonts w:ascii="宋体"/>
              </w:rPr>
              <w:br w:type="textWrapping"/>
            </w:r>
            <w:r>
              <w:rPr>
                <w:rFonts w:hint="eastAsia" w:ascii="宋体" w:hAnsi="宋体" w:cs="宋体"/>
              </w:rPr>
              <w:t>①是否已制定或具有相应的业务管理制度；</w:t>
            </w:r>
            <w:r>
              <w:rPr>
                <w:rFonts w:ascii="宋体"/>
              </w:rPr>
              <w:br w:type="textWrapping"/>
            </w:r>
            <w:r>
              <w:rPr>
                <w:rFonts w:hint="eastAsia" w:ascii="宋体" w:hAnsi="宋体" w:cs="宋体"/>
              </w:rPr>
              <w:t>②财务和业务管理制度是否合法、合规、完整。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43" w:type="dxa"/>
            <w:vMerge w:val="continue"/>
            <w:vAlign w:val="center"/>
          </w:tcPr>
          <w:p>
            <w:pPr>
              <w:spacing w:line="240" w:lineRule="exact"/>
              <w:rPr>
                <w:rFonts w:ascii="宋体"/>
              </w:rPr>
            </w:pPr>
          </w:p>
        </w:tc>
        <w:tc>
          <w:tcPr>
            <w:tcW w:w="454" w:type="dxa"/>
            <w:vMerge w:val="continue"/>
            <w:vAlign w:val="center"/>
          </w:tcPr>
          <w:p>
            <w:pPr>
              <w:spacing w:line="240" w:lineRule="exact"/>
              <w:rPr>
                <w:rFonts w:ascii="宋体"/>
              </w:rPr>
            </w:pPr>
          </w:p>
        </w:tc>
        <w:tc>
          <w:tcPr>
            <w:tcW w:w="834" w:type="dxa"/>
            <w:tcMar>
              <w:top w:w="10" w:type="dxa"/>
              <w:left w:w="10" w:type="dxa"/>
              <w:bottom w:w="0" w:type="dxa"/>
              <w:right w:w="10" w:type="dxa"/>
            </w:tcMar>
            <w:vAlign w:val="center"/>
          </w:tcPr>
          <w:p>
            <w:pPr>
              <w:spacing w:line="240" w:lineRule="exact"/>
              <w:ind w:left="106" w:leftChars="50" w:right="106" w:rightChars="50"/>
              <w:jc w:val="center"/>
              <w:rPr>
                <w:rFonts w:ascii="宋体"/>
              </w:rPr>
            </w:pPr>
            <w:r>
              <w:rPr>
                <w:rFonts w:hint="eastAsia" w:ascii="宋体" w:hAnsi="宋体" w:cs="宋体"/>
              </w:rPr>
              <w:t>制度执行</w:t>
            </w:r>
          </w:p>
          <w:p>
            <w:pPr>
              <w:spacing w:line="240" w:lineRule="exact"/>
              <w:ind w:left="106" w:leftChars="50" w:right="106" w:rightChars="50"/>
              <w:jc w:val="center"/>
              <w:rPr>
                <w:rFonts w:ascii="宋体"/>
              </w:rPr>
            </w:pPr>
            <w:r>
              <w:rPr>
                <w:rFonts w:hint="eastAsia" w:ascii="宋体" w:hAnsi="宋体" w:cs="宋体"/>
              </w:rPr>
              <w:t>有效性（</w:t>
            </w:r>
            <w:r>
              <w:rPr>
                <w:rFonts w:ascii="宋体" w:hAnsi="宋体" w:cs="宋体"/>
              </w:rPr>
              <w:t>4</w:t>
            </w:r>
            <w:r>
              <w:rPr>
                <w:rFonts w:hint="eastAsia" w:ascii="宋体" w:hAnsi="宋体" w:cs="宋体"/>
              </w:rPr>
              <w:t>分）</w:t>
            </w:r>
          </w:p>
        </w:tc>
        <w:tc>
          <w:tcPr>
            <w:tcW w:w="540" w:type="dxa"/>
            <w:vAlign w:val="center"/>
          </w:tcPr>
          <w:p>
            <w:pPr>
              <w:spacing w:line="240" w:lineRule="exact"/>
              <w:ind w:left="106" w:leftChars="50" w:right="106" w:rightChars="50"/>
              <w:jc w:val="center"/>
              <w:rPr>
                <w:rFonts w:ascii="宋体"/>
              </w:rPr>
            </w:pPr>
            <w:r>
              <w:rPr>
                <w:rFonts w:hint="eastAsia" w:ascii="宋体"/>
              </w:rPr>
              <w:t>4</w:t>
            </w:r>
          </w:p>
        </w:tc>
        <w:tc>
          <w:tcPr>
            <w:tcW w:w="2625" w:type="dxa"/>
            <w:tcMar>
              <w:top w:w="10" w:type="dxa"/>
              <w:left w:w="10" w:type="dxa"/>
              <w:bottom w:w="0" w:type="dxa"/>
              <w:right w:w="10" w:type="dxa"/>
            </w:tcMar>
            <w:vAlign w:val="center"/>
          </w:tcPr>
          <w:p>
            <w:pPr>
              <w:spacing w:line="240" w:lineRule="exact"/>
              <w:ind w:left="106" w:leftChars="50" w:right="106" w:rightChars="50"/>
              <w:rPr>
                <w:rFonts w:ascii="宋体"/>
              </w:rPr>
            </w:pPr>
            <w:r>
              <w:rPr>
                <w:rFonts w:hint="eastAsia" w:ascii="宋体" w:hAnsi="宋体" w:cs="宋体"/>
              </w:rPr>
              <w:t>预算支出实施是否符合相关业务管理规定，用以反映和考核业务管理制度的有效执行情况。</w:t>
            </w:r>
          </w:p>
        </w:tc>
        <w:tc>
          <w:tcPr>
            <w:tcW w:w="4194" w:type="dxa"/>
            <w:tcMar>
              <w:top w:w="10" w:type="dxa"/>
              <w:left w:w="10" w:type="dxa"/>
              <w:bottom w:w="0" w:type="dxa"/>
              <w:right w:w="10" w:type="dxa"/>
            </w:tcMar>
            <w:vAlign w:val="center"/>
          </w:tcPr>
          <w:p>
            <w:pPr>
              <w:spacing w:line="240" w:lineRule="exact"/>
              <w:ind w:left="106" w:leftChars="50" w:right="106" w:rightChars="50"/>
              <w:rPr>
                <w:rFonts w:ascii="宋体"/>
              </w:rPr>
            </w:pPr>
            <w:r>
              <w:rPr>
                <w:rFonts w:hint="eastAsia" w:ascii="宋体" w:hAnsi="宋体" w:cs="宋体"/>
              </w:rPr>
              <w:t>评价要点：</w:t>
            </w:r>
            <w:r>
              <w:rPr>
                <w:rFonts w:ascii="宋体"/>
              </w:rPr>
              <w:br w:type="textWrapping"/>
            </w:r>
            <w:r>
              <w:rPr>
                <w:rFonts w:hint="eastAsia" w:ascii="宋体" w:hAnsi="宋体" w:cs="宋体"/>
              </w:rPr>
              <w:t>①是否遵守相关法律法规和相关管理规定；</w:t>
            </w:r>
            <w:r>
              <w:rPr>
                <w:rFonts w:ascii="宋体"/>
              </w:rPr>
              <w:br w:type="textWrapping"/>
            </w:r>
            <w:r>
              <w:rPr>
                <w:rFonts w:hint="eastAsia" w:ascii="宋体" w:hAnsi="宋体" w:cs="宋体"/>
              </w:rPr>
              <w:t>②预算支出调整及支出调整手续是否完备；</w:t>
            </w:r>
            <w:r>
              <w:rPr>
                <w:rFonts w:ascii="宋体"/>
              </w:rPr>
              <w:br w:type="textWrapping"/>
            </w:r>
            <w:r>
              <w:rPr>
                <w:rFonts w:hint="eastAsia" w:ascii="宋体" w:hAnsi="宋体" w:cs="宋体"/>
              </w:rPr>
              <w:t>③预算支出合同书、验收报告、技术鉴定等资料是否齐全并及时归档；</w:t>
            </w:r>
            <w:r>
              <w:rPr>
                <w:rFonts w:ascii="宋体"/>
              </w:rPr>
              <w:br w:type="textWrapping"/>
            </w:r>
            <w:r>
              <w:rPr>
                <w:rFonts w:hint="eastAsia" w:ascii="宋体" w:hAnsi="宋体" w:cs="宋体"/>
              </w:rPr>
              <w:t>④预算支出实施的人员条件、场地设备、信息支撑等是否落实到位。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81" w:hRule="atLeast"/>
          <w:jc w:val="center"/>
        </w:trPr>
        <w:tc>
          <w:tcPr>
            <w:tcW w:w="543" w:type="dxa"/>
            <w:vMerge w:val="restart"/>
            <w:tcMar>
              <w:top w:w="10" w:type="dxa"/>
              <w:left w:w="10" w:type="dxa"/>
              <w:bottom w:w="0" w:type="dxa"/>
              <w:right w:w="10" w:type="dxa"/>
            </w:tcMar>
            <w:textDirection w:val="tbRlV"/>
            <w:vAlign w:val="center"/>
          </w:tcPr>
          <w:p>
            <w:pPr>
              <w:spacing w:line="240" w:lineRule="exact"/>
              <w:jc w:val="center"/>
              <w:rPr>
                <w:rFonts w:ascii="宋体"/>
              </w:rPr>
            </w:pPr>
            <w:r>
              <w:rPr>
                <w:rFonts w:hint="eastAsia" w:ascii="宋体" w:hAnsi="宋体" w:cs="宋体"/>
              </w:rPr>
              <w:t>产</w:t>
            </w:r>
            <w:r>
              <w:rPr>
                <w:rFonts w:ascii="宋体" w:hAnsi="宋体" w:cs="宋体"/>
              </w:rPr>
              <w:t xml:space="preserve">   </w:t>
            </w:r>
            <w:r>
              <w:rPr>
                <w:rFonts w:hint="eastAsia" w:ascii="宋体" w:hAnsi="宋体" w:cs="宋体"/>
              </w:rPr>
              <w:t>出（</w:t>
            </w:r>
            <w:r>
              <w:rPr>
                <w:rFonts w:ascii="宋体" w:hAnsi="宋体" w:cs="宋体"/>
              </w:rPr>
              <w:t>40</w:t>
            </w:r>
            <w:r>
              <w:rPr>
                <w:rFonts w:hint="eastAsia" w:ascii="宋体" w:hAnsi="宋体" w:cs="宋体"/>
              </w:rPr>
              <w:t>分）</w:t>
            </w:r>
          </w:p>
        </w:tc>
        <w:tc>
          <w:tcPr>
            <w:tcW w:w="454" w:type="dxa"/>
            <w:tcMar>
              <w:top w:w="10" w:type="dxa"/>
              <w:left w:w="10" w:type="dxa"/>
              <w:bottom w:w="0" w:type="dxa"/>
              <w:right w:w="10" w:type="dxa"/>
            </w:tcMar>
            <w:vAlign w:val="center"/>
          </w:tcPr>
          <w:p>
            <w:pPr>
              <w:spacing w:line="240" w:lineRule="exact"/>
              <w:jc w:val="center"/>
              <w:rPr>
                <w:rFonts w:ascii="宋体"/>
              </w:rPr>
            </w:pPr>
            <w:r>
              <w:rPr>
                <w:rFonts w:hint="eastAsia" w:ascii="宋体" w:hAnsi="宋体" w:cs="宋体"/>
              </w:rPr>
              <w:t>产出</w:t>
            </w:r>
          </w:p>
          <w:p>
            <w:pPr>
              <w:spacing w:line="240" w:lineRule="exact"/>
              <w:jc w:val="center"/>
              <w:rPr>
                <w:rFonts w:ascii="宋体"/>
              </w:rPr>
            </w:pPr>
            <w:r>
              <w:rPr>
                <w:rFonts w:hint="eastAsia" w:ascii="宋体" w:hAnsi="宋体" w:cs="宋体"/>
              </w:rPr>
              <w:t>数量（</w:t>
            </w:r>
            <w:r>
              <w:rPr>
                <w:rFonts w:ascii="宋体" w:hAnsi="宋体" w:cs="宋体"/>
              </w:rPr>
              <w:t>10</w:t>
            </w:r>
            <w:r>
              <w:rPr>
                <w:rFonts w:hint="eastAsia" w:ascii="宋体" w:hAnsi="宋体" w:cs="宋体"/>
              </w:rPr>
              <w:t>分）</w:t>
            </w:r>
          </w:p>
        </w:tc>
        <w:tc>
          <w:tcPr>
            <w:tcW w:w="834" w:type="dxa"/>
            <w:tcMar>
              <w:top w:w="10" w:type="dxa"/>
              <w:left w:w="10" w:type="dxa"/>
              <w:bottom w:w="0" w:type="dxa"/>
              <w:right w:w="10" w:type="dxa"/>
            </w:tcMar>
            <w:vAlign w:val="center"/>
          </w:tcPr>
          <w:p>
            <w:pPr>
              <w:spacing w:line="240" w:lineRule="exact"/>
              <w:ind w:left="106" w:leftChars="50" w:right="106" w:rightChars="50"/>
              <w:jc w:val="center"/>
              <w:rPr>
                <w:rFonts w:ascii="宋体"/>
              </w:rPr>
            </w:pPr>
            <w:r>
              <w:rPr>
                <w:rFonts w:hint="eastAsia" w:ascii="宋体" w:hAnsi="宋体" w:cs="宋体"/>
              </w:rPr>
              <w:t>实际</w:t>
            </w:r>
          </w:p>
          <w:p>
            <w:pPr>
              <w:spacing w:line="240" w:lineRule="exact"/>
              <w:ind w:left="106" w:leftChars="50" w:right="106" w:rightChars="50"/>
              <w:jc w:val="center"/>
              <w:rPr>
                <w:rFonts w:ascii="宋体"/>
              </w:rPr>
            </w:pPr>
            <w:r>
              <w:rPr>
                <w:rFonts w:hint="eastAsia" w:ascii="宋体" w:hAnsi="宋体" w:cs="宋体"/>
              </w:rPr>
              <w:t>完成率（</w:t>
            </w:r>
            <w:r>
              <w:rPr>
                <w:rFonts w:ascii="宋体" w:hAnsi="宋体" w:cs="宋体"/>
              </w:rPr>
              <w:t>10</w:t>
            </w:r>
            <w:r>
              <w:rPr>
                <w:rFonts w:hint="eastAsia" w:ascii="宋体" w:hAnsi="宋体" w:cs="宋体"/>
              </w:rPr>
              <w:t>分）</w:t>
            </w:r>
          </w:p>
        </w:tc>
        <w:tc>
          <w:tcPr>
            <w:tcW w:w="540" w:type="dxa"/>
            <w:vAlign w:val="center"/>
          </w:tcPr>
          <w:p>
            <w:pPr>
              <w:spacing w:line="240" w:lineRule="exact"/>
              <w:ind w:left="106" w:leftChars="50" w:right="106" w:rightChars="50"/>
              <w:jc w:val="center"/>
              <w:rPr>
                <w:rFonts w:ascii="宋体"/>
              </w:rPr>
            </w:pPr>
            <w:r>
              <w:rPr>
                <w:rFonts w:hint="eastAsia" w:ascii="宋体"/>
              </w:rPr>
              <w:t>10</w:t>
            </w:r>
          </w:p>
        </w:tc>
        <w:tc>
          <w:tcPr>
            <w:tcW w:w="2625" w:type="dxa"/>
            <w:tcMar>
              <w:top w:w="10" w:type="dxa"/>
              <w:left w:w="10" w:type="dxa"/>
              <w:bottom w:w="0" w:type="dxa"/>
              <w:right w:w="10" w:type="dxa"/>
            </w:tcMar>
            <w:vAlign w:val="center"/>
          </w:tcPr>
          <w:p>
            <w:pPr>
              <w:spacing w:line="240" w:lineRule="exact"/>
              <w:ind w:left="106" w:leftChars="50" w:right="106" w:rightChars="50"/>
              <w:rPr>
                <w:rFonts w:ascii="宋体"/>
              </w:rPr>
            </w:pPr>
            <w:r>
              <w:rPr>
                <w:rFonts w:hint="eastAsia" w:ascii="宋体" w:hAnsi="宋体" w:cs="宋体"/>
              </w:rPr>
              <w:t>预算支出实施的实际产出数与计划产出数的比率，用以反映和考核预算支出产出数量目标的实现程度。</w:t>
            </w:r>
          </w:p>
        </w:tc>
        <w:tc>
          <w:tcPr>
            <w:tcW w:w="4194" w:type="dxa"/>
            <w:tcMar>
              <w:top w:w="10" w:type="dxa"/>
              <w:left w:w="10" w:type="dxa"/>
              <w:bottom w:w="0" w:type="dxa"/>
              <w:right w:w="10" w:type="dxa"/>
            </w:tcMar>
            <w:vAlign w:val="center"/>
          </w:tcPr>
          <w:p>
            <w:pPr>
              <w:spacing w:line="240" w:lineRule="exact"/>
              <w:ind w:left="106" w:leftChars="50" w:right="106" w:rightChars="50"/>
              <w:rPr>
                <w:rFonts w:ascii="宋体"/>
              </w:rPr>
            </w:pPr>
            <w:r>
              <w:rPr>
                <w:rFonts w:hint="eastAsia" w:ascii="宋体" w:hAnsi="宋体" w:cs="宋体"/>
              </w:rPr>
              <w:t>实际完成率</w:t>
            </w:r>
            <w:r>
              <w:rPr>
                <w:rFonts w:ascii="宋体" w:hAnsi="宋体" w:cs="宋体"/>
              </w:rPr>
              <w:t>=</w:t>
            </w:r>
            <w:r>
              <w:rPr>
                <w:rFonts w:hint="eastAsia" w:ascii="宋体" w:hAnsi="宋体" w:cs="宋体"/>
              </w:rPr>
              <w:t>（实际产出数</w:t>
            </w:r>
            <w:r>
              <w:rPr>
                <w:rFonts w:ascii="宋体" w:hAnsi="宋体" w:cs="宋体"/>
              </w:rPr>
              <w:t>/</w:t>
            </w:r>
            <w:r>
              <w:rPr>
                <w:rFonts w:hint="eastAsia" w:ascii="宋体" w:hAnsi="宋体" w:cs="宋体"/>
              </w:rPr>
              <w:t>计划产出数）×</w:t>
            </w:r>
            <w:r>
              <w:rPr>
                <w:rFonts w:ascii="宋体" w:hAnsi="宋体" w:cs="宋体"/>
              </w:rPr>
              <w:t>100%</w:t>
            </w:r>
            <w:r>
              <w:rPr>
                <w:rFonts w:hint="eastAsia" w:ascii="宋体" w:hAnsi="宋体" w:cs="宋体"/>
              </w:rPr>
              <w:t>。</w:t>
            </w:r>
            <w:r>
              <w:rPr>
                <w:rFonts w:ascii="宋体"/>
              </w:rPr>
              <w:br w:type="textWrapping"/>
            </w:r>
            <w:r>
              <w:rPr>
                <w:rFonts w:hint="eastAsia" w:ascii="宋体" w:hAnsi="宋体" w:cs="宋体"/>
              </w:rPr>
              <w:t>实际产出数：一定时期（本年度或预算支出期）内预算支出实际产出的产品或提供的服务数量。</w:t>
            </w:r>
            <w:r>
              <w:rPr>
                <w:rFonts w:ascii="宋体"/>
              </w:rPr>
              <w:br w:type="textWrapping"/>
            </w:r>
            <w:r>
              <w:rPr>
                <w:rFonts w:hint="eastAsia" w:ascii="宋体" w:hAnsi="宋体" w:cs="宋体"/>
              </w:rPr>
              <w:t>计划产出数：预算支出绩效目标确定的在一定时期（本年度或预算支出期）内计划产出的产品或提供的服务数量。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04" w:hRule="atLeast"/>
          <w:jc w:val="center"/>
        </w:trPr>
        <w:tc>
          <w:tcPr>
            <w:tcW w:w="543" w:type="dxa"/>
            <w:vMerge w:val="continue"/>
            <w:tcMar>
              <w:top w:w="10" w:type="dxa"/>
              <w:left w:w="10" w:type="dxa"/>
              <w:bottom w:w="0" w:type="dxa"/>
              <w:right w:w="10" w:type="dxa"/>
            </w:tcMar>
            <w:textDirection w:val="tbRlV"/>
            <w:vAlign w:val="center"/>
          </w:tcPr>
          <w:p>
            <w:pPr>
              <w:spacing w:line="240" w:lineRule="exact"/>
              <w:jc w:val="center"/>
              <w:rPr>
                <w:rFonts w:ascii="宋体"/>
              </w:rPr>
            </w:pPr>
          </w:p>
        </w:tc>
        <w:tc>
          <w:tcPr>
            <w:tcW w:w="454" w:type="dxa"/>
            <w:tcMar>
              <w:top w:w="10" w:type="dxa"/>
              <w:left w:w="10" w:type="dxa"/>
              <w:bottom w:w="0" w:type="dxa"/>
              <w:right w:w="10" w:type="dxa"/>
            </w:tcMar>
            <w:vAlign w:val="center"/>
          </w:tcPr>
          <w:p>
            <w:pPr>
              <w:spacing w:line="240" w:lineRule="exact"/>
              <w:jc w:val="center"/>
              <w:rPr>
                <w:rFonts w:ascii="宋体"/>
              </w:rPr>
            </w:pPr>
            <w:r>
              <w:rPr>
                <w:rFonts w:hint="eastAsia" w:ascii="宋体" w:hAnsi="宋体" w:cs="宋体"/>
              </w:rPr>
              <w:t>产出</w:t>
            </w:r>
          </w:p>
          <w:p>
            <w:pPr>
              <w:spacing w:line="240" w:lineRule="exact"/>
              <w:jc w:val="center"/>
              <w:rPr>
                <w:rFonts w:ascii="宋体"/>
              </w:rPr>
            </w:pPr>
            <w:r>
              <w:rPr>
                <w:rFonts w:hint="eastAsia" w:ascii="宋体" w:hAnsi="宋体" w:cs="宋体"/>
              </w:rPr>
              <w:t>质量（</w:t>
            </w:r>
            <w:r>
              <w:rPr>
                <w:rFonts w:ascii="宋体" w:hAnsi="宋体" w:cs="宋体"/>
              </w:rPr>
              <w:t>10</w:t>
            </w:r>
            <w:r>
              <w:rPr>
                <w:rFonts w:hint="eastAsia" w:ascii="宋体" w:hAnsi="宋体" w:cs="宋体"/>
              </w:rPr>
              <w:t>分）</w:t>
            </w:r>
          </w:p>
        </w:tc>
        <w:tc>
          <w:tcPr>
            <w:tcW w:w="834" w:type="dxa"/>
            <w:tcMar>
              <w:top w:w="10" w:type="dxa"/>
              <w:left w:w="10" w:type="dxa"/>
              <w:bottom w:w="0" w:type="dxa"/>
              <w:right w:w="10" w:type="dxa"/>
            </w:tcMar>
            <w:vAlign w:val="center"/>
          </w:tcPr>
          <w:p>
            <w:pPr>
              <w:spacing w:line="240" w:lineRule="exact"/>
              <w:ind w:left="106" w:leftChars="50" w:right="106" w:rightChars="50"/>
              <w:jc w:val="center"/>
              <w:rPr>
                <w:rFonts w:ascii="宋体"/>
              </w:rPr>
            </w:pPr>
            <w:r>
              <w:rPr>
                <w:rFonts w:hint="eastAsia" w:ascii="宋体" w:hAnsi="宋体" w:cs="宋体"/>
              </w:rPr>
              <w:t>质量</w:t>
            </w:r>
          </w:p>
          <w:p>
            <w:pPr>
              <w:spacing w:line="240" w:lineRule="exact"/>
              <w:ind w:left="106" w:leftChars="50" w:right="106" w:rightChars="50"/>
              <w:jc w:val="center"/>
              <w:rPr>
                <w:rFonts w:ascii="宋体"/>
              </w:rPr>
            </w:pPr>
            <w:r>
              <w:rPr>
                <w:rFonts w:hint="eastAsia" w:ascii="宋体" w:hAnsi="宋体" w:cs="宋体"/>
              </w:rPr>
              <w:t>达标率（</w:t>
            </w:r>
            <w:r>
              <w:rPr>
                <w:rFonts w:ascii="宋体" w:hAnsi="宋体" w:cs="宋体"/>
              </w:rPr>
              <w:t>10</w:t>
            </w:r>
            <w:r>
              <w:rPr>
                <w:rFonts w:hint="eastAsia" w:ascii="宋体" w:hAnsi="宋体" w:cs="宋体"/>
              </w:rPr>
              <w:t>分）</w:t>
            </w:r>
          </w:p>
        </w:tc>
        <w:tc>
          <w:tcPr>
            <w:tcW w:w="540" w:type="dxa"/>
            <w:vAlign w:val="center"/>
          </w:tcPr>
          <w:p>
            <w:pPr>
              <w:spacing w:line="240" w:lineRule="exact"/>
              <w:ind w:left="106" w:leftChars="50" w:right="106" w:rightChars="50"/>
              <w:jc w:val="center"/>
              <w:rPr>
                <w:rFonts w:ascii="宋体"/>
              </w:rPr>
            </w:pPr>
            <w:r>
              <w:rPr>
                <w:rFonts w:hint="eastAsia" w:ascii="宋体"/>
              </w:rPr>
              <w:t>9</w:t>
            </w:r>
          </w:p>
        </w:tc>
        <w:tc>
          <w:tcPr>
            <w:tcW w:w="2625" w:type="dxa"/>
            <w:tcMar>
              <w:top w:w="10" w:type="dxa"/>
              <w:left w:w="10" w:type="dxa"/>
              <w:bottom w:w="0" w:type="dxa"/>
              <w:right w:w="10" w:type="dxa"/>
            </w:tcMar>
            <w:vAlign w:val="center"/>
          </w:tcPr>
          <w:p>
            <w:pPr>
              <w:spacing w:line="240" w:lineRule="exact"/>
              <w:ind w:left="106" w:leftChars="50" w:right="106" w:rightChars="50"/>
              <w:rPr>
                <w:rFonts w:ascii="宋体"/>
              </w:rPr>
            </w:pPr>
            <w:r>
              <w:rPr>
                <w:rFonts w:hint="eastAsia" w:ascii="宋体" w:hAnsi="宋体" w:cs="宋体"/>
              </w:rPr>
              <w:t>预算支出完成的质量达标产出数与实际产出数的比率，用以反映和考核预算支出产出质量目标的实现程度。</w:t>
            </w:r>
          </w:p>
        </w:tc>
        <w:tc>
          <w:tcPr>
            <w:tcW w:w="4194" w:type="dxa"/>
            <w:tcMar>
              <w:top w:w="10" w:type="dxa"/>
              <w:left w:w="10" w:type="dxa"/>
              <w:bottom w:w="0" w:type="dxa"/>
              <w:right w:w="10" w:type="dxa"/>
            </w:tcMar>
            <w:vAlign w:val="center"/>
          </w:tcPr>
          <w:p>
            <w:pPr>
              <w:spacing w:line="240" w:lineRule="exact"/>
              <w:ind w:left="106" w:leftChars="50" w:right="106" w:rightChars="50"/>
              <w:rPr>
                <w:rFonts w:ascii="宋体"/>
              </w:rPr>
            </w:pPr>
            <w:r>
              <w:rPr>
                <w:rFonts w:hint="eastAsia" w:ascii="宋体" w:hAnsi="宋体" w:cs="宋体"/>
              </w:rPr>
              <w:t>质量达标率</w:t>
            </w:r>
            <w:r>
              <w:rPr>
                <w:rFonts w:ascii="宋体" w:hAnsi="宋体" w:cs="宋体"/>
              </w:rPr>
              <w:t>=</w:t>
            </w:r>
            <w:r>
              <w:rPr>
                <w:rFonts w:hint="eastAsia" w:ascii="宋体" w:hAnsi="宋体" w:cs="宋体"/>
              </w:rPr>
              <w:t>（质量达标产出数</w:t>
            </w:r>
            <w:r>
              <w:rPr>
                <w:rFonts w:ascii="宋体" w:hAnsi="宋体" w:cs="宋体"/>
              </w:rPr>
              <w:t>/</w:t>
            </w:r>
            <w:r>
              <w:rPr>
                <w:rFonts w:hint="eastAsia" w:ascii="宋体" w:hAnsi="宋体" w:cs="宋体"/>
              </w:rPr>
              <w:t>实际产出数）×</w:t>
            </w:r>
            <w:r>
              <w:rPr>
                <w:rFonts w:ascii="宋体" w:hAnsi="宋体" w:cs="宋体"/>
              </w:rPr>
              <w:t>100%</w:t>
            </w:r>
            <w:r>
              <w:rPr>
                <w:rFonts w:hint="eastAsia" w:ascii="宋体" w:hAnsi="宋体" w:cs="宋体"/>
              </w:rPr>
              <w:t>。</w:t>
            </w:r>
            <w:r>
              <w:rPr>
                <w:rFonts w:ascii="宋体"/>
              </w:rPr>
              <w:br w:type="textWrapping"/>
            </w:r>
            <w:r>
              <w:rPr>
                <w:rFonts w:hint="eastAsia" w:ascii="宋体" w:hAnsi="宋体" w:cs="宋体"/>
              </w:rPr>
              <w:t>质量达标产出数：一定时期（本年度或预算支出期）内实际达到既定质量标准的产品或服务数量。既定质量标准是指预算支出实施单位设立绩效目标时依据计划标准、行业标准、历史标准或其他标准而设定的绩效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55" w:hRule="atLeast"/>
          <w:jc w:val="center"/>
        </w:trPr>
        <w:tc>
          <w:tcPr>
            <w:tcW w:w="543" w:type="dxa"/>
            <w:vMerge w:val="restart"/>
            <w:vAlign w:val="center"/>
          </w:tcPr>
          <w:p>
            <w:pPr>
              <w:spacing w:line="240" w:lineRule="exact"/>
              <w:ind w:left="113"/>
              <w:rPr>
                <w:rFonts w:ascii="宋体"/>
              </w:rPr>
            </w:pPr>
            <w:r>
              <w:rPr>
                <w:rFonts w:hint="eastAsia" w:ascii="宋体" w:hAnsi="宋体" w:cs="宋体"/>
              </w:rPr>
              <w:t>产</w:t>
            </w:r>
            <w:r>
              <w:rPr>
                <w:rFonts w:ascii="宋体" w:hAnsi="宋体" w:cs="宋体"/>
              </w:rPr>
              <w:t xml:space="preserve">   </w:t>
            </w:r>
            <w:r>
              <w:rPr>
                <w:rFonts w:hint="eastAsia" w:ascii="宋体" w:hAnsi="宋体" w:cs="宋体"/>
              </w:rPr>
              <w:t>出（</w:t>
            </w:r>
            <w:r>
              <w:rPr>
                <w:rFonts w:ascii="宋体" w:hAnsi="宋体" w:cs="宋体"/>
              </w:rPr>
              <w:t>40</w:t>
            </w:r>
            <w:r>
              <w:rPr>
                <w:rFonts w:hint="eastAsia" w:ascii="宋体" w:hAnsi="宋体" w:cs="宋体"/>
              </w:rPr>
              <w:t>分）</w:t>
            </w:r>
          </w:p>
        </w:tc>
        <w:tc>
          <w:tcPr>
            <w:tcW w:w="454" w:type="dxa"/>
            <w:vAlign w:val="center"/>
          </w:tcPr>
          <w:p>
            <w:pPr>
              <w:spacing w:line="240" w:lineRule="exact"/>
              <w:jc w:val="center"/>
              <w:rPr>
                <w:rFonts w:ascii="宋体"/>
              </w:rPr>
            </w:pPr>
            <w:r>
              <w:rPr>
                <w:rFonts w:hint="eastAsia" w:ascii="宋体" w:hAnsi="宋体" w:cs="宋体"/>
              </w:rPr>
              <w:t>产出</w:t>
            </w:r>
          </w:p>
          <w:p>
            <w:pPr>
              <w:spacing w:line="240" w:lineRule="exact"/>
              <w:jc w:val="center"/>
              <w:rPr>
                <w:rFonts w:ascii="宋体"/>
              </w:rPr>
            </w:pPr>
            <w:r>
              <w:rPr>
                <w:rFonts w:hint="eastAsia" w:ascii="宋体" w:hAnsi="宋体" w:cs="宋体"/>
              </w:rPr>
              <w:t>时效（</w:t>
            </w:r>
            <w:r>
              <w:rPr>
                <w:rFonts w:ascii="宋体" w:hAnsi="宋体" w:cs="宋体"/>
              </w:rPr>
              <w:t>10</w:t>
            </w:r>
            <w:r>
              <w:rPr>
                <w:rFonts w:hint="eastAsia" w:ascii="宋体" w:hAnsi="宋体" w:cs="宋体"/>
              </w:rPr>
              <w:t>分）</w:t>
            </w:r>
          </w:p>
        </w:tc>
        <w:tc>
          <w:tcPr>
            <w:tcW w:w="834" w:type="dxa"/>
            <w:tcMar>
              <w:top w:w="10" w:type="dxa"/>
              <w:left w:w="10" w:type="dxa"/>
              <w:bottom w:w="0" w:type="dxa"/>
              <w:right w:w="10" w:type="dxa"/>
            </w:tcMar>
            <w:vAlign w:val="center"/>
          </w:tcPr>
          <w:p>
            <w:pPr>
              <w:spacing w:line="240" w:lineRule="exact"/>
              <w:ind w:left="106" w:leftChars="50" w:right="106" w:rightChars="50"/>
              <w:jc w:val="center"/>
              <w:rPr>
                <w:rFonts w:ascii="宋体"/>
              </w:rPr>
            </w:pPr>
            <w:r>
              <w:rPr>
                <w:rFonts w:hint="eastAsia" w:ascii="宋体" w:hAnsi="宋体" w:cs="宋体"/>
              </w:rPr>
              <w:t>完成</w:t>
            </w:r>
          </w:p>
          <w:p>
            <w:pPr>
              <w:spacing w:line="240" w:lineRule="exact"/>
              <w:ind w:left="106" w:leftChars="50" w:right="106" w:rightChars="50"/>
              <w:jc w:val="center"/>
              <w:rPr>
                <w:rFonts w:ascii="宋体"/>
              </w:rPr>
            </w:pPr>
            <w:r>
              <w:rPr>
                <w:rFonts w:hint="eastAsia" w:ascii="宋体" w:hAnsi="宋体" w:cs="宋体"/>
              </w:rPr>
              <w:t>及时性（</w:t>
            </w:r>
            <w:r>
              <w:rPr>
                <w:rFonts w:ascii="宋体" w:hAnsi="宋体" w:cs="宋体"/>
              </w:rPr>
              <w:t>10</w:t>
            </w:r>
            <w:r>
              <w:rPr>
                <w:rFonts w:hint="eastAsia" w:ascii="宋体" w:hAnsi="宋体" w:cs="宋体"/>
              </w:rPr>
              <w:t>分）</w:t>
            </w:r>
          </w:p>
        </w:tc>
        <w:tc>
          <w:tcPr>
            <w:tcW w:w="540" w:type="dxa"/>
            <w:vAlign w:val="center"/>
          </w:tcPr>
          <w:p>
            <w:pPr>
              <w:spacing w:line="240" w:lineRule="exact"/>
              <w:ind w:left="106" w:leftChars="50" w:right="106" w:rightChars="50"/>
              <w:jc w:val="center"/>
              <w:rPr>
                <w:rFonts w:ascii="宋体"/>
              </w:rPr>
            </w:pPr>
            <w:r>
              <w:rPr>
                <w:rFonts w:hint="eastAsia" w:ascii="宋体"/>
              </w:rPr>
              <w:t>8.5</w:t>
            </w:r>
          </w:p>
        </w:tc>
        <w:tc>
          <w:tcPr>
            <w:tcW w:w="2625" w:type="dxa"/>
            <w:tcMar>
              <w:top w:w="10" w:type="dxa"/>
              <w:left w:w="10" w:type="dxa"/>
              <w:bottom w:w="0" w:type="dxa"/>
              <w:right w:w="10" w:type="dxa"/>
            </w:tcMar>
            <w:vAlign w:val="center"/>
          </w:tcPr>
          <w:p>
            <w:pPr>
              <w:spacing w:line="240" w:lineRule="exact"/>
              <w:ind w:left="106" w:leftChars="50" w:right="106" w:rightChars="50"/>
              <w:rPr>
                <w:rFonts w:ascii="宋体"/>
              </w:rPr>
            </w:pPr>
            <w:r>
              <w:rPr>
                <w:rFonts w:hint="eastAsia" w:ascii="宋体" w:hAnsi="宋体" w:cs="宋体"/>
              </w:rPr>
              <w:t>预算支出实际完成时间与计划完成时间的比较，用以反映和考核预算支出产出时效目标的实现程度。</w:t>
            </w:r>
          </w:p>
        </w:tc>
        <w:tc>
          <w:tcPr>
            <w:tcW w:w="4194" w:type="dxa"/>
            <w:tcMar>
              <w:top w:w="10" w:type="dxa"/>
              <w:left w:w="10" w:type="dxa"/>
              <w:bottom w:w="0" w:type="dxa"/>
              <w:right w:w="10" w:type="dxa"/>
            </w:tcMar>
            <w:vAlign w:val="center"/>
          </w:tcPr>
          <w:p>
            <w:pPr>
              <w:spacing w:line="240" w:lineRule="exact"/>
              <w:ind w:left="106" w:leftChars="50" w:right="106" w:rightChars="50"/>
              <w:rPr>
                <w:rFonts w:ascii="宋体"/>
              </w:rPr>
            </w:pPr>
            <w:r>
              <w:rPr>
                <w:rFonts w:hint="eastAsia" w:ascii="宋体" w:hAnsi="宋体" w:cs="宋体"/>
              </w:rPr>
              <w:t>实际完成时间：预算支出实施单位完成该预算支出实际所耗用的时间。</w:t>
            </w:r>
            <w:r>
              <w:rPr>
                <w:rFonts w:ascii="宋体"/>
              </w:rPr>
              <w:br w:type="textWrapping"/>
            </w:r>
            <w:r>
              <w:rPr>
                <w:rFonts w:hint="eastAsia" w:ascii="宋体" w:hAnsi="宋体" w:cs="宋体"/>
              </w:rPr>
              <w:t>计划完成时间：按照预算支出实施计划或相关规定完成该预算支出所需的时间。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43" w:type="dxa"/>
            <w:vMerge w:val="continue"/>
            <w:vAlign w:val="center"/>
          </w:tcPr>
          <w:p>
            <w:pPr>
              <w:spacing w:line="240" w:lineRule="exact"/>
              <w:ind w:left="113"/>
              <w:rPr>
                <w:rFonts w:ascii="宋体"/>
              </w:rPr>
            </w:pPr>
          </w:p>
        </w:tc>
        <w:tc>
          <w:tcPr>
            <w:tcW w:w="454" w:type="dxa"/>
            <w:vAlign w:val="center"/>
          </w:tcPr>
          <w:p>
            <w:pPr>
              <w:spacing w:line="240" w:lineRule="exact"/>
              <w:jc w:val="center"/>
              <w:rPr>
                <w:rFonts w:ascii="宋体"/>
              </w:rPr>
            </w:pPr>
            <w:r>
              <w:rPr>
                <w:rFonts w:hint="eastAsia" w:ascii="宋体" w:hAnsi="宋体" w:cs="宋体"/>
              </w:rPr>
              <w:t>产出</w:t>
            </w:r>
          </w:p>
          <w:p>
            <w:pPr>
              <w:spacing w:line="240" w:lineRule="exact"/>
              <w:jc w:val="center"/>
              <w:rPr>
                <w:rFonts w:ascii="宋体"/>
              </w:rPr>
            </w:pPr>
            <w:r>
              <w:rPr>
                <w:rFonts w:hint="eastAsia" w:ascii="宋体" w:hAnsi="宋体" w:cs="宋体"/>
              </w:rPr>
              <w:t>成本（</w:t>
            </w:r>
            <w:r>
              <w:rPr>
                <w:rFonts w:ascii="宋体" w:hAnsi="宋体" w:cs="宋体"/>
              </w:rPr>
              <w:t>10</w:t>
            </w:r>
            <w:r>
              <w:rPr>
                <w:rFonts w:hint="eastAsia" w:ascii="宋体" w:hAnsi="宋体" w:cs="宋体"/>
              </w:rPr>
              <w:t>分）</w:t>
            </w:r>
          </w:p>
        </w:tc>
        <w:tc>
          <w:tcPr>
            <w:tcW w:w="834" w:type="dxa"/>
            <w:tcMar>
              <w:top w:w="10" w:type="dxa"/>
              <w:left w:w="10" w:type="dxa"/>
              <w:bottom w:w="0" w:type="dxa"/>
              <w:right w:w="10" w:type="dxa"/>
            </w:tcMar>
            <w:vAlign w:val="center"/>
          </w:tcPr>
          <w:p>
            <w:pPr>
              <w:spacing w:line="240" w:lineRule="exact"/>
              <w:ind w:left="106" w:leftChars="50" w:right="106" w:rightChars="50"/>
              <w:jc w:val="center"/>
              <w:rPr>
                <w:rFonts w:ascii="宋体"/>
              </w:rPr>
            </w:pPr>
            <w:r>
              <w:rPr>
                <w:rFonts w:hint="eastAsia" w:ascii="宋体" w:hAnsi="宋体" w:cs="宋体"/>
              </w:rPr>
              <w:t>成本</w:t>
            </w:r>
          </w:p>
          <w:p>
            <w:pPr>
              <w:spacing w:line="240" w:lineRule="exact"/>
              <w:ind w:left="106" w:leftChars="50" w:right="106" w:rightChars="50"/>
              <w:jc w:val="center"/>
              <w:rPr>
                <w:rFonts w:ascii="宋体"/>
              </w:rPr>
            </w:pPr>
            <w:r>
              <w:rPr>
                <w:rFonts w:hint="eastAsia" w:ascii="宋体" w:hAnsi="宋体" w:cs="宋体"/>
              </w:rPr>
              <w:t>节约率（</w:t>
            </w:r>
            <w:r>
              <w:rPr>
                <w:rFonts w:ascii="宋体" w:hAnsi="宋体" w:cs="宋体"/>
              </w:rPr>
              <w:t>10</w:t>
            </w:r>
            <w:r>
              <w:rPr>
                <w:rFonts w:hint="eastAsia" w:ascii="宋体" w:hAnsi="宋体" w:cs="宋体"/>
              </w:rPr>
              <w:t>分）</w:t>
            </w:r>
          </w:p>
        </w:tc>
        <w:tc>
          <w:tcPr>
            <w:tcW w:w="540" w:type="dxa"/>
            <w:vAlign w:val="center"/>
          </w:tcPr>
          <w:p>
            <w:pPr>
              <w:spacing w:line="240" w:lineRule="exact"/>
              <w:ind w:left="106" w:leftChars="50" w:right="106" w:rightChars="50"/>
              <w:jc w:val="center"/>
              <w:rPr>
                <w:rFonts w:ascii="宋体"/>
              </w:rPr>
            </w:pPr>
            <w:r>
              <w:rPr>
                <w:rFonts w:hint="eastAsia" w:ascii="宋体"/>
              </w:rPr>
              <w:t>9</w:t>
            </w:r>
          </w:p>
        </w:tc>
        <w:tc>
          <w:tcPr>
            <w:tcW w:w="2625" w:type="dxa"/>
            <w:tcMar>
              <w:top w:w="10" w:type="dxa"/>
              <w:left w:w="10" w:type="dxa"/>
              <w:bottom w:w="0" w:type="dxa"/>
              <w:right w:w="10" w:type="dxa"/>
            </w:tcMar>
            <w:vAlign w:val="center"/>
          </w:tcPr>
          <w:p>
            <w:pPr>
              <w:spacing w:line="240" w:lineRule="exact"/>
              <w:ind w:left="106" w:leftChars="50" w:right="106" w:rightChars="50"/>
              <w:rPr>
                <w:rFonts w:ascii="宋体"/>
              </w:rPr>
            </w:pPr>
            <w:r>
              <w:rPr>
                <w:rFonts w:hint="eastAsia" w:ascii="宋体" w:hAnsi="宋体" w:cs="宋体"/>
              </w:rPr>
              <w:t>完成预算支出计划工作目标的实际节约成本与计划成本的比率，用以反映和考核预算支出的成本节约程度。</w:t>
            </w:r>
          </w:p>
        </w:tc>
        <w:tc>
          <w:tcPr>
            <w:tcW w:w="4194" w:type="dxa"/>
            <w:tcMar>
              <w:top w:w="10" w:type="dxa"/>
              <w:left w:w="10" w:type="dxa"/>
              <w:bottom w:w="0" w:type="dxa"/>
              <w:right w:w="10" w:type="dxa"/>
            </w:tcMar>
            <w:vAlign w:val="center"/>
          </w:tcPr>
          <w:p>
            <w:pPr>
              <w:spacing w:line="240" w:lineRule="exact"/>
              <w:ind w:left="106" w:leftChars="50" w:right="106" w:rightChars="50"/>
              <w:rPr>
                <w:rFonts w:ascii="宋体"/>
              </w:rPr>
            </w:pPr>
            <w:r>
              <w:rPr>
                <w:rFonts w:hint="eastAsia" w:ascii="宋体" w:hAnsi="宋体" w:cs="宋体"/>
              </w:rPr>
              <w:t>成本节约率</w:t>
            </w:r>
            <w:r>
              <w:rPr>
                <w:rFonts w:ascii="宋体" w:hAnsi="宋体" w:cs="宋体"/>
              </w:rPr>
              <w:t>=[</w:t>
            </w:r>
            <w:r>
              <w:rPr>
                <w:rFonts w:hint="eastAsia" w:ascii="宋体" w:hAnsi="宋体" w:cs="宋体"/>
              </w:rPr>
              <w:t>（计划成本</w:t>
            </w:r>
            <w:r>
              <w:rPr>
                <w:rFonts w:ascii="宋体" w:cs="宋体"/>
              </w:rPr>
              <w:t>-</w:t>
            </w:r>
            <w:r>
              <w:rPr>
                <w:rFonts w:hint="eastAsia" w:ascii="宋体" w:hAnsi="宋体" w:cs="宋体"/>
              </w:rPr>
              <w:t>实际成本）</w:t>
            </w:r>
            <w:r>
              <w:rPr>
                <w:rFonts w:ascii="宋体" w:hAnsi="宋体" w:cs="宋体"/>
              </w:rPr>
              <w:t>/</w:t>
            </w:r>
            <w:r>
              <w:rPr>
                <w:rFonts w:hint="eastAsia" w:ascii="宋体" w:hAnsi="宋体" w:cs="宋体"/>
              </w:rPr>
              <w:t>计划成本</w:t>
            </w:r>
            <w:r>
              <w:rPr>
                <w:rFonts w:ascii="宋体" w:hAnsi="宋体" w:cs="宋体"/>
              </w:rPr>
              <w:t>]</w:t>
            </w:r>
            <w:r>
              <w:rPr>
                <w:rFonts w:hint="eastAsia" w:ascii="宋体" w:hAnsi="宋体" w:cs="宋体"/>
              </w:rPr>
              <w:t>×</w:t>
            </w:r>
            <w:r>
              <w:rPr>
                <w:rFonts w:ascii="宋体" w:hAnsi="宋体" w:cs="宋体"/>
              </w:rPr>
              <w:t>100%</w:t>
            </w:r>
            <w:r>
              <w:rPr>
                <w:rFonts w:hint="eastAsia" w:ascii="宋体" w:hAnsi="宋体" w:cs="宋体"/>
              </w:rPr>
              <w:t>。</w:t>
            </w:r>
            <w:r>
              <w:rPr>
                <w:rFonts w:ascii="宋体"/>
              </w:rPr>
              <w:br w:type="textWrapping"/>
            </w:r>
            <w:r>
              <w:rPr>
                <w:rFonts w:hint="eastAsia" w:ascii="宋体" w:hAnsi="宋体" w:cs="宋体"/>
              </w:rPr>
              <w:t>实际成本：预算支出实施单位如期、保质、保量完成既定工作目标实际所耗费的支出。</w:t>
            </w:r>
            <w:r>
              <w:rPr>
                <w:rFonts w:ascii="宋体"/>
              </w:rPr>
              <w:br w:type="textWrapping"/>
            </w:r>
            <w:r>
              <w:rPr>
                <w:rFonts w:hint="eastAsia" w:ascii="宋体" w:hAnsi="宋体" w:cs="宋体"/>
              </w:rPr>
              <w:t>计划成本：预算支出实施单位为完成工作目标计划安排的支出，一般以预算支出预算为参考。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43" w:type="dxa"/>
            <w:vMerge w:val="restart"/>
            <w:tcMar>
              <w:top w:w="10" w:type="dxa"/>
              <w:left w:w="10" w:type="dxa"/>
              <w:bottom w:w="0" w:type="dxa"/>
              <w:right w:w="10" w:type="dxa"/>
            </w:tcMar>
            <w:textDirection w:val="tbRlV"/>
            <w:vAlign w:val="center"/>
          </w:tcPr>
          <w:p>
            <w:pPr>
              <w:spacing w:line="240" w:lineRule="exact"/>
              <w:jc w:val="center"/>
              <w:rPr>
                <w:rFonts w:ascii="宋体"/>
              </w:rPr>
            </w:pPr>
            <w:r>
              <w:rPr>
                <w:rFonts w:hint="eastAsia" w:ascii="宋体" w:hAnsi="宋体" w:cs="宋体"/>
              </w:rPr>
              <w:t>效</w:t>
            </w:r>
            <w:r>
              <w:rPr>
                <w:rFonts w:ascii="宋体" w:hAnsi="宋体" w:cs="宋体"/>
              </w:rPr>
              <w:t xml:space="preserve">   </w:t>
            </w:r>
            <w:r>
              <w:rPr>
                <w:rFonts w:hint="eastAsia" w:ascii="宋体" w:hAnsi="宋体" w:cs="宋体"/>
              </w:rPr>
              <w:t>益（</w:t>
            </w:r>
            <w:r>
              <w:rPr>
                <w:rFonts w:ascii="宋体" w:hAnsi="宋体" w:cs="宋体"/>
              </w:rPr>
              <w:t>20</w:t>
            </w:r>
            <w:r>
              <w:rPr>
                <w:rFonts w:hint="eastAsia" w:ascii="宋体" w:hAnsi="宋体" w:cs="宋体"/>
              </w:rPr>
              <w:t>分）</w:t>
            </w:r>
          </w:p>
        </w:tc>
        <w:tc>
          <w:tcPr>
            <w:tcW w:w="454" w:type="dxa"/>
            <w:vMerge w:val="restart"/>
            <w:tcMar>
              <w:top w:w="10" w:type="dxa"/>
              <w:left w:w="10" w:type="dxa"/>
              <w:bottom w:w="0" w:type="dxa"/>
              <w:right w:w="10" w:type="dxa"/>
            </w:tcMar>
            <w:vAlign w:val="center"/>
          </w:tcPr>
          <w:p>
            <w:pPr>
              <w:spacing w:line="240" w:lineRule="exact"/>
              <w:jc w:val="center"/>
              <w:rPr>
                <w:rFonts w:ascii="宋体"/>
              </w:rPr>
            </w:pPr>
            <w:r>
              <w:rPr>
                <w:rFonts w:hint="eastAsia" w:ascii="宋体" w:hAnsi="宋体" w:cs="宋体"/>
              </w:rPr>
              <w:t>预算支出</w:t>
            </w:r>
            <w:r>
              <w:rPr>
                <w:rFonts w:ascii="宋体"/>
              </w:rPr>
              <w:br w:type="textWrapping"/>
            </w:r>
            <w:r>
              <w:rPr>
                <w:rFonts w:hint="eastAsia" w:ascii="宋体" w:hAnsi="宋体" w:cs="宋体"/>
              </w:rPr>
              <w:t>效益（</w:t>
            </w:r>
            <w:r>
              <w:rPr>
                <w:rFonts w:ascii="宋体" w:hAnsi="宋体" w:cs="宋体"/>
              </w:rPr>
              <w:t>20</w:t>
            </w:r>
            <w:r>
              <w:rPr>
                <w:rFonts w:hint="eastAsia" w:ascii="宋体" w:hAnsi="宋体" w:cs="宋体"/>
              </w:rPr>
              <w:t>分）</w:t>
            </w:r>
          </w:p>
        </w:tc>
        <w:tc>
          <w:tcPr>
            <w:tcW w:w="834" w:type="dxa"/>
            <w:tcMar>
              <w:top w:w="10" w:type="dxa"/>
              <w:left w:w="10" w:type="dxa"/>
              <w:bottom w:w="0" w:type="dxa"/>
              <w:right w:w="10" w:type="dxa"/>
            </w:tcMar>
            <w:vAlign w:val="center"/>
          </w:tcPr>
          <w:p>
            <w:pPr>
              <w:spacing w:line="240" w:lineRule="exact"/>
              <w:ind w:left="106" w:leftChars="50" w:right="106" w:rightChars="50"/>
              <w:jc w:val="center"/>
              <w:rPr>
                <w:rFonts w:ascii="宋体"/>
              </w:rPr>
            </w:pPr>
            <w:r>
              <w:rPr>
                <w:rFonts w:hint="eastAsia" w:ascii="宋体" w:hAnsi="宋体" w:cs="宋体"/>
              </w:rPr>
              <w:t>实施效益（</w:t>
            </w:r>
            <w:r>
              <w:rPr>
                <w:rFonts w:ascii="宋体" w:hAnsi="宋体" w:cs="宋体"/>
              </w:rPr>
              <w:t>10</w:t>
            </w:r>
            <w:r>
              <w:rPr>
                <w:rFonts w:hint="eastAsia" w:ascii="宋体" w:hAnsi="宋体" w:cs="宋体"/>
              </w:rPr>
              <w:t>分）</w:t>
            </w:r>
          </w:p>
        </w:tc>
        <w:tc>
          <w:tcPr>
            <w:tcW w:w="540" w:type="dxa"/>
            <w:vAlign w:val="center"/>
          </w:tcPr>
          <w:p>
            <w:pPr>
              <w:spacing w:line="240" w:lineRule="exact"/>
              <w:ind w:left="106" w:leftChars="50" w:right="106" w:rightChars="50"/>
              <w:jc w:val="center"/>
              <w:rPr>
                <w:rFonts w:ascii="宋体"/>
              </w:rPr>
            </w:pPr>
            <w:r>
              <w:rPr>
                <w:rFonts w:hint="eastAsia" w:ascii="宋体"/>
              </w:rPr>
              <w:t>9.5</w:t>
            </w:r>
          </w:p>
        </w:tc>
        <w:tc>
          <w:tcPr>
            <w:tcW w:w="2625" w:type="dxa"/>
            <w:tcMar>
              <w:top w:w="10" w:type="dxa"/>
              <w:left w:w="10" w:type="dxa"/>
              <w:bottom w:w="0" w:type="dxa"/>
              <w:right w:w="10" w:type="dxa"/>
            </w:tcMar>
            <w:vAlign w:val="center"/>
          </w:tcPr>
          <w:p>
            <w:pPr>
              <w:spacing w:line="240" w:lineRule="exact"/>
              <w:ind w:left="106" w:leftChars="50" w:right="106" w:rightChars="50"/>
              <w:rPr>
                <w:rFonts w:ascii="宋体"/>
              </w:rPr>
            </w:pPr>
            <w:r>
              <w:rPr>
                <w:rFonts w:hint="eastAsia" w:ascii="宋体" w:hAnsi="宋体" w:cs="宋体"/>
              </w:rPr>
              <w:t>预算支出实施所产生的效益。</w:t>
            </w:r>
          </w:p>
        </w:tc>
        <w:tc>
          <w:tcPr>
            <w:tcW w:w="4194" w:type="dxa"/>
            <w:tcMar>
              <w:top w:w="10" w:type="dxa"/>
              <w:left w:w="10" w:type="dxa"/>
              <w:bottom w:w="0" w:type="dxa"/>
              <w:right w:w="10" w:type="dxa"/>
            </w:tcMar>
            <w:vAlign w:val="center"/>
          </w:tcPr>
          <w:p>
            <w:pPr>
              <w:spacing w:line="240" w:lineRule="exact"/>
              <w:ind w:left="106" w:leftChars="50" w:right="106" w:rightChars="50"/>
              <w:rPr>
                <w:rFonts w:ascii="宋体"/>
              </w:rPr>
            </w:pPr>
            <w:r>
              <w:rPr>
                <w:rFonts w:hint="eastAsia" w:ascii="宋体" w:hAnsi="宋体" w:cs="宋体"/>
              </w:rPr>
              <w:t>预算支出实施所产生的社会效益、经济效益、生态效益、可持续影响等。可根据预算支出实际情况有选择地设置和细化。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43" w:type="dxa"/>
            <w:vMerge w:val="continue"/>
            <w:vAlign w:val="center"/>
          </w:tcPr>
          <w:p>
            <w:pPr>
              <w:spacing w:line="240" w:lineRule="exact"/>
              <w:rPr>
                <w:rFonts w:ascii="宋体"/>
              </w:rPr>
            </w:pPr>
          </w:p>
        </w:tc>
        <w:tc>
          <w:tcPr>
            <w:tcW w:w="454" w:type="dxa"/>
            <w:vMerge w:val="continue"/>
            <w:vAlign w:val="center"/>
          </w:tcPr>
          <w:p>
            <w:pPr>
              <w:spacing w:line="240" w:lineRule="exact"/>
              <w:rPr>
                <w:rFonts w:ascii="宋体"/>
              </w:rPr>
            </w:pPr>
          </w:p>
        </w:tc>
        <w:tc>
          <w:tcPr>
            <w:tcW w:w="834" w:type="dxa"/>
            <w:tcMar>
              <w:top w:w="10" w:type="dxa"/>
              <w:left w:w="10" w:type="dxa"/>
              <w:bottom w:w="0" w:type="dxa"/>
              <w:right w:w="10" w:type="dxa"/>
            </w:tcMar>
            <w:vAlign w:val="center"/>
          </w:tcPr>
          <w:p>
            <w:pPr>
              <w:spacing w:line="240" w:lineRule="exact"/>
              <w:ind w:left="106" w:leftChars="50" w:right="106" w:rightChars="50"/>
              <w:jc w:val="center"/>
              <w:rPr>
                <w:rFonts w:ascii="宋体"/>
              </w:rPr>
            </w:pPr>
            <w:r>
              <w:rPr>
                <w:rFonts w:hint="eastAsia" w:ascii="宋体" w:hAnsi="宋体" w:cs="宋体"/>
              </w:rPr>
              <w:t>社会公众</w:t>
            </w:r>
          </w:p>
          <w:p>
            <w:pPr>
              <w:spacing w:line="240" w:lineRule="exact"/>
              <w:ind w:left="106" w:leftChars="50" w:right="106" w:rightChars="50"/>
              <w:jc w:val="center"/>
              <w:rPr>
                <w:rFonts w:ascii="宋体"/>
              </w:rPr>
            </w:pPr>
            <w:r>
              <w:rPr>
                <w:rFonts w:hint="eastAsia" w:ascii="宋体" w:hAnsi="宋体" w:cs="宋体"/>
              </w:rPr>
              <w:t>或服务（</w:t>
            </w:r>
            <w:r>
              <w:rPr>
                <w:rFonts w:ascii="宋体" w:hAnsi="宋体" w:cs="宋体"/>
              </w:rPr>
              <w:t>10</w:t>
            </w:r>
            <w:r>
              <w:rPr>
                <w:rFonts w:hint="eastAsia" w:ascii="宋体" w:hAnsi="宋体" w:cs="宋体"/>
              </w:rPr>
              <w:t>分）对</w:t>
            </w:r>
          </w:p>
          <w:p>
            <w:pPr>
              <w:spacing w:line="240" w:lineRule="exact"/>
              <w:ind w:left="106" w:leftChars="50" w:right="106" w:rightChars="50"/>
              <w:jc w:val="center"/>
              <w:rPr>
                <w:rFonts w:ascii="宋体"/>
              </w:rPr>
            </w:pPr>
            <w:r>
              <w:rPr>
                <w:rFonts w:hint="eastAsia" w:ascii="宋体" w:hAnsi="宋体" w:cs="宋体"/>
              </w:rPr>
              <w:t>象满意度</w:t>
            </w:r>
          </w:p>
        </w:tc>
        <w:tc>
          <w:tcPr>
            <w:tcW w:w="540" w:type="dxa"/>
            <w:vAlign w:val="center"/>
          </w:tcPr>
          <w:p>
            <w:pPr>
              <w:spacing w:line="240" w:lineRule="exact"/>
              <w:ind w:left="106" w:leftChars="50" w:right="106" w:rightChars="50"/>
              <w:jc w:val="center"/>
              <w:rPr>
                <w:rFonts w:ascii="宋体"/>
              </w:rPr>
            </w:pPr>
            <w:r>
              <w:rPr>
                <w:rFonts w:hint="eastAsia" w:ascii="宋体"/>
              </w:rPr>
              <w:t>10</w:t>
            </w:r>
          </w:p>
        </w:tc>
        <w:tc>
          <w:tcPr>
            <w:tcW w:w="2625" w:type="dxa"/>
            <w:tcMar>
              <w:top w:w="10" w:type="dxa"/>
              <w:left w:w="10" w:type="dxa"/>
              <w:bottom w:w="0" w:type="dxa"/>
              <w:right w:w="10" w:type="dxa"/>
            </w:tcMar>
            <w:vAlign w:val="center"/>
          </w:tcPr>
          <w:p>
            <w:pPr>
              <w:spacing w:line="240" w:lineRule="exact"/>
              <w:ind w:left="106" w:leftChars="50" w:right="106" w:rightChars="50"/>
              <w:rPr>
                <w:rFonts w:ascii="宋体"/>
              </w:rPr>
            </w:pPr>
            <w:r>
              <w:rPr>
                <w:rFonts w:hint="eastAsia" w:ascii="宋体" w:hAnsi="宋体" w:cs="宋体"/>
              </w:rPr>
              <w:t>社会公众或服务对象对预算支出实施效果的满意程度。</w:t>
            </w:r>
          </w:p>
        </w:tc>
        <w:tc>
          <w:tcPr>
            <w:tcW w:w="4194" w:type="dxa"/>
            <w:tcMar>
              <w:top w:w="10" w:type="dxa"/>
              <w:left w:w="10" w:type="dxa"/>
              <w:bottom w:w="0" w:type="dxa"/>
              <w:right w:w="10" w:type="dxa"/>
            </w:tcMar>
            <w:vAlign w:val="center"/>
          </w:tcPr>
          <w:p>
            <w:pPr>
              <w:spacing w:line="240" w:lineRule="exact"/>
              <w:ind w:left="106" w:leftChars="50" w:right="106" w:rightChars="50"/>
              <w:rPr>
                <w:rFonts w:ascii="宋体"/>
              </w:rPr>
            </w:pPr>
            <w:r>
              <w:rPr>
                <w:rFonts w:hint="eastAsia" w:ascii="宋体" w:hAnsi="宋体" w:cs="宋体"/>
              </w:rPr>
              <w:t>社会公众或服务对象是指因该预算支出实施而受到影响的部门、群体或个人。一般采取社会调查的方式。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43" w:type="dxa"/>
            <w:vAlign w:val="center"/>
          </w:tcPr>
          <w:p>
            <w:pPr>
              <w:spacing w:line="240" w:lineRule="exact"/>
              <w:rPr>
                <w:rFonts w:ascii="宋体"/>
              </w:rPr>
            </w:pPr>
            <w:r>
              <w:rPr>
                <w:rFonts w:hint="eastAsia" w:ascii="宋体" w:hAnsi="宋体" w:cs="宋体"/>
              </w:rPr>
              <w:t>总分</w:t>
            </w:r>
          </w:p>
        </w:tc>
        <w:tc>
          <w:tcPr>
            <w:tcW w:w="454" w:type="dxa"/>
            <w:vAlign w:val="center"/>
          </w:tcPr>
          <w:p>
            <w:pPr>
              <w:spacing w:line="240" w:lineRule="exact"/>
              <w:rPr>
                <w:rFonts w:ascii="宋体"/>
              </w:rPr>
            </w:pPr>
          </w:p>
        </w:tc>
        <w:tc>
          <w:tcPr>
            <w:tcW w:w="834" w:type="dxa"/>
            <w:tcMar>
              <w:top w:w="10" w:type="dxa"/>
              <w:left w:w="10" w:type="dxa"/>
              <w:bottom w:w="0" w:type="dxa"/>
              <w:right w:w="10" w:type="dxa"/>
            </w:tcMar>
            <w:vAlign w:val="center"/>
          </w:tcPr>
          <w:p>
            <w:pPr>
              <w:spacing w:line="240" w:lineRule="exact"/>
              <w:ind w:left="106" w:leftChars="50" w:right="106" w:rightChars="50"/>
              <w:jc w:val="center"/>
              <w:rPr>
                <w:rFonts w:ascii="宋体"/>
              </w:rPr>
            </w:pPr>
          </w:p>
        </w:tc>
        <w:tc>
          <w:tcPr>
            <w:tcW w:w="540" w:type="dxa"/>
            <w:vAlign w:val="center"/>
          </w:tcPr>
          <w:p>
            <w:pPr>
              <w:spacing w:line="240" w:lineRule="exact"/>
              <w:ind w:left="106" w:leftChars="50" w:right="106" w:rightChars="50"/>
              <w:jc w:val="center"/>
              <w:rPr>
                <w:rFonts w:ascii="宋体"/>
              </w:rPr>
            </w:pPr>
            <w:r>
              <w:rPr>
                <w:rFonts w:hint="eastAsia" w:ascii="宋体"/>
              </w:rPr>
              <w:t>96</w:t>
            </w:r>
          </w:p>
        </w:tc>
        <w:tc>
          <w:tcPr>
            <w:tcW w:w="2625" w:type="dxa"/>
            <w:tcMar>
              <w:top w:w="10" w:type="dxa"/>
              <w:left w:w="10" w:type="dxa"/>
              <w:bottom w:w="0" w:type="dxa"/>
              <w:right w:w="10" w:type="dxa"/>
            </w:tcMar>
            <w:vAlign w:val="center"/>
          </w:tcPr>
          <w:p>
            <w:pPr>
              <w:spacing w:line="240" w:lineRule="exact"/>
              <w:ind w:left="106" w:leftChars="50" w:right="106" w:rightChars="50"/>
              <w:rPr>
                <w:rFonts w:ascii="宋体"/>
              </w:rPr>
            </w:pPr>
          </w:p>
        </w:tc>
        <w:tc>
          <w:tcPr>
            <w:tcW w:w="4194" w:type="dxa"/>
            <w:tcMar>
              <w:top w:w="10" w:type="dxa"/>
              <w:left w:w="10" w:type="dxa"/>
              <w:bottom w:w="0" w:type="dxa"/>
              <w:right w:w="10" w:type="dxa"/>
            </w:tcMar>
            <w:vAlign w:val="center"/>
          </w:tcPr>
          <w:p>
            <w:pPr>
              <w:spacing w:line="240" w:lineRule="exact"/>
              <w:ind w:left="106" w:leftChars="50" w:right="106" w:rightChars="50"/>
              <w:rPr>
                <w:rFonts w:ascii="宋体"/>
              </w:rPr>
            </w:pPr>
          </w:p>
        </w:tc>
      </w:tr>
    </w:tbl>
    <w:p>
      <w:pPr>
        <w:pStyle w:val="3"/>
        <w:rPr>
          <w:rFonts w:hint="default" w:ascii="仿宋" w:hAnsi="仿宋" w:eastAsia="仿宋" w:cs="仿宋"/>
          <w:sz w:val="30"/>
          <w:szCs w:val="30"/>
          <w:lang w:val="en-US" w:eastAsia="zh-CN"/>
        </w:rPr>
        <w:sectPr>
          <w:pgSz w:w="11906" w:h="16838"/>
          <w:pgMar w:top="1134" w:right="1531" w:bottom="1134" w:left="1531" w:header="851" w:footer="992" w:gutter="0"/>
          <w:cols w:space="0" w:num="1"/>
          <w:rtlGutter w:val="0"/>
          <w:docGrid w:type="linesAndChars" w:linePitch="312" w:charSpace="532"/>
        </w:sect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Q3ZDRkNTkxMzRiYWQ3ODFjNjM3YTMzZWRlYjFjZmQifQ=="/>
  </w:docVars>
  <w:rsids>
    <w:rsidRoot w:val="00000000"/>
    <w:rsid w:val="437824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99"/>
    <w:pPr>
      <w:spacing w:after="120"/>
    </w:pPr>
  </w:style>
  <w:style w:type="paragraph" w:styleId="3">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2023-06-18T05:01:58Z</dcterms:created>
  <dc:creator>admin-3</dc:creator>
  <cp:lastModifiedBy>admin-3</cp:lastModifiedBy>
  <dcterms:modified xsi:type="dcterms:W3CDTF">2023-06-18T05:02:25Z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425710ACD4DE4565A46E07573E85B68E_12</vt:lpwstr>
  </property>
</Properties>
</file>