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36"/>
          <w:szCs w:val="36"/>
        </w:rPr>
      </w:pPr>
      <w:r>
        <w:rPr>
          <w:rFonts w:hint="eastAsia" w:ascii="黑体" w:hAnsi="黑体" w:eastAsia="黑体" w:cs="黑体"/>
          <w:sz w:val="36"/>
          <w:szCs w:val="36"/>
          <w:lang w:val="en-US" w:eastAsia="zh-CN"/>
        </w:rPr>
        <w:t>益阳市赫山区农业农村局2021年部</w:t>
      </w:r>
      <w:r>
        <w:rPr>
          <w:rFonts w:hint="eastAsia" w:ascii="黑体" w:hAnsi="黑体" w:eastAsia="黑体" w:cs="黑体"/>
          <w:sz w:val="36"/>
          <w:szCs w:val="36"/>
        </w:rPr>
        <w:t>门</w:t>
      </w:r>
    </w:p>
    <w:p>
      <w:pPr>
        <w:spacing w:line="5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rPr>
        <w:t>整体支出绩效评价报告</w:t>
      </w:r>
    </w:p>
    <w:p>
      <w:pPr>
        <w:spacing w:line="500" w:lineRule="exact"/>
        <w:jc w:val="center"/>
        <w:rPr>
          <w:rFonts w:eastAsia="楷体_GB2312"/>
          <w:sz w:val="32"/>
          <w:szCs w:val="32"/>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cs="黑体"/>
          <w:sz w:val="30"/>
          <w:szCs w:val="30"/>
        </w:rPr>
      </w:pPr>
      <w:r>
        <w:rPr>
          <w:rFonts w:hint="eastAsia" w:ascii="黑体" w:hAnsi="黑体" w:eastAsia="黑体" w:cs="黑体"/>
          <w:sz w:val="30"/>
          <w:szCs w:val="30"/>
        </w:rPr>
        <w:t>一、部门基本情况</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color w:val="414141"/>
          <w:kern w:val="0"/>
          <w:sz w:val="30"/>
          <w:szCs w:val="30"/>
        </w:rPr>
      </w:pPr>
      <w:r>
        <w:rPr>
          <w:rFonts w:hint="eastAsia" w:ascii="仿宋" w:hAnsi="仿宋" w:eastAsia="仿宋" w:cs="仿宋"/>
          <w:b/>
          <w:bCs/>
          <w:color w:val="414141"/>
          <w:kern w:val="0"/>
          <w:sz w:val="30"/>
          <w:szCs w:val="30"/>
        </w:rPr>
        <w:t>(一)主要职能职责</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负责全区农业、农村工作的协调和综合工作，组织研究全区农业、农村发展和改革中的问题，提出农业、农村发展和改革的政策建议，指导农村发展和改革工作。</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会同有关部门研究提出城乡经济社会发展一体化体制机制改革的建议，指导协调区域经济发展和新农村建设。</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指导全区农业行政执法工作，推进农业依法行政。</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eastAsia="zh-CN"/>
        </w:rPr>
        <w:t>.</w:t>
      </w:r>
      <w:r>
        <w:rPr>
          <w:rFonts w:hint="eastAsia" w:ascii="仿宋" w:hAnsi="仿宋" w:eastAsia="仿宋" w:cs="仿宋"/>
          <w:sz w:val="30"/>
          <w:szCs w:val="30"/>
        </w:rPr>
        <w:t>组织拟订促进农业产业化、农产品加工业发展的政策和规划并组织实施，提出农业产业保护政策建议等。</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eastAsia="zh-CN"/>
        </w:rPr>
        <w:t>.</w:t>
      </w:r>
      <w:r>
        <w:rPr>
          <w:rFonts w:hint="eastAsia" w:ascii="仿宋" w:hAnsi="仿宋" w:eastAsia="仿宋" w:cs="仿宋"/>
          <w:sz w:val="30"/>
          <w:szCs w:val="30"/>
        </w:rPr>
        <w:t>指导粮食等主要农产品生产，组织落实促进粮食等主要农产品生产发展的相关政策措施，引导农业产业结构调整和产品品质改善。</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eastAsia="zh-CN"/>
        </w:rPr>
        <w:t>.</w:t>
      </w:r>
      <w:r>
        <w:rPr>
          <w:rFonts w:hint="eastAsia" w:ascii="仿宋" w:hAnsi="仿宋" w:eastAsia="仿宋" w:cs="仿宋"/>
          <w:sz w:val="30"/>
          <w:szCs w:val="30"/>
        </w:rPr>
        <w:t>承担提升农产品质量安全水平的责任，依法开展农产品质量安全风险评估。</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sz w:val="30"/>
          <w:szCs w:val="30"/>
          <w:lang w:eastAsia="zh-CN"/>
        </w:rPr>
        <w:t>.</w:t>
      </w:r>
      <w:r>
        <w:rPr>
          <w:rFonts w:hint="eastAsia" w:ascii="仿宋" w:hAnsi="仿宋" w:eastAsia="仿宋" w:cs="仿宋"/>
          <w:sz w:val="30"/>
          <w:szCs w:val="30"/>
        </w:rPr>
        <w:t>承担农业防灾减灾的责任，监测、发布农业灾情，组织种子、肥料等救灾物资储备和调拨，提出生产救灾资金安排建议，指导紧急救灾和灾后生产恢复。</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8</w:t>
      </w:r>
      <w:r>
        <w:rPr>
          <w:rFonts w:hint="eastAsia" w:ascii="仿宋" w:hAnsi="仿宋" w:eastAsia="仿宋" w:cs="仿宋"/>
          <w:sz w:val="30"/>
          <w:szCs w:val="30"/>
          <w:lang w:eastAsia="zh-CN"/>
        </w:rPr>
        <w:t>.</w:t>
      </w:r>
      <w:r>
        <w:rPr>
          <w:rFonts w:hint="eastAsia" w:ascii="仿宋" w:hAnsi="仿宋" w:eastAsia="仿宋" w:cs="仿宋"/>
          <w:sz w:val="30"/>
          <w:szCs w:val="30"/>
        </w:rPr>
        <w:t>负责农业信息体系建设，指导农业信息服务。</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rPr>
        <w:t>9</w:t>
      </w:r>
      <w:r>
        <w:rPr>
          <w:rFonts w:hint="eastAsia" w:ascii="仿宋" w:hAnsi="仿宋" w:eastAsia="仿宋" w:cs="仿宋"/>
          <w:sz w:val="30"/>
          <w:szCs w:val="30"/>
          <w:lang w:eastAsia="zh-CN"/>
        </w:rPr>
        <w:t>.</w:t>
      </w:r>
      <w:r>
        <w:rPr>
          <w:rFonts w:hint="eastAsia" w:ascii="仿宋" w:hAnsi="仿宋" w:eastAsia="仿宋" w:cs="仿宋"/>
          <w:sz w:val="30"/>
          <w:szCs w:val="30"/>
        </w:rPr>
        <w:t>承办区委、区政府交办的其他事项。 </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(二)机构设置及人员情况</w:t>
      </w:r>
    </w:p>
    <w:p>
      <w:pPr>
        <w:keepNext w:val="0"/>
        <w:keepLines w:val="0"/>
        <w:pageBreakBefore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2021年设置</w:t>
      </w:r>
      <w:r>
        <w:rPr>
          <w:rFonts w:hint="eastAsia" w:ascii="仿宋" w:hAnsi="仿宋" w:eastAsia="仿宋" w:cs="仿宋"/>
          <w:sz w:val="30"/>
          <w:szCs w:val="30"/>
        </w:rPr>
        <w:t>办公室</w:t>
      </w:r>
      <w:r>
        <w:rPr>
          <w:rFonts w:hint="eastAsia" w:ascii="仿宋" w:hAnsi="仿宋" w:eastAsia="仿宋" w:cs="仿宋"/>
          <w:sz w:val="30"/>
          <w:szCs w:val="30"/>
          <w:lang w:eastAsia="zh-CN"/>
        </w:rPr>
        <w:t>、</w:t>
      </w:r>
      <w:r>
        <w:rPr>
          <w:rFonts w:hint="eastAsia" w:ascii="仿宋" w:hAnsi="仿宋" w:eastAsia="仿宋" w:cs="仿宋"/>
          <w:sz w:val="30"/>
          <w:szCs w:val="30"/>
        </w:rPr>
        <w:t>党建办</w:t>
      </w:r>
      <w:r>
        <w:rPr>
          <w:rFonts w:hint="eastAsia" w:ascii="仿宋" w:hAnsi="仿宋" w:eastAsia="仿宋" w:cs="仿宋"/>
          <w:sz w:val="30"/>
          <w:szCs w:val="30"/>
          <w:lang w:eastAsia="zh-CN"/>
        </w:rPr>
        <w:t>、</w:t>
      </w:r>
      <w:r>
        <w:rPr>
          <w:rFonts w:hint="eastAsia" w:ascii="仿宋" w:hAnsi="仿宋" w:eastAsia="仿宋" w:cs="仿宋"/>
          <w:sz w:val="30"/>
          <w:szCs w:val="30"/>
        </w:rPr>
        <w:t>计划财务股</w:t>
      </w:r>
      <w:r>
        <w:rPr>
          <w:rFonts w:hint="eastAsia" w:ascii="仿宋" w:hAnsi="仿宋" w:eastAsia="仿宋" w:cs="仿宋"/>
          <w:sz w:val="30"/>
          <w:szCs w:val="30"/>
          <w:lang w:eastAsia="zh-CN"/>
        </w:rPr>
        <w:t>、</w:t>
      </w:r>
      <w:r>
        <w:rPr>
          <w:rFonts w:hint="eastAsia" w:ascii="仿宋" w:hAnsi="仿宋" w:eastAsia="仿宋" w:cs="仿宋"/>
          <w:sz w:val="30"/>
          <w:szCs w:val="30"/>
        </w:rPr>
        <w:t>人事股</w:t>
      </w:r>
      <w:r>
        <w:rPr>
          <w:rFonts w:hint="eastAsia" w:ascii="仿宋" w:hAnsi="仿宋" w:eastAsia="仿宋" w:cs="仿宋"/>
          <w:sz w:val="30"/>
          <w:szCs w:val="30"/>
          <w:lang w:eastAsia="zh-CN"/>
        </w:rPr>
        <w:t>、</w:t>
      </w:r>
      <w:r>
        <w:rPr>
          <w:rFonts w:hint="eastAsia" w:ascii="仿宋" w:hAnsi="仿宋" w:eastAsia="仿宋" w:cs="仿宋"/>
          <w:sz w:val="30"/>
          <w:szCs w:val="30"/>
        </w:rPr>
        <w:t>农田建设服务中心</w:t>
      </w:r>
      <w:r>
        <w:rPr>
          <w:rFonts w:hint="eastAsia" w:ascii="仿宋" w:hAnsi="仿宋" w:eastAsia="仿宋" w:cs="仿宋"/>
          <w:sz w:val="30"/>
          <w:szCs w:val="30"/>
          <w:lang w:eastAsia="zh-CN"/>
        </w:rPr>
        <w:t>、</w:t>
      </w:r>
      <w:r>
        <w:rPr>
          <w:rFonts w:hint="eastAsia" w:ascii="仿宋" w:hAnsi="仿宋" w:eastAsia="仿宋" w:cs="仿宋"/>
          <w:sz w:val="30"/>
          <w:szCs w:val="30"/>
        </w:rPr>
        <w:t>农村社会事</w:t>
      </w:r>
      <w:r>
        <w:rPr>
          <w:rFonts w:hint="eastAsia" w:ascii="仿宋" w:hAnsi="仿宋" w:eastAsia="仿宋" w:cs="仿宋"/>
          <w:sz w:val="30"/>
          <w:szCs w:val="30"/>
          <w:lang w:eastAsia="zh-CN"/>
        </w:rPr>
        <w:t>业</w:t>
      </w:r>
      <w:r>
        <w:rPr>
          <w:rFonts w:hint="eastAsia" w:ascii="仿宋" w:hAnsi="仿宋" w:eastAsia="仿宋" w:cs="仿宋"/>
          <w:sz w:val="30"/>
          <w:szCs w:val="30"/>
        </w:rPr>
        <w:t>促进股（人居环境推进办）</w:t>
      </w:r>
      <w:r>
        <w:rPr>
          <w:rFonts w:hint="eastAsia" w:ascii="仿宋" w:hAnsi="仿宋" w:eastAsia="仿宋" w:cs="仿宋"/>
          <w:sz w:val="30"/>
          <w:szCs w:val="30"/>
          <w:lang w:eastAsia="zh-CN"/>
        </w:rPr>
        <w:t>、</w:t>
      </w:r>
      <w:r>
        <w:rPr>
          <w:rFonts w:hint="eastAsia" w:ascii="仿宋" w:hAnsi="仿宋" w:eastAsia="仿宋" w:cs="仿宋"/>
          <w:sz w:val="30"/>
          <w:szCs w:val="30"/>
        </w:rPr>
        <w:t>乡村产业发展办</w:t>
      </w:r>
      <w:r>
        <w:rPr>
          <w:rFonts w:hint="eastAsia" w:ascii="仿宋" w:hAnsi="仿宋" w:eastAsia="仿宋" w:cs="仿宋"/>
          <w:sz w:val="30"/>
          <w:szCs w:val="30"/>
          <w:lang w:eastAsia="zh-CN"/>
        </w:rPr>
        <w:t>、</w:t>
      </w:r>
      <w:r>
        <w:rPr>
          <w:rFonts w:hint="eastAsia" w:ascii="仿宋" w:hAnsi="仿宋" w:eastAsia="仿宋" w:cs="仿宋"/>
          <w:sz w:val="30"/>
          <w:szCs w:val="30"/>
        </w:rPr>
        <w:t>立项争资办</w:t>
      </w:r>
      <w:r>
        <w:rPr>
          <w:rFonts w:hint="eastAsia" w:ascii="仿宋" w:hAnsi="仿宋" w:eastAsia="仿宋" w:cs="仿宋"/>
          <w:sz w:val="30"/>
          <w:szCs w:val="30"/>
          <w:lang w:eastAsia="zh-CN"/>
        </w:rPr>
        <w:t>、</w:t>
      </w:r>
      <w:r>
        <w:rPr>
          <w:rFonts w:hint="eastAsia" w:ascii="仿宋" w:hAnsi="仿宋" w:eastAsia="仿宋" w:cs="仿宋"/>
          <w:sz w:val="30"/>
          <w:szCs w:val="30"/>
        </w:rPr>
        <w:t>农产品质量安全监管站</w:t>
      </w:r>
      <w:r>
        <w:rPr>
          <w:rFonts w:hint="eastAsia" w:ascii="仿宋" w:hAnsi="仿宋" w:eastAsia="仿宋" w:cs="仿宋"/>
          <w:sz w:val="30"/>
          <w:szCs w:val="30"/>
          <w:lang w:eastAsia="zh-CN"/>
        </w:rPr>
        <w:t>、</w:t>
      </w:r>
      <w:r>
        <w:rPr>
          <w:rFonts w:hint="eastAsia" w:ascii="仿宋" w:hAnsi="仿宋" w:eastAsia="仿宋" w:cs="仿宋"/>
          <w:sz w:val="30"/>
          <w:szCs w:val="30"/>
        </w:rPr>
        <w:t>粮油站</w:t>
      </w:r>
      <w:r>
        <w:rPr>
          <w:rFonts w:hint="eastAsia" w:ascii="仿宋" w:hAnsi="仿宋" w:eastAsia="仿宋" w:cs="仿宋"/>
          <w:sz w:val="30"/>
          <w:szCs w:val="30"/>
          <w:lang w:eastAsia="zh-CN"/>
        </w:rPr>
        <w:t>、</w:t>
      </w:r>
      <w:r>
        <w:rPr>
          <w:rFonts w:hint="eastAsia" w:ascii="仿宋" w:hAnsi="仿宋" w:eastAsia="仿宋" w:cs="仿宋"/>
          <w:sz w:val="30"/>
          <w:szCs w:val="30"/>
        </w:rPr>
        <w:t>植保植检站</w:t>
      </w:r>
      <w:r>
        <w:rPr>
          <w:rFonts w:hint="eastAsia" w:ascii="仿宋" w:hAnsi="仿宋" w:eastAsia="仿宋" w:cs="仿宋"/>
          <w:sz w:val="30"/>
          <w:szCs w:val="30"/>
          <w:lang w:eastAsia="zh-CN"/>
        </w:rPr>
        <w:t>、</w:t>
      </w:r>
      <w:r>
        <w:rPr>
          <w:rFonts w:hint="eastAsia" w:ascii="仿宋" w:hAnsi="仿宋" w:eastAsia="仿宋" w:cs="仿宋"/>
          <w:sz w:val="30"/>
          <w:szCs w:val="30"/>
        </w:rPr>
        <w:t>农药管理站（种子管理站）</w:t>
      </w:r>
      <w:r>
        <w:rPr>
          <w:rFonts w:hint="eastAsia" w:ascii="仿宋" w:hAnsi="仿宋" w:eastAsia="仿宋" w:cs="仿宋"/>
          <w:sz w:val="30"/>
          <w:szCs w:val="30"/>
          <w:lang w:eastAsia="zh-CN"/>
        </w:rPr>
        <w:t>、</w:t>
      </w:r>
      <w:r>
        <w:rPr>
          <w:rFonts w:hint="eastAsia" w:ascii="仿宋" w:hAnsi="仿宋" w:eastAsia="仿宋" w:cs="仿宋"/>
          <w:sz w:val="30"/>
          <w:szCs w:val="30"/>
        </w:rPr>
        <w:t>科技教育站</w:t>
      </w:r>
      <w:r>
        <w:rPr>
          <w:rFonts w:hint="eastAsia" w:ascii="仿宋" w:hAnsi="仿宋" w:eastAsia="仿宋" w:cs="仿宋"/>
          <w:sz w:val="30"/>
          <w:szCs w:val="30"/>
          <w:lang w:eastAsia="zh-CN"/>
        </w:rPr>
        <w:t>、</w:t>
      </w:r>
      <w:r>
        <w:rPr>
          <w:rFonts w:hint="eastAsia" w:ascii="仿宋" w:hAnsi="仿宋" w:eastAsia="仿宋" w:cs="仿宋"/>
          <w:sz w:val="30"/>
          <w:szCs w:val="30"/>
        </w:rPr>
        <w:t>农业资源保护与利用股（绿色食品办、市场与信息股）</w:t>
      </w:r>
      <w:r>
        <w:rPr>
          <w:rFonts w:hint="eastAsia" w:ascii="仿宋" w:hAnsi="仿宋" w:eastAsia="仿宋" w:cs="仿宋"/>
          <w:sz w:val="30"/>
          <w:szCs w:val="30"/>
          <w:lang w:eastAsia="zh-CN"/>
        </w:rPr>
        <w:t>、</w:t>
      </w:r>
      <w:r>
        <w:rPr>
          <w:rFonts w:hint="eastAsia" w:ascii="仿宋" w:hAnsi="仿宋" w:eastAsia="仿宋" w:cs="仿宋"/>
          <w:sz w:val="30"/>
          <w:szCs w:val="30"/>
        </w:rPr>
        <w:t>土壤肥料管理站</w:t>
      </w:r>
      <w:r>
        <w:rPr>
          <w:rFonts w:hint="eastAsia" w:ascii="仿宋" w:hAnsi="仿宋" w:eastAsia="仿宋" w:cs="仿宋"/>
          <w:sz w:val="30"/>
          <w:szCs w:val="30"/>
          <w:lang w:eastAsia="zh-CN"/>
        </w:rPr>
        <w:t>、</w:t>
      </w:r>
      <w:r>
        <w:rPr>
          <w:rFonts w:hint="eastAsia" w:ascii="仿宋" w:hAnsi="仿宋" w:eastAsia="仿宋" w:cs="仿宋"/>
          <w:sz w:val="30"/>
          <w:szCs w:val="30"/>
        </w:rPr>
        <w:t>经作站</w:t>
      </w:r>
      <w:r>
        <w:rPr>
          <w:rFonts w:hint="eastAsia" w:ascii="仿宋" w:hAnsi="仿宋" w:eastAsia="仿宋" w:cs="仿宋"/>
          <w:sz w:val="30"/>
          <w:szCs w:val="30"/>
          <w:lang w:eastAsia="zh-CN"/>
        </w:rPr>
        <w:t>、</w:t>
      </w:r>
      <w:r>
        <w:rPr>
          <w:rFonts w:hint="eastAsia" w:ascii="仿宋" w:hAnsi="仿宋" w:eastAsia="仿宋" w:cs="仿宋"/>
          <w:sz w:val="30"/>
          <w:szCs w:val="30"/>
        </w:rPr>
        <w:t>法规股</w:t>
      </w:r>
      <w:r>
        <w:rPr>
          <w:rFonts w:hint="eastAsia" w:ascii="仿宋" w:hAnsi="仿宋" w:eastAsia="仿宋" w:cs="仿宋"/>
          <w:sz w:val="30"/>
          <w:szCs w:val="30"/>
          <w:lang w:eastAsia="zh-CN"/>
        </w:rPr>
        <w:t>、</w:t>
      </w:r>
      <w:r>
        <w:rPr>
          <w:rFonts w:hint="eastAsia" w:ascii="仿宋" w:hAnsi="仿宋" w:eastAsia="仿宋" w:cs="仿宋"/>
          <w:sz w:val="30"/>
          <w:szCs w:val="30"/>
        </w:rPr>
        <w:t>农业保险站</w:t>
      </w:r>
      <w:r>
        <w:rPr>
          <w:rFonts w:hint="eastAsia" w:ascii="仿宋" w:hAnsi="仿宋" w:eastAsia="仿宋" w:cs="仿宋"/>
          <w:sz w:val="30"/>
          <w:szCs w:val="30"/>
          <w:lang w:val="en-US" w:eastAsia="zh-CN"/>
        </w:rPr>
        <w:t>19个内设机构。下设</w:t>
      </w:r>
      <w:r>
        <w:rPr>
          <w:rFonts w:hint="eastAsia" w:ascii="仿宋" w:hAnsi="仿宋" w:eastAsia="仿宋" w:cs="仿宋"/>
          <w:sz w:val="30"/>
          <w:szCs w:val="30"/>
        </w:rPr>
        <w:t>农产品质量安全检验检测中心</w:t>
      </w:r>
      <w:r>
        <w:rPr>
          <w:rFonts w:hint="eastAsia" w:ascii="仿宋" w:hAnsi="仿宋" w:eastAsia="仿宋" w:cs="仿宋"/>
          <w:sz w:val="30"/>
          <w:szCs w:val="30"/>
          <w:lang w:eastAsia="zh-CN"/>
        </w:rPr>
        <w:t>、</w:t>
      </w:r>
      <w:r>
        <w:rPr>
          <w:rFonts w:hint="eastAsia" w:ascii="仿宋" w:hAnsi="仿宋" w:eastAsia="仿宋" w:cs="仿宋"/>
          <w:sz w:val="30"/>
          <w:szCs w:val="30"/>
        </w:rPr>
        <w:t>农业综合</w:t>
      </w:r>
      <w:r>
        <w:rPr>
          <w:rFonts w:hint="eastAsia" w:ascii="仿宋" w:hAnsi="仿宋" w:eastAsia="仿宋" w:cs="仿宋"/>
          <w:sz w:val="30"/>
          <w:szCs w:val="30"/>
          <w:lang w:eastAsia="zh-CN"/>
        </w:rPr>
        <w:t>行政</w:t>
      </w:r>
      <w:r>
        <w:rPr>
          <w:rFonts w:hint="eastAsia" w:ascii="仿宋" w:hAnsi="仿宋" w:eastAsia="仿宋" w:cs="仿宋"/>
          <w:sz w:val="30"/>
          <w:szCs w:val="30"/>
        </w:rPr>
        <w:t>执法大队</w:t>
      </w:r>
      <w:r>
        <w:rPr>
          <w:rFonts w:hint="eastAsia" w:ascii="仿宋" w:hAnsi="仿宋" w:eastAsia="仿宋" w:cs="仿宋"/>
          <w:sz w:val="30"/>
          <w:szCs w:val="30"/>
          <w:lang w:eastAsia="zh-CN"/>
        </w:rPr>
        <w:t>、</w:t>
      </w:r>
      <w:r>
        <w:rPr>
          <w:rFonts w:hint="eastAsia" w:ascii="仿宋" w:hAnsi="仿宋" w:eastAsia="仿宋" w:cs="仿宋"/>
          <w:sz w:val="30"/>
          <w:szCs w:val="30"/>
        </w:rPr>
        <w:t>农民素质教育办公室</w:t>
      </w:r>
      <w:r>
        <w:rPr>
          <w:rFonts w:hint="eastAsia" w:ascii="仿宋" w:hAnsi="仿宋" w:eastAsia="仿宋" w:cs="仿宋"/>
          <w:sz w:val="30"/>
          <w:szCs w:val="30"/>
          <w:lang w:eastAsia="zh-CN"/>
        </w:rPr>
        <w:t>、</w:t>
      </w:r>
      <w:r>
        <w:rPr>
          <w:rFonts w:hint="eastAsia" w:ascii="仿宋" w:hAnsi="仿宋" w:eastAsia="仿宋" w:cs="仿宋"/>
          <w:sz w:val="30"/>
          <w:szCs w:val="30"/>
        </w:rPr>
        <w:t>种子技术推广与储备中心</w:t>
      </w:r>
      <w:r>
        <w:rPr>
          <w:rFonts w:hint="eastAsia" w:ascii="仿宋" w:hAnsi="仿宋" w:eastAsia="仿宋" w:cs="仿宋"/>
          <w:sz w:val="30"/>
          <w:szCs w:val="30"/>
          <w:lang w:eastAsia="zh-CN"/>
        </w:rPr>
        <w:t>、</w:t>
      </w:r>
      <w:r>
        <w:rPr>
          <w:rFonts w:hint="eastAsia" w:ascii="仿宋" w:hAnsi="仿宋" w:eastAsia="仿宋" w:cs="仿宋"/>
          <w:sz w:val="30"/>
          <w:szCs w:val="30"/>
        </w:rPr>
        <w:t>农</w:t>
      </w:r>
      <w:r>
        <w:rPr>
          <w:rFonts w:hint="eastAsia" w:ascii="仿宋" w:hAnsi="仿宋" w:eastAsia="仿宋" w:cs="仿宋"/>
          <w:sz w:val="30"/>
          <w:szCs w:val="30"/>
          <w:lang w:val="en-US" w:eastAsia="zh-CN"/>
        </w:rPr>
        <w:t>业</w:t>
      </w:r>
      <w:r>
        <w:rPr>
          <w:rFonts w:hint="eastAsia" w:ascii="仿宋" w:hAnsi="仿宋" w:eastAsia="仿宋" w:cs="仿宋"/>
          <w:sz w:val="30"/>
          <w:szCs w:val="30"/>
        </w:rPr>
        <w:t>科</w:t>
      </w:r>
      <w:r>
        <w:rPr>
          <w:rFonts w:hint="eastAsia" w:ascii="仿宋" w:hAnsi="仿宋" w:eastAsia="仿宋" w:cs="仿宋"/>
          <w:sz w:val="30"/>
          <w:szCs w:val="30"/>
          <w:lang w:val="en-US" w:eastAsia="zh-CN"/>
        </w:rPr>
        <w:t>学研究</w:t>
      </w:r>
      <w:r>
        <w:rPr>
          <w:rFonts w:hint="eastAsia" w:ascii="仿宋" w:hAnsi="仿宋" w:eastAsia="仿宋" w:cs="仿宋"/>
          <w:sz w:val="30"/>
          <w:szCs w:val="30"/>
        </w:rPr>
        <w:t>所</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良种繁育场6个二级机构。年末实有人数188人。</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cs="黑体"/>
          <w:sz w:val="30"/>
          <w:szCs w:val="30"/>
        </w:rPr>
      </w:pPr>
      <w:r>
        <w:rPr>
          <w:rFonts w:hint="eastAsia" w:ascii="黑体" w:hAnsi="黑体" w:eastAsia="黑体" w:cs="黑体"/>
          <w:sz w:val="30"/>
          <w:szCs w:val="30"/>
        </w:rPr>
        <w:t>二、一般公共预算支出情况</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b/>
          <w:bCs/>
          <w:sz w:val="30"/>
          <w:szCs w:val="30"/>
        </w:rPr>
      </w:pPr>
      <w:r>
        <w:rPr>
          <w:rFonts w:hint="eastAsia" w:ascii="仿宋" w:hAnsi="仿宋" w:eastAsia="仿宋" w:cs="仿宋"/>
          <w:b/>
          <w:bCs/>
          <w:sz w:val="30"/>
          <w:szCs w:val="30"/>
        </w:rPr>
        <w:t>（一）基本支出情况</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2021年一般公共预算财政拨款基本支出2477.38万元。</w:t>
      </w:r>
    </w:p>
    <w:p>
      <w:pPr>
        <w:pStyle w:val="6"/>
        <w:keepNext w:val="0"/>
        <w:keepLines w:val="0"/>
        <w:pageBreakBefore w:val="0"/>
        <w:widowControl/>
        <w:kinsoku/>
        <w:wordWrap/>
        <w:overflowPunct/>
        <w:topLinePunct w:val="0"/>
        <w:autoSpaceDE/>
        <w:autoSpaceDN/>
        <w:bidi w:val="0"/>
        <w:adjustRightInd/>
        <w:snapToGrid/>
        <w:spacing w:line="600" w:lineRule="exact"/>
        <w:ind w:left="0" w:leftChars="0" w:firstLine="604"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其具体支出如下：工资福利支出2153.97万元、商品和服务支出208.46万元、对个人和家庭的补助支出113.18万元、其他资本性支出1.77万元。</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为有效控制“三公”经费支出及确保“三公”经费支出的合法、合规，我局厉行节约，严格执行中央“八项”规定，加强了公务用车的管理及接待的审批制度，全年没有超预算、超规模、超范围和超标准现象，也没有挤占、摊派、乱收费和转移“三公”经费支出的行为。全年三公经费合计4.20万元，其中公务接待费2.86万元，公务用车运行维护费1.34万元，较上年减少4.14万元。</w:t>
      </w:r>
    </w:p>
    <w:p>
      <w:pPr>
        <w:pStyle w:val="6"/>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项目支出情况</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为加强对专项资金的管理，进一步完善了财政专项资金管理方案，且所有项目严格按照上级批复文件要求进行实施，坚持专款专用，并在项目完成后逐个进行绩效自评，总结好的做法，分享项目效益，为来年项目实施奠定基础。</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2021年一般公共预算财政拨款项目支出27428.52万元，根据支出功能分类，科学技术支出5万元、节能环保项目支出670.61万元、农林水项目支出26220.35万元、粮油物资储备项目支出532.56万元。具体项目收支情况如下：</w:t>
      </w:r>
    </w:p>
    <w:tbl>
      <w:tblPr>
        <w:tblStyle w:val="4"/>
        <w:tblW w:w="85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81"/>
        <w:gridCol w:w="4184"/>
        <w:gridCol w:w="2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502" w:type="dxa"/>
            <w:gridSpan w:val="3"/>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0"/>
                <w:szCs w:val="30"/>
                <w:u w:val="none"/>
              </w:rPr>
            </w:pPr>
            <w:r>
              <w:rPr>
                <w:rFonts w:hint="eastAsia" w:ascii="仿宋" w:hAnsi="仿宋" w:eastAsia="仿宋" w:cs="仿宋"/>
                <w:i w:val="0"/>
                <w:color w:val="000000"/>
                <w:kern w:val="0"/>
                <w:sz w:val="30"/>
                <w:szCs w:val="30"/>
                <w:u w:val="none"/>
                <w:lang w:val="en-US" w:eastAsia="zh-CN" w:bidi="ar"/>
              </w:rPr>
              <w:t>2021年一般预算拨款项目支出明细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功能科目编码</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科目名称(项目名称）</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2060404</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科技成果转化与扩散项目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2110402</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农村环境保护项目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5,077,905.06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2119999</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其他节能环保项目支</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1,628,171.18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2130106</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科技转化与推广服务项目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5,720,504.00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2130108</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病虫害控制项目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2130109</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农产品质量安全项目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784,996.83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2130119</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防灾救灾项目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1,400,000.00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2130121</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农业结构调整补贴项目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9,289,475.07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2130122</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农业生产发展项目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36,259,926.00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2130122</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农业生产发展高标准农田建设</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20,130,000.00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2130124</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农村合作经济项目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2,899,369.00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2130125</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农产品加工与促销项目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4,170,000.00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2130126</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农村社会事业项目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12,921,680.00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2130135</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农业资源保护修复与利用项目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3,885,210.80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2130153</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农田建设项目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85,710,054.80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2130199</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其他农业农村支出项目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16,886,809.81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2130199</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高标准农田建设项目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2,448,734.27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2130316</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农村水利项目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12,820,642.97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2130599</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其他扶贫支出项目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13,580,000.00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2130999</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其他目标价格补贴项目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28,586,100.00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2139999</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其他农林水支出项目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2,210,000.00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2220199</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其他粮油物资事务支出项目</w:t>
            </w: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5,325,665.00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3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合计</w:t>
            </w:r>
          </w:p>
        </w:tc>
        <w:tc>
          <w:tcPr>
            <w:tcW w:w="41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hint="eastAsia" w:ascii="仿宋" w:hAnsi="仿宋" w:eastAsia="仿宋" w:cs="仿宋"/>
                <w:i w:val="0"/>
                <w:color w:val="000000"/>
                <w:sz w:val="32"/>
                <w:szCs w:val="32"/>
                <w:u w:val="none"/>
              </w:rPr>
            </w:pPr>
          </w:p>
        </w:tc>
        <w:tc>
          <w:tcPr>
            <w:tcW w:w="293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right"/>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274,285,244.79</w:t>
            </w:r>
          </w:p>
        </w:tc>
      </w:tr>
    </w:tbl>
    <w:p>
      <w:pPr>
        <w:pStyle w:val="6"/>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4" w:firstLineChars="200"/>
        <w:jc w:val="left"/>
        <w:textAlignment w:val="auto"/>
        <w:rPr>
          <w:rFonts w:hint="eastAsia" w:ascii="黑体" w:hAnsi="黑体" w:eastAsia="黑体" w:cs="黑体"/>
          <w:b w:val="0"/>
          <w:bCs w:val="0"/>
          <w:sz w:val="30"/>
          <w:szCs w:val="30"/>
        </w:rPr>
      </w:pPr>
      <w:r>
        <w:rPr>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rPr>
        <w:t>政府性基金预算支出情况</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2021年度本部门没有政府性基金预算收支。</w:t>
      </w:r>
    </w:p>
    <w:p>
      <w:pPr>
        <w:pStyle w:val="6"/>
        <w:keepNext w:val="0"/>
        <w:keepLines w:val="0"/>
        <w:pageBreakBefore w:val="0"/>
        <w:widowControl/>
        <w:kinsoku/>
        <w:wordWrap/>
        <w:overflowPunct/>
        <w:topLinePunct w:val="0"/>
        <w:autoSpaceDE/>
        <w:autoSpaceDN/>
        <w:bidi w:val="0"/>
        <w:adjustRightInd/>
        <w:snapToGrid/>
        <w:spacing w:line="600" w:lineRule="exact"/>
        <w:ind w:left="0" w:leftChars="0" w:firstLine="604" w:firstLineChars="200"/>
        <w:jc w:val="left"/>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四、国有资本经营预算支出情况</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2021年度本部门没有国有资本经营预算收支。</w:t>
      </w:r>
    </w:p>
    <w:p>
      <w:pPr>
        <w:pStyle w:val="6"/>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4" w:firstLineChars="200"/>
        <w:jc w:val="left"/>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五、</w:t>
      </w:r>
      <w:r>
        <w:rPr>
          <w:rFonts w:hint="eastAsia" w:ascii="黑体" w:hAnsi="黑体" w:eastAsia="黑体" w:cs="黑体"/>
          <w:sz w:val="30"/>
          <w:szCs w:val="30"/>
        </w:rPr>
        <w:t>社会保险基金预算支出情况</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2021年度本部门没有社会保险基金预算收支。</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六、部门整体支出绩效情况</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聚焦主导产业高质量发展。粮食生产稳中有升。全区完成粮食播种面积108.11万亩，较上年增加3.25万亩，总产预计突破10亿斤。蔬菜产业提质增效。全区蔬菜播种面积40.10万亩，同期增长1.04%；上市鲜菜约11.03亿千克，增长11.08%；全年产值28.36亿元，增长8.12%。茶叶生产增产增值。现有茶园面积3.50万亩，其中可采面积3.25万亩。茶叶总产值 6280万元，增长17.40%。</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持续推进农村人居环境整治。以“一拆二改三清四化”村庄清洁行动为主要抓手，实施“十村示范、百村振兴”工程，重点打好农村改厕和生活污水、垃圾处理“三大硬仗”，建立“3213”管理运行模式，完善四大工作机制。同时污水处理得到有效管控、农村改厕进展突破。</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3.农产品质量安全不断提升。加大农业投入品管理、监管巡查与例行监测无缝覆盖、积极推进农产品“身份证”管理和质量安全追溯体系建设、加大“两品一标”认证力度、扎实推进受污染耕地安全利用。</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4.扎实开展农业面源污染治理。融合推进统防统治与绿色防控、深入推进测土配方施肥、探索推进秸秆综合利用。  </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推进一二三产业融合发展。全区规模以上企业109家，共培育市级以上农业产业化龙头企业78家，其中国家级2家，省级16家，市级60家。2021年产值过5亿元的有2家。全区农产品加工业主营业务收入预计全年超过310亿元，就近安排农民工就业3.40万人，农产品加工业与农业总产值之比达到3：1。</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6.农业行政执法力度逐步提升。全区建立了区、乡、村（社区）“三级联动”的农业综合行政执法网络，形成了层层有人管、级级有人抓的良好工作格局。</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7.农业风险抵抗能力提高。2020年高标准农田建设计划任务5.39万亩已全面完成，2021年高标准农田建设工程4.92万亩已完成30%。继续实行油菜、茶叶、葡萄特色农业保险。</w:t>
      </w:r>
    </w:p>
    <w:p>
      <w:pPr>
        <w:pStyle w:val="6"/>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七、存在的问题及原因分析</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由于我局二级机构差额人员及自收自支人员较多，经费缺口较大，建议增加人员经费。</w:t>
      </w:r>
    </w:p>
    <w:p>
      <w:pPr>
        <w:pStyle w:val="6"/>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八、下一步改进措施</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1.加强财务人员的业务水平，充实财务力量；</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2.完善内部控制系统的建设；</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3.完善专项资金的管理办法。</w:t>
      </w:r>
    </w:p>
    <w:p>
      <w:pPr>
        <w:pStyle w:val="6"/>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九、其他需要说明的情况</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附件：2021年度部门整体支出绩效自评指标计分表</w:t>
      </w:r>
    </w:p>
    <w:p>
      <w:pPr>
        <w:keepNext w:val="0"/>
        <w:keepLines w:val="0"/>
        <w:pageBreakBefore w:val="0"/>
        <w:kinsoku/>
        <w:wordWrap/>
        <w:overflowPunct/>
        <w:topLinePunct w:val="0"/>
        <w:autoSpaceDE/>
        <w:autoSpaceDN/>
        <w:bidi w:val="0"/>
        <w:adjustRightInd/>
        <w:snapToGrid/>
        <w:spacing w:beforeLines="50" w:afterLines="50" w:line="600" w:lineRule="exact"/>
        <w:ind w:firstLine="724" w:firstLineChars="200"/>
        <w:jc w:val="center"/>
        <w:textAlignment w:val="auto"/>
        <w:rPr>
          <w:rFonts w:hint="eastAsia" w:ascii="方正小标宋简体" w:eastAsia="方正小标宋简体" w:cs="方正小标宋_GBK"/>
          <w:sz w:val="36"/>
          <w:szCs w:val="36"/>
        </w:rPr>
      </w:pPr>
    </w:p>
    <w:p>
      <w:pPr>
        <w:spacing w:beforeLines="50" w:afterLines="50"/>
        <w:jc w:val="center"/>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p>
    <w:p>
      <w:pPr>
        <w:pStyle w:val="3"/>
        <w:rPr>
          <w:rFonts w:hint="eastAsia" w:ascii="方正小标宋简体" w:eastAsia="方正小标宋简体" w:cs="方正小标宋_GBK"/>
          <w:sz w:val="36"/>
          <w:szCs w:val="36"/>
        </w:rPr>
      </w:pPr>
      <w:bookmarkStart w:id="0" w:name="_GoBack"/>
      <w:bookmarkEnd w:id="0"/>
    </w:p>
    <w:p>
      <w:pPr>
        <w:pStyle w:val="3"/>
        <w:rPr>
          <w:rFonts w:hint="eastAsia" w:ascii="方正小标宋简体" w:eastAsia="方正小标宋简体" w:cs="方正小标宋_GBK"/>
          <w:sz w:val="36"/>
          <w:szCs w:val="36"/>
        </w:rPr>
      </w:pPr>
    </w:p>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tbl>
      <w:tblPr>
        <w:tblStyle w:val="4"/>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581"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710" w:type="dxa"/>
            <w:tcMar>
              <w:top w:w="10" w:type="dxa"/>
              <w:left w:w="10" w:type="dxa"/>
              <w:bottom w:w="0" w:type="dxa"/>
              <w:right w:w="10" w:type="dxa"/>
            </w:tcMar>
            <w:vAlign w:val="center"/>
          </w:tcPr>
          <w:p>
            <w:pPr>
              <w:spacing w:line="240" w:lineRule="exact"/>
              <w:ind w:right="-175" w:rightChars="-83"/>
              <w:jc w:val="center"/>
              <w:rPr>
                <w:rFonts w:ascii="宋体" w:cs="宋体"/>
                <w:b/>
                <w:bCs/>
              </w:rPr>
            </w:pPr>
            <w:r>
              <w:rPr>
                <w:rFonts w:hint="eastAsia" w:ascii="宋体" w:hAnsi="宋体" w:cs="宋体"/>
                <w:b/>
                <w:bCs/>
              </w:rPr>
              <w:t>二级</w:t>
            </w:r>
          </w:p>
          <w:p>
            <w:pPr>
              <w:spacing w:line="240" w:lineRule="exact"/>
              <w:ind w:right="-175" w:rightChars="-83"/>
              <w:jc w:val="center"/>
              <w:rPr>
                <w:rFonts w:ascii="宋体" w:cs="宋体"/>
                <w:b/>
                <w:bCs/>
              </w:rPr>
            </w:pPr>
            <w:r>
              <w:rPr>
                <w:rFonts w:hint="eastAsia" w:ascii="宋体" w:hAnsi="宋体" w:cs="宋体"/>
                <w:b/>
                <w:bCs/>
              </w:rPr>
              <w:t>指标</w:t>
            </w:r>
          </w:p>
        </w:tc>
        <w:tc>
          <w:tcPr>
            <w:tcW w:w="946"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710" w:type="dxa"/>
            <w:vAlign w:val="center"/>
          </w:tcPr>
          <w:p>
            <w:pPr>
              <w:spacing w:line="240" w:lineRule="exact"/>
              <w:ind w:left="106" w:leftChars="50" w:right="106" w:rightChars="50"/>
              <w:jc w:val="center"/>
              <w:rPr>
                <w:rFonts w:ascii="宋体" w:cs="宋体"/>
                <w:b/>
                <w:bCs/>
              </w:rPr>
            </w:pPr>
            <w:r>
              <w:rPr>
                <w:rFonts w:hint="eastAsia" w:ascii="宋体" w:hAnsi="宋体" w:cs="宋体"/>
                <w:b/>
                <w:bCs/>
              </w:rPr>
              <w:t>自评分</w:t>
            </w:r>
          </w:p>
        </w:tc>
        <w:tc>
          <w:tcPr>
            <w:tcW w:w="2983" w:type="dxa"/>
            <w:tcMar>
              <w:top w:w="10" w:type="dxa"/>
              <w:left w:w="10" w:type="dxa"/>
              <w:bottom w:w="0" w:type="dxa"/>
              <w:right w:w="10" w:type="dxa"/>
            </w:tcMar>
            <w:vAlign w:val="center"/>
          </w:tcPr>
          <w:p>
            <w:pPr>
              <w:spacing w:line="240" w:lineRule="exact"/>
              <w:ind w:left="106" w:leftChars="50" w:right="106" w:rightChars="50"/>
              <w:jc w:val="center"/>
              <w:rPr>
                <w:rFonts w:ascii="宋体" w:cs="宋体"/>
                <w:b/>
                <w:bCs/>
              </w:rPr>
            </w:pPr>
            <w:r>
              <w:rPr>
                <w:rFonts w:hint="eastAsia" w:ascii="宋体" w:hAnsi="宋体" w:cs="宋体"/>
                <w:b/>
                <w:bCs/>
              </w:rPr>
              <w:t>指标解释</w:t>
            </w:r>
          </w:p>
        </w:tc>
        <w:tc>
          <w:tcPr>
            <w:tcW w:w="3533" w:type="dxa"/>
            <w:tcMar>
              <w:top w:w="10" w:type="dxa"/>
              <w:left w:w="10" w:type="dxa"/>
              <w:bottom w:w="0" w:type="dxa"/>
              <w:right w:w="10" w:type="dxa"/>
            </w:tcMar>
            <w:vAlign w:val="center"/>
          </w:tcPr>
          <w:p>
            <w:pPr>
              <w:spacing w:line="240" w:lineRule="exact"/>
              <w:ind w:left="106" w:leftChars="50" w:right="106"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581"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581" w:type="dxa"/>
            <w:vMerge w:val="continue"/>
            <w:vAlign w:val="center"/>
          </w:tcPr>
          <w:p>
            <w:pPr>
              <w:spacing w:line="240" w:lineRule="exact"/>
              <w:rPr>
                <w:rFonts w:ascii="宋体" w:cs="宋体"/>
              </w:rPr>
            </w:pP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581"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81" w:type="dxa"/>
            <w:vMerge w:val="continue"/>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continue"/>
            <w:tcMar>
              <w:top w:w="10" w:type="dxa"/>
              <w:left w:w="10" w:type="dxa"/>
              <w:bottom w:w="0" w:type="dxa"/>
              <w:right w:w="10" w:type="dxa"/>
            </w:tcMar>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581" w:type="dxa"/>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581" w:type="dxa"/>
            <w:vMerge w:val="continue"/>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710" w:type="dxa"/>
            <w:vAlign w:val="center"/>
          </w:tcPr>
          <w:p>
            <w:pPr>
              <w:tabs>
                <w:tab w:val="left" w:pos="761"/>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761"/>
                <w:tab w:val="left" w:pos="2604"/>
              </w:tabs>
              <w:spacing w:line="240" w:lineRule="exact"/>
              <w:ind w:left="106" w:leftChars="50" w:right="106"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581"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8</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81" w:type="dxa"/>
            <w:vMerge w:val="continue"/>
            <w:textDirection w:val="tbRlV"/>
            <w:vAlign w:val="center"/>
          </w:tcPr>
          <w:p>
            <w:pPr>
              <w:spacing w:line="240" w:lineRule="exact"/>
              <w:ind w:left="113"/>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8</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10</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部门履行职责对经济发展所带来的直接或间接影响。</w:t>
            </w:r>
          </w:p>
        </w:tc>
        <w:tc>
          <w:tcPr>
            <w:tcW w:w="3533" w:type="dxa"/>
            <w:vMerge w:val="restart"/>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部门履行职责对社会发展所带来的直接或间接影响。</w:t>
            </w:r>
          </w:p>
        </w:tc>
        <w:tc>
          <w:tcPr>
            <w:tcW w:w="3533" w:type="dxa"/>
            <w:vMerge w:val="continue"/>
            <w:vAlign w:val="center"/>
          </w:tcPr>
          <w:p>
            <w:pPr>
              <w:spacing w:line="240" w:lineRule="exact"/>
              <w:ind w:left="106" w:leftChars="50" w:right="106"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部门履行职责对生态环境所带来的直接或间接影响。</w:t>
            </w:r>
          </w:p>
        </w:tc>
        <w:tc>
          <w:tcPr>
            <w:tcW w:w="3533" w:type="dxa"/>
            <w:vMerge w:val="continue"/>
            <w:vAlign w:val="center"/>
          </w:tcPr>
          <w:p>
            <w:pPr>
              <w:spacing w:line="240" w:lineRule="exact"/>
              <w:ind w:left="106" w:leftChars="50" w:right="106"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rPr>
                <w:rFonts w:ascii="宋体" w:cs="宋体"/>
              </w:rPr>
            </w:pPr>
            <w:r>
              <w:rPr>
                <w:rFonts w:hint="eastAsia" w:ascii="宋体" w:hAnsi="宋体" w:cs="宋体"/>
              </w:rPr>
              <w:t>社会公众或部门的服务对象对部门履职效果的满意程度。</w:t>
            </w: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81" w:type="dxa"/>
            <w:vAlign w:val="center"/>
          </w:tcPr>
          <w:p>
            <w:pPr>
              <w:spacing w:line="240" w:lineRule="exact"/>
              <w:rPr>
                <w:rFonts w:ascii="宋体" w:cs="宋体"/>
              </w:rPr>
            </w:pPr>
            <w:r>
              <w:rPr>
                <w:rFonts w:hint="eastAsia" w:ascii="宋体" w:hAnsi="宋体" w:cs="宋体"/>
              </w:rPr>
              <w:t>总分</w:t>
            </w:r>
          </w:p>
        </w:tc>
        <w:tc>
          <w:tcPr>
            <w:tcW w:w="710" w:type="dxa"/>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p>
        </w:tc>
        <w:tc>
          <w:tcPr>
            <w:tcW w:w="710" w:type="dxa"/>
            <w:vAlign w:val="center"/>
          </w:tcPr>
          <w:p>
            <w:pPr>
              <w:tabs>
                <w:tab w:val="left" w:pos="2604"/>
              </w:tabs>
              <w:spacing w:line="240" w:lineRule="exact"/>
              <w:ind w:left="106" w:leftChars="50" w:right="106" w:rightChars="50" w:firstLine="96" w:firstLineChars="46"/>
              <w:jc w:val="center"/>
              <w:rPr>
                <w:rFonts w:hint="eastAsia" w:ascii="宋体" w:eastAsia="宋体" w:cs="宋体"/>
                <w:lang w:val="en-US" w:eastAsia="zh-CN"/>
              </w:rPr>
            </w:pPr>
            <w:r>
              <w:rPr>
                <w:rFonts w:hint="eastAsia" w:ascii="宋体" w:cs="宋体"/>
                <w:lang w:val="en-US" w:eastAsia="zh-CN"/>
              </w:rPr>
              <w:t>98</w:t>
            </w:r>
          </w:p>
        </w:tc>
        <w:tc>
          <w:tcPr>
            <w:tcW w:w="2983" w:type="dxa"/>
            <w:tcMar>
              <w:top w:w="10" w:type="dxa"/>
              <w:left w:w="10" w:type="dxa"/>
              <w:bottom w:w="0" w:type="dxa"/>
              <w:right w:w="10" w:type="dxa"/>
            </w:tcMar>
            <w:vAlign w:val="center"/>
          </w:tcPr>
          <w:p>
            <w:pPr>
              <w:tabs>
                <w:tab w:val="left" w:pos="2604"/>
              </w:tabs>
              <w:spacing w:line="240" w:lineRule="exact"/>
              <w:ind w:left="106" w:leftChars="50" w:right="106" w:rightChars="50" w:firstLine="96" w:firstLineChars="46"/>
              <w:jc w:val="center"/>
              <w:rPr>
                <w:rFonts w:ascii="宋体" w:cs="宋体"/>
              </w:rPr>
            </w:pPr>
          </w:p>
        </w:tc>
        <w:tc>
          <w:tcPr>
            <w:tcW w:w="3533" w:type="dxa"/>
            <w:tcMar>
              <w:top w:w="10" w:type="dxa"/>
              <w:left w:w="10" w:type="dxa"/>
              <w:bottom w:w="0" w:type="dxa"/>
              <w:right w:w="10" w:type="dxa"/>
            </w:tcMar>
            <w:vAlign w:val="center"/>
          </w:tcPr>
          <w:p>
            <w:pPr>
              <w:spacing w:line="240" w:lineRule="exact"/>
              <w:ind w:left="106" w:leftChars="50" w:right="106" w:rightChars="50"/>
              <w:rPr>
                <w:rFonts w:ascii="宋体" w:cs="宋体"/>
              </w:rPr>
            </w:pPr>
          </w:p>
        </w:tc>
      </w:tr>
    </w:tbl>
    <w:p/>
    <w:p>
      <w:pPr>
        <w:widowControl/>
        <w:jc w:val="left"/>
        <w:rPr>
          <w:rFonts w:ascii="黑体" w:eastAsia="黑体" w:cs="黑体"/>
          <w:color w:val="000000"/>
          <w:kern w:val="0"/>
          <w:sz w:val="70"/>
          <w:szCs w:val="70"/>
        </w:rPr>
        <w:sectPr>
          <w:pgSz w:w="11906" w:h="16838"/>
          <w:pgMar w:top="1134" w:right="1531" w:bottom="1134" w:left="1531" w:header="851" w:footer="992" w:gutter="0"/>
          <w:cols w:space="0" w:num="1"/>
          <w:rtlGutter w:val="0"/>
          <w:docGrid w:type="linesAndChars" w:linePitch="312" w:charSpace="532"/>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modern"/>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201A0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列出段落2"/>
    <w:basedOn w:val="1"/>
    <w:qFormat/>
    <w:uiPriority w:val="99"/>
    <w:pPr>
      <w:ind w:firstLine="420" w:firstLineChars="200"/>
    </w:pPr>
    <w:rPr>
      <w:rFonts w:ascii="等线" w:hAnsi="等线" w:eastAsia="等线" w:cs="等线"/>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2023-06-18T04:59:00Z</dcterms:created>
  <dc:creator>admin-3</dc:creator>
  <cp:lastModifiedBy>admin-3</cp:lastModifiedBy>
  <dcterms:modified xsi:type="dcterms:W3CDTF">2023-06-18T04:59:41Z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31D3E85A156B48FAA285AF4589DD6EFB_12</vt:lpwstr>
  </property>
</Properties>
</file>