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firstLine="724" w:firstLineChars="200"/>
        <w:jc w:val="center"/>
        <w:textAlignment w:val="auto"/>
        <w:rPr>
          <w:rFonts w:hint="eastAsia" w:ascii="黑体" w:hAnsi="黑体" w:eastAsia="黑体" w:cs="黑体"/>
          <w:b w:val="0"/>
          <w:bCs/>
          <w:sz w:val="36"/>
          <w:szCs w:val="36"/>
          <w:lang w:val="en-US" w:eastAsia="zh-CN"/>
        </w:rPr>
      </w:pPr>
    </w:p>
    <w:p>
      <w:pPr>
        <w:keepNext w:val="0"/>
        <w:keepLines w:val="0"/>
        <w:pageBreakBefore w:val="0"/>
        <w:kinsoku/>
        <w:wordWrap/>
        <w:overflowPunct/>
        <w:topLinePunct w:val="0"/>
        <w:autoSpaceDE/>
        <w:autoSpaceDN/>
        <w:bidi w:val="0"/>
        <w:adjustRightInd/>
        <w:snapToGrid/>
        <w:spacing w:line="600" w:lineRule="exact"/>
        <w:ind w:firstLine="724" w:firstLineChars="200"/>
        <w:jc w:val="center"/>
        <w:textAlignment w:val="auto"/>
        <w:rPr>
          <w:rFonts w:hint="eastAsia" w:ascii="黑体" w:hAnsi="黑体" w:eastAsia="黑体" w:cs="黑体"/>
          <w:b w:val="0"/>
          <w:bCs/>
          <w:sz w:val="36"/>
          <w:szCs w:val="36"/>
        </w:rPr>
      </w:pPr>
      <w:bookmarkStart w:id="0" w:name="_GoBack"/>
      <w:bookmarkEnd w:id="0"/>
      <w:r>
        <w:rPr>
          <w:rFonts w:hint="eastAsia" w:ascii="黑体" w:hAnsi="黑体" w:eastAsia="黑体" w:cs="黑体"/>
          <w:b w:val="0"/>
          <w:bCs/>
          <w:sz w:val="36"/>
          <w:szCs w:val="36"/>
          <w:lang w:val="en-US" w:eastAsia="zh-CN"/>
        </w:rPr>
        <w:t>益阳市</w:t>
      </w:r>
      <w:r>
        <w:rPr>
          <w:rFonts w:hint="eastAsia" w:ascii="黑体" w:hAnsi="黑体" w:eastAsia="黑体" w:cs="黑体"/>
          <w:b w:val="0"/>
          <w:bCs/>
          <w:sz w:val="36"/>
          <w:szCs w:val="36"/>
        </w:rPr>
        <w:t>赫山区2021年稻谷收购价格补贴</w:t>
      </w:r>
    </w:p>
    <w:p>
      <w:pPr>
        <w:keepNext w:val="0"/>
        <w:keepLines w:val="0"/>
        <w:pageBreakBefore w:val="0"/>
        <w:kinsoku/>
        <w:wordWrap/>
        <w:overflowPunct/>
        <w:topLinePunct w:val="0"/>
        <w:autoSpaceDE/>
        <w:autoSpaceDN/>
        <w:bidi w:val="0"/>
        <w:adjustRightInd/>
        <w:snapToGrid/>
        <w:spacing w:line="600" w:lineRule="exact"/>
        <w:ind w:firstLine="724" w:firstLineChars="200"/>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项目支出</w:t>
      </w:r>
      <w:r>
        <w:rPr>
          <w:rFonts w:hint="eastAsia" w:ascii="黑体" w:hAnsi="黑体" w:eastAsia="黑体" w:cs="黑体"/>
          <w:b w:val="0"/>
          <w:bCs/>
          <w:sz w:val="36"/>
          <w:szCs w:val="36"/>
        </w:rPr>
        <w:t>绩效自评报告</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414141"/>
          <w:sz w:val="30"/>
          <w:szCs w:val="30"/>
          <w:shd w:val="clear" w:color="auto" w:fill="FFFFFF"/>
        </w:rPr>
      </w:pPr>
      <w:r>
        <w:rPr>
          <w:rFonts w:hint="eastAsia" w:ascii="仿宋" w:hAnsi="仿宋" w:eastAsia="仿宋" w:cs="仿宋"/>
          <w:color w:val="414141"/>
          <w:sz w:val="30"/>
          <w:szCs w:val="30"/>
          <w:shd w:val="clear" w:color="auto" w:fill="FFFFFF"/>
        </w:rPr>
        <w:t>根据上级部门要求关于做好2021年度稻谷收购价格补贴绩效自评工作的通知，我局成立了自评工作小组，并组织计财、粮油、种子、经作、植保等相关股室，对2021年稻谷收购价格补贴开展了绩效评价自查工作，现将具体情况汇报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color w:val="414141"/>
          <w:sz w:val="30"/>
          <w:szCs w:val="30"/>
          <w:shd w:val="clear" w:color="auto" w:fill="FFFFFF"/>
        </w:rPr>
      </w:pPr>
      <w:r>
        <w:rPr>
          <w:rFonts w:hint="eastAsia" w:ascii="黑体" w:hAnsi="黑体" w:eastAsia="黑体" w:cs="黑体"/>
          <w:color w:val="414141"/>
          <w:sz w:val="30"/>
          <w:szCs w:val="30"/>
          <w:shd w:val="clear" w:color="auto" w:fill="FFFFFF"/>
        </w:rPr>
        <w:t>一、基本情况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（一）实施背景</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414141"/>
          <w:sz w:val="30"/>
          <w:szCs w:val="30"/>
          <w:shd w:val="clear" w:color="auto" w:fill="FFFFFF"/>
        </w:rPr>
      </w:pPr>
      <w:r>
        <w:rPr>
          <w:rFonts w:hint="eastAsia" w:ascii="仿宋" w:hAnsi="仿宋" w:eastAsia="仿宋" w:cs="仿宋"/>
          <w:color w:val="414141"/>
          <w:sz w:val="30"/>
          <w:szCs w:val="30"/>
          <w:shd w:val="clear" w:color="auto" w:fill="FFFFFF"/>
        </w:rPr>
        <w:t>为保障国家粮食安全，保持稻谷生产基本稳定，湖南省财政厅、发展和改革委员会、农业农村厅、粮食和物质储备局、国家统计局湖南调查总队以习近平新时代中国特色社会主义思想为指导，全面贯彻党的十九大和十九届二中、三中、四中、五中全会精神，印发了《湖南省2021年稻谷目标价格改革补贴工作实施方案的通知》（湘财建〔2021〕25号），深化稻谷收储制度和价格形成机制改革，增强稻谷最低收购价政策的灵活性和弹性，更加有效发挥市场机制作用，保障稻谷生产和优势产区稻谷种植收益基本稳定，引导种植结构调整，促进增加绿色优质稻谷供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414141"/>
          <w:sz w:val="30"/>
          <w:szCs w:val="30"/>
          <w:shd w:val="clear" w:color="auto" w:fill="FFFFFF"/>
        </w:rPr>
      </w:pPr>
      <w:r>
        <w:rPr>
          <w:rFonts w:hint="eastAsia" w:ascii="仿宋" w:hAnsi="仿宋" w:eastAsia="仿宋" w:cs="仿宋"/>
          <w:color w:val="414141"/>
          <w:sz w:val="30"/>
          <w:szCs w:val="30"/>
          <w:shd w:val="clear" w:color="auto" w:fill="FFFFFF"/>
        </w:rPr>
        <w:t>为切实做好稻谷收购价格补贴工作，支持水稻生产，2021年，我区补贴资金按照农户实际水稻种植面积发放。赫山区人民政府为确保农业支持补贴这一惠农政策落到实处，制定了《赫山区2021年稻谷价格补贴工作方案》（益赫政办函发〔2021〕27号），成立专班，积极开展赫山区的稻谷补贴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（二）项目资金来源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414141"/>
          <w:sz w:val="30"/>
          <w:szCs w:val="30"/>
          <w:shd w:val="clear" w:color="auto" w:fill="FFFFFF"/>
        </w:rPr>
      </w:pPr>
      <w:r>
        <w:rPr>
          <w:rFonts w:hint="eastAsia" w:ascii="仿宋" w:hAnsi="仿宋" w:eastAsia="仿宋" w:cs="仿宋"/>
          <w:sz w:val="30"/>
          <w:szCs w:val="30"/>
        </w:rPr>
        <w:t>赫山区2021年度稻谷补贴项目共涉及资金2858.61万元。实际拨付数为2858.61万元。</w:t>
      </w:r>
      <w:r>
        <w:rPr>
          <w:rFonts w:hint="eastAsia" w:ascii="仿宋" w:hAnsi="仿宋" w:eastAsia="仿宋" w:cs="仿宋"/>
          <w:color w:val="414141"/>
          <w:sz w:val="30"/>
          <w:szCs w:val="30"/>
          <w:shd w:val="clear" w:color="auto" w:fill="FFFFFF"/>
        </w:rPr>
        <w:t>截止评价时段未，下达资金已全部使用2858.61万元，无结余。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b w:val="0"/>
          <w:bCs w:val="0"/>
          <w:color w:val="414141"/>
          <w:sz w:val="30"/>
          <w:szCs w:val="30"/>
          <w:shd w:val="clear" w:color="auto" w:fill="FFFFFF"/>
        </w:rPr>
      </w:pPr>
      <w:r>
        <w:rPr>
          <w:rFonts w:hint="eastAsia" w:ascii="黑体" w:hAnsi="黑体" w:eastAsia="黑体" w:cs="黑体"/>
          <w:b w:val="0"/>
          <w:bCs w:val="0"/>
          <w:color w:val="414141"/>
          <w:sz w:val="30"/>
          <w:szCs w:val="30"/>
          <w:shd w:val="clear" w:color="auto" w:fill="FFFFFF"/>
        </w:rPr>
        <w:t>二、实施情况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补贴对象。</w:t>
      </w:r>
      <w:r>
        <w:rPr>
          <w:rFonts w:hint="eastAsia" w:ascii="仿宋" w:hAnsi="仿宋" w:eastAsia="仿宋" w:cs="仿宋"/>
          <w:sz w:val="30"/>
          <w:szCs w:val="30"/>
        </w:rPr>
        <w:t>全区（含鱼形山街道、益阳高新区）所有水稻种植者。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补贴标准。</w:t>
      </w:r>
      <w:r>
        <w:rPr>
          <w:rFonts w:hint="eastAsia" w:ascii="仿宋" w:hAnsi="仿宋" w:eastAsia="仿宋" w:cs="仿宋"/>
          <w:sz w:val="30"/>
          <w:szCs w:val="30"/>
        </w:rPr>
        <w:t>早稻20元/亩，中、晚稻24元/亩。</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补贴程序。</w:t>
      </w:r>
      <w:r>
        <w:rPr>
          <w:rFonts w:hint="eastAsia" w:ascii="仿宋" w:hAnsi="仿宋" w:eastAsia="仿宋" w:cs="仿宋"/>
          <w:sz w:val="30"/>
          <w:szCs w:val="30"/>
        </w:rPr>
        <w:t>（1）面积申报，农户自行申报。乡镇(街道、园区)、村(社区)干部组织农户到村民小组申报2021年水稻种植面积。（2）面积核实。村民小组审核、公示、申报。村民小组对农户上报数据逐一核实，经农户签字认可后形成汇总表，在组内公示3天，并留存公示影像资料。公示无异议后，向所在村(社区)申报。村(社区)收集汇总各村民小组汇总表后，驻村(社区)干部和村(社区)干部认真审核相关数据，形成汇总表，在村(社区)公示4天，并留存公示影像资料。公示无异议后，向所在乡镇(街道、园区)申报。乡镇(街道、园区)审核、公示、申报。各乡镇(街道、园区)收集村(社区)的汇总表和公示影像资料后，核实无误后，形成汇总表，并由乡镇长(主任)签字，加盖单位公章，在乡镇(街道、园区)公示7天，并留存公示影像资料。公示无异议后，向区农业农村局、区财政局申报。</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面积核查。</w:t>
      </w:r>
      <w:r>
        <w:rPr>
          <w:rFonts w:hint="eastAsia" w:ascii="仿宋" w:hAnsi="仿宋" w:eastAsia="仿宋" w:cs="仿宋"/>
          <w:sz w:val="30"/>
          <w:szCs w:val="30"/>
        </w:rPr>
        <w:t>区农业局和区财政局收到乡镇(街道、园区)上报的汇总表和公示影像资料后，组织相关人员对各乡镇(街道、园区)上报面积进行抽样核查。</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资金拨付和发放</w:t>
      </w:r>
      <w:r>
        <w:rPr>
          <w:rFonts w:hint="eastAsia" w:ascii="仿宋" w:hAnsi="仿宋" w:eastAsia="仿宋" w:cs="仿宋"/>
          <w:b/>
          <w:bCs/>
          <w:sz w:val="30"/>
          <w:szCs w:val="30"/>
          <w:lang w:eastAsia="zh-CN"/>
        </w:rPr>
        <w:t>。</w:t>
      </w:r>
      <w:r>
        <w:rPr>
          <w:rFonts w:hint="eastAsia" w:ascii="仿宋" w:hAnsi="仿宋" w:eastAsia="仿宋" w:cs="仿宋"/>
          <w:sz w:val="30"/>
          <w:szCs w:val="30"/>
        </w:rPr>
        <w:t>区财政部门根据农业部门核定的补贴面积及补贴标准，通过“一卡通”将补贴资金发放到户，结余资金可结转下一年度继续使用。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w:t>
      </w:r>
      <w:r>
        <w:rPr>
          <w:rFonts w:hint="eastAsia" w:ascii="仿宋" w:hAnsi="仿宋" w:eastAsia="仿宋" w:cs="仿宋"/>
          <w:b/>
          <w:bCs/>
          <w:color w:val="414141"/>
          <w:sz w:val="30"/>
          <w:szCs w:val="30"/>
          <w:shd w:val="clear" w:color="auto" w:fill="FFFFFF"/>
          <w:lang w:val="en-US" w:eastAsia="zh-CN"/>
        </w:rPr>
        <w:t>六</w:t>
      </w:r>
      <w:r>
        <w:rPr>
          <w:rFonts w:hint="eastAsia" w:ascii="仿宋" w:hAnsi="仿宋" w:eastAsia="仿宋" w:cs="仿宋"/>
          <w:b/>
          <w:bCs/>
          <w:color w:val="414141"/>
          <w:sz w:val="30"/>
          <w:szCs w:val="30"/>
          <w:shd w:val="clear" w:color="auto" w:fill="FFFFFF"/>
        </w:rPr>
        <w:t>）组织及管理</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赫山区财政局。负责赫山区绩效管理总体工作。对绩效目标设定进行复核；组织开展绩效目标执行监控；组织开展绩效评价；确定绩效评价结果运用方式，督促对绩效评价中发现的问题及时整改。</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赫山区农业农村局。具体负责项目资金的使用以及实施，保证项目资金专款专用；负责补贴面积核实汇总工作；及时了解项目资金的使用情况。根据项目进度及时报送年度资金使用情况及项目完成情况的总结报告；项目完成后，按要求进行档案管理。并确定资金的支持方向、使用范围、资助标准和方式，及时组织整改绩效评价中发现的问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color w:val="414141"/>
          <w:sz w:val="30"/>
          <w:szCs w:val="30"/>
          <w:shd w:val="clear" w:color="auto" w:fill="FFFFFF"/>
        </w:rPr>
      </w:pPr>
      <w:r>
        <w:rPr>
          <w:rFonts w:hint="eastAsia" w:ascii="黑体" w:hAnsi="黑体" w:eastAsia="黑体" w:cs="黑体"/>
          <w:color w:val="414141"/>
          <w:sz w:val="30"/>
          <w:szCs w:val="30"/>
          <w:shd w:val="clear" w:color="auto" w:fill="FFFFFF"/>
        </w:rPr>
        <w:t>三、绩效目标完成情况</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在保持政策的稳定性和连续性基础上,大力扶持和培育种粮户，调整种植结构，以绿色生态为导向，提高农作物秸杆综合利用水平，引导农民综合采取秸杆还田、减少化肥农药用量、施用有机肥等绿色生产措施，切实加强农业生态资源保护，充分发挥政策惠农增收效益，确保粮食安全。</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color w:val="414141"/>
          <w:sz w:val="30"/>
          <w:szCs w:val="30"/>
          <w:shd w:val="clear" w:color="auto" w:fill="FFFFFF"/>
        </w:rPr>
      </w:pPr>
      <w:r>
        <w:rPr>
          <w:rFonts w:hint="eastAsia" w:ascii="黑体" w:hAnsi="黑体" w:eastAsia="黑体" w:cs="黑体"/>
          <w:color w:val="414141"/>
          <w:sz w:val="30"/>
          <w:szCs w:val="30"/>
          <w:shd w:val="clear" w:color="auto" w:fill="FFFFFF"/>
        </w:rPr>
        <w:t>四、绩效评价指标分析情况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（一）决策情况分析。</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项目立项符合</w:t>
      </w:r>
      <w:r>
        <w:rPr>
          <w:rFonts w:hint="eastAsia" w:ascii="仿宋" w:hAnsi="仿宋" w:eastAsia="仿宋" w:cs="仿宋"/>
          <w:color w:val="414141"/>
          <w:sz w:val="30"/>
          <w:szCs w:val="30"/>
          <w:shd w:val="clear" w:color="auto" w:fill="FFFFFF"/>
        </w:rPr>
        <w:t>《湖南省2021年稻谷目标价格改革补贴工作实施方案的通知》（湘财建〔2021〕25号）</w:t>
      </w:r>
      <w:r>
        <w:rPr>
          <w:rFonts w:hint="eastAsia" w:ascii="仿宋" w:hAnsi="仿宋" w:eastAsia="仿宋" w:cs="仿宋"/>
          <w:sz w:val="30"/>
          <w:szCs w:val="30"/>
        </w:rPr>
        <w:t>要求，与农业农村局职责范围相符，区农业农村局文件审批符合要求，项目绩效目标设立切合实际，项目资金全部用于水稻种植者，补贴金额符合标准。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（二）项目过程情况分析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资金到位和执行情况分析。赫山区2021年度稻谷收购价格补贴资金下达2858.61万元，实际支付给农民2858.61万元，项目预算执行率100%。全区稻谷补贴资金使用情况具体是东部新区、高新区190.41万元，赫山区水稻种植者补贴1679.13万元、优质稻生产者和适度规模经营者补贴729.07万元、种植结构调整补贴260万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资金使用合规性分析。资金的拨付均有完整的审批程序和手续，均符合部门预算批复的用途，专款专用，财务档案健全，使用流程规范，不存在套取、截留、挤占、挪用、虚列支出等情况。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管理制度和执行情况分析。依据</w:t>
      </w:r>
      <w:r>
        <w:rPr>
          <w:rFonts w:hint="eastAsia" w:ascii="仿宋" w:hAnsi="仿宋" w:eastAsia="仿宋" w:cs="仿宋"/>
          <w:color w:val="414141"/>
          <w:sz w:val="30"/>
          <w:szCs w:val="30"/>
          <w:shd w:val="clear" w:color="auto" w:fill="FFFFFF"/>
        </w:rPr>
        <w:t>《湖南省2021年稻谷目标价格改革补贴工作实施方案的通知》（湘财建〔2021〕25号），</w:t>
      </w:r>
      <w:r>
        <w:rPr>
          <w:rFonts w:hint="eastAsia" w:ascii="仿宋" w:hAnsi="仿宋" w:eastAsia="仿宋" w:cs="仿宋"/>
          <w:sz w:val="30"/>
          <w:szCs w:val="30"/>
        </w:rPr>
        <w:t>赫山区人民政府办公室</w:t>
      </w:r>
      <w:r>
        <w:rPr>
          <w:rFonts w:hint="eastAsia" w:ascii="仿宋" w:hAnsi="仿宋" w:eastAsia="仿宋" w:cs="仿宋"/>
          <w:color w:val="414141"/>
          <w:sz w:val="30"/>
          <w:szCs w:val="30"/>
          <w:shd w:val="clear" w:color="auto" w:fill="FFFFFF"/>
        </w:rPr>
        <w:t>发布《赫山区2021年稻谷价格补贴工作方案》（益赫政办函〔2021〕27号），赫山区粮食生产工作领导小组办公室发布《关于开展2021年100亩以上早稻种植、耕地地力保护及稻谷补贴面积摸底核实工作的通知》（益赫粮领组办发〔2021〕4号），对补贴对象、补贴标准、补贴程序等进行管理，赫山区农业农村局和财政局严格按照相关文件实施项目，资金拨付流程完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（三）产出情况分析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414141"/>
          <w:kern w:val="0"/>
          <w:sz w:val="30"/>
          <w:szCs w:val="30"/>
        </w:rPr>
        <w:t>多年来，我区农业生产主要依靠化肥、农药、地膜等增产，可挖掘潜力已尽，稻谷补贴的实施，以绿色生态为导向，减少化肥农药用量、施用有机肥等措施，切实加强农业生态资源保护，不断提升水稻绿色生产水平和调整种植结构，当年实现粮食总产比上年提高1.92万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414141"/>
          <w:sz w:val="30"/>
          <w:szCs w:val="30"/>
          <w:shd w:val="clear" w:color="auto" w:fill="FFFFFF"/>
        </w:rPr>
      </w:pPr>
      <w:r>
        <w:rPr>
          <w:rFonts w:hint="eastAsia" w:ascii="仿宋" w:hAnsi="仿宋" w:eastAsia="仿宋" w:cs="仿宋"/>
          <w:b/>
          <w:bCs/>
          <w:color w:val="414141"/>
          <w:sz w:val="30"/>
          <w:szCs w:val="30"/>
          <w:shd w:val="clear" w:color="auto" w:fill="FFFFFF"/>
        </w:rPr>
        <w:t>（四）效益情况分析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社会影响分析。稻谷收购价格补贴项目的实施调动和保护了种粮农民的积极性，对长年荒撂和非粮化的耕地的资源浪费有明显的改善效果，鼓励了农民主动加强了农业生态资源保护和开展绿色生产的意识。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政策宣传分析。区农业农村局通过乡镇、村委公示宣传等相关的宣传方法，明确补贴的范围、补贴对象、补贴标准、确保农户对相关政策了解到位。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可持续影响分析。区农业农村局在年度项目结束后，总结本年度项目实施出现的相关问题。并对下一年度的工作提出补贴发放建议，总结工作中出现的注意事项。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eastAsia="zh-CN"/>
        </w:rPr>
        <w:t>.</w:t>
      </w:r>
      <w:r>
        <w:rPr>
          <w:rFonts w:hint="eastAsia" w:ascii="仿宋" w:hAnsi="仿宋" w:eastAsia="仿宋" w:cs="仿宋"/>
          <w:sz w:val="30"/>
          <w:szCs w:val="30"/>
        </w:rPr>
        <w:t>收益对象满意度分析。随机抽取全区享受补贴的20农户进行电话调查，该项目的实施收益群众的平均满意度为100%。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color w:val="414141"/>
          <w:sz w:val="30"/>
          <w:szCs w:val="30"/>
          <w:shd w:val="clear" w:color="auto" w:fill="FFFFFF"/>
        </w:rPr>
      </w:pPr>
      <w:r>
        <w:rPr>
          <w:rFonts w:hint="eastAsia" w:ascii="黑体" w:hAnsi="黑体" w:eastAsia="黑体" w:cs="黑体"/>
          <w:color w:val="414141"/>
          <w:sz w:val="30"/>
          <w:szCs w:val="30"/>
          <w:shd w:val="clear" w:color="auto" w:fill="FFFFFF"/>
          <w:lang w:val="en-US" w:eastAsia="zh-CN"/>
        </w:rPr>
        <w:t>五</w:t>
      </w:r>
      <w:r>
        <w:rPr>
          <w:rFonts w:hint="eastAsia" w:ascii="黑体" w:hAnsi="黑体" w:eastAsia="黑体" w:cs="黑体"/>
          <w:color w:val="414141"/>
          <w:sz w:val="30"/>
          <w:szCs w:val="30"/>
          <w:shd w:val="clear" w:color="auto" w:fill="FFFFFF"/>
        </w:rPr>
        <w:t>、工作主要措施及亮点</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04" w:firstLineChars="200"/>
        <w:textAlignment w:val="auto"/>
        <w:rPr>
          <w:rFonts w:hint="eastAsia" w:ascii="仿宋" w:hAnsi="仿宋" w:eastAsia="仿宋" w:cs="仿宋"/>
          <w:color w:val="000000"/>
          <w:sz w:val="30"/>
          <w:szCs w:val="30"/>
        </w:rPr>
      </w:pPr>
      <w:r>
        <w:rPr>
          <w:rFonts w:hint="eastAsia" w:ascii="仿宋" w:hAnsi="仿宋" w:eastAsia="仿宋" w:cs="仿宋"/>
          <w:sz w:val="30"/>
          <w:szCs w:val="30"/>
        </w:rPr>
        <w:t>利用稻谷补贴资金，采用绿色生产技术打造优质粮源基地，</w:t>
      </w:r>
      <w:r>
        <w:rPr>
          <w:rFonts w:hint="eastAsia" w:ascii="仿宋" w:hAnsi="仿宋" w:eastAsia="仿宋" w:cs="仿宋"/>
          <w:color w:val="000000"/>
          <w:sz w:val="30"/>
          <w:szCs w:val="30"/>
        </w:rPr>
        <w:t>一是农药使用量“零增长”。区内均实现绿色防控技术覆盖率100%，上半年减少用药1次，形成以308公路、兰啤线和新河沿线为主的30万亩绿色防控示范带。二是化肥使用量“负增长”。均实现水稻测土配方施肥技术覆盖率100%，冬绿肥、油菜覆盖率60%，累计减少化肥使用量0.2万吨，实现区内农药化肥“负增长”，带动赫山粮食生产更加绿色环保。三是推广应用高档优质稻品种。在部、省推主导品种的基础上，结合赫山实际种植情况，早稻选用中早39、中嘉早17，晚稻选择农香42、华润2号、玉晶91、泰优390、玉针香等高档优质稻，高档优质稻推广面积54.8万亩，优良品种的覆盖率95%以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color w:val="414141"/>
          <w:sz w:val="30"/>
          <w:szCs w:val="30"/>
          <w:shd w:val="clear" w:color="auto" w:fill="FFFFFF"/>
        </w:rPr>
      </w:pPr>
      <w:r>
        <w:rPr>
          <w:rFonts w:hint="eastAsia" w:ascii="黑体" w:hAnsi="黑体" w:eastAsia="黑体" w:cs="黑体"/>
          <w:color w:val="414141"/>
          <w:sz w:val="30"/>
          <w:szCs w:val="30"/>
          <w:shd w:val="clear" w:color="auto" w:fill="FFFFFF"/>
          <w:lang w:val="en-US" w:eastAsia="zh-CN"/>
        </w:rPr>
        <w:t>六</w:t>
      </w:r>
      <w:r>
        <w:rPr>
          <w:rFonts w:hint="eastAsia" w:ascii="黑体" w:hAnsi="黑体" w:eastAsia="黑体" w:cs="黑体"/>
          <w:color w:val="414141"/>
          <w:sz w:val="30"/>
          <w:szCs w:val="30"/>
          <w:shd w:val="clear" w:color="auto" w:fill="FFFFFF"/>
        </w:rPr>
        <w:t>、主要问题和面临的困难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项目实施过程中由于部分农户银行卡出现故障，造成补贴资金不能够及时发放，影响项目实施进度。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color w:val="414141"/>
          <w:sz w:val="30"/>
          <w:szCs w:val="30"/>
          <w:shd w:val="clear" w:color="auto" w:fill="FFFFFF"/>
        </w:rPr>
      </w:pPr>
      <w:r>
        <w:rPr>
          <w:rFonts w:hint="eastAsia" w:ascii="黑体" w:hAnsi="黑体" w:eastAsia="黑体" w:cs="黑体"/>
          <w:color w:val="414141"/>
          <w:sz w:val="30"/>
          <w:szCs w:val="30"/>
          <w:shd w:val="clear" w:color="auto" w:fill="FFFFFF"/>
          <w:lang w:val="en-US" w:eastAsia="zh-CN"/>
        </w:rPr>
        <w:t>七</w:t>
      </w:r>
      <w:r>
        <w:rPr>
          <w:rFonts w:hint="eastAsia" w:ascii="黑体" w:hAnsi="黑体" w:eastAsia="黑体" w:cs="黑体"/>
          <w:color w:val="414141"/>
          <w:sz w:val="30"/>
          <w:szCs w:val="30"/>
          <w:shd w:val="clear" w:color="auto" w:fill="FFFFFF"/>
        </w:rPr>
        <w:t>、下一步资金使用计划或建议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414141"/>
          <w:kern w:val="0"/>
          <w:sz w:val="30"/>
          <w:szCs w:val="30"/>
        </w:rPr>
        <w:t>资金使用计划向绿色水稻生产者倾斜。建议加大补贴支持力度。根据生产成本上浮幅度，适度增加补贴标准，促进农民种粮积极性。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414141"/>
          <w:sz w:val="30"/>
          <w:szCs w:val="30"/>
          <w:shd w:val="clear" w:color="auto" w:fill="FFFFFF"/>
          <w:lang w:val="en-US" w:eastAsia="zh-CN"/>
        </w:rPr>
      </w:pPr>
      <w:r>
        <w:rPr>
          <w:rFonts w:hint="eastAsia" w:ascii="仿宋" w:hAnsi="仿宋" w:eastAsia="仿宋" w:cs="仿宋"/>
          <w:color w:val="414141"/>
          <w:sz w:val="30"/>
          <w:szCs w:val="30"/>
          <w:shd w:val="clear" w:color="auto" w:fill="FFFFFF"/>
          <w:lang w:val="en-US" w:eastAsia="zh-CN"/>
        </w:rPr>
        <w:t>附件：2021年度项目支出绩效自评指标计分表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414141"/>
          <w:sz w:val="30"/>
          <w:szCs w:val="30"/>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right"/>
        <w:textAlignment w:val="auto"/>
        <w:rPr>
          <w:rFonts w:hint="eastAsia" w:ascii="仿宋" w:hAnsi="仿宋" w:eastAsia="仿宋" w:cs="仿宋"/>
          <w:color w:val="414141"/>
          <w:sz w:val="30"/>
          <w:szCs w:val="30"/>
          <w:shd w:val="clear" w:color="auto" w:fill="FFFFFF"/>
        </w:rPr>
      </w:pPr>
      <w:r>
        <w:rPr>
          <w:rFonts w:hint="eastAsia" w:ascii="仿宋" w:hAnsi="仿宋" w:eastAsia="仿宋" w:cs="仿宋"/>
          <w:color w:val="414141"/>
          <w:sz w:val="30"/>
          <w:szCs w:val="30"/>
          <w:shd w:val="clear" w:color="auto" w:fill="FFFFFF"/>
        </w:rPr>
        <w:t xml:space="preserve">                   </w:t>
      </w:r>
    </w:p>
    <w:p>
      <w:pPr>
        <w:widowControl/>
        <w:jc w:val="left"/>
        <w:rPr>
          <w:rFonts w:ascii="仿宋_GB2312" w:hAnsi="Calibri" w:eastAsia="仿宋_GB2312" w:cs="Calibri"/>
          <w:color w:val="414141"/>
          <w:sz w:val="30"/>
          <w:szCs w:val="30"/>
          <w:shd w:val="clear" w:color="auto" w:fill="FFFFFF"/>
        </w:rPr>
      </w:pPr>
      <w:r>
        <w:rPr>
          <w:rFonts w:ascii="仿宋_GB2312" w:hAnsi="Calibri" w:eastAsia="仿宋_GB2312" w:cs="Calibri"/>
          <w:color w:val="414141"/>
          <w:sz w:val="30"/>
          <w:szCs w:val="30"/>
          <w:shd w:val="clear" w:color="auto" w:fill="FFFFFF"/>
        </w:rPr>
        <w:br w:type="page"/>
      </w:r>
    </w:p>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5"/>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预算支出决策（项目立项）依据</w:t>
            </w:r>
          </w:p>
          <w:p>
            <w:pPr>
              <w:spacing w:line="240" w:lineRule="exact"/>
              <w:ind w:left="106" w:leftChars="50" w:right="106"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6" w:leftChars="50" w:right="106"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Pr>
                <w:rFonts w:ascii="宋体"/>
              </w:rPr>
            </w:pPr>
            <w:r>
              <w:rPr>
                <w:rFonts w:hint="eastAsia" w:ascii="宋体" w:hAnsi="宋体" w:cs="宋体"/>
              </w:rPr>
              <w:t>①预算支出是否按照规定的程序申请设立；</w:t>
            </w:r>
          </w:p>
          <w:p>
            <w:pPr>
              <w:spacing w:line="240" w:lineRule="exact"/>
              <w:ind w:left="106" w:leftChars="50"/>
              <w:rPr>
                <w:rFonts w:ascii="宋体"/>
              </w:rPr>
            </w:pPr>
            <w:r>
              <w:rPr>
                <w:rFonts w:hint="eastAsia" w:ascii="宋体" w:hAnsi="宋体" w:cs="宋体"/>
              </w:rPr>
              <w:t>②审批文件、材料是否符合相关要求；</w:t>
            </w:r>
          </w:p>
          <w:p>
            <w:pPr>
              <w:spacing w:line="240" w:lineRule="exact"/>
              <w:ind w:left="106"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绩效目标</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（如未设定预算绩效目标，也可考核其他工作任务目标）</w:t>
            </w:r>
          </w:p>
          <w:p>
            <w:pPr>
              <w:spacing w:line="240" w:lineRule="exact"/>
              <w:ind w:left="106" w:leftChars="50" w:right="106" w:rightChars="50"/>
              <w:rPr>
                <w:rFonts w:ascii="宋体"/>
              </w:rPr>
            </w:pPr>
            <w:r>
              <w:rPr>
                <w:rFonts w:hint="eastAsia" w:ascii="宋体" w:hAnsi="宋体" w:cs="宋体"/>
              </w:rPr>
              <w:t>①预算支出是否有绩效目标；</w:t>
            </w:r>
          </w:p>
          <w:p>
            <w:pPr>
              <w:spacing w:line="240" w:lineRule="exact"/>
              <w:ind w:left="106" w:leftChars="50" w:right="106" w:rightChars="50"/>
              <w:rPr>
                <w:rFonts w:ascii="宋体"/>
              </w:rPr>
            </w:pPr>
            <w:r>
              <w:rPr>
                <w:rFonts w:hint="eastAsia" w:ascii="宋体" w:hAnsi="宋体" w:cs="宋体"/>
              </w:rPr>
              <w:t>②预算支出绩效目标与实际工作内容是否具有相关性；</w:t>
            </w:r>
          </w:p>
          <w:p>
            <w:pPr>
              <w:spacing w:line="240" w:lineRule="exact"/>
              <w:ind w:left="106" w:leftChars="50" w:right="106"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绩效指标</w:t>
            </w:r>
          </w:p>
          <w:p>
            <w:pPr>
              <w:spacing w:line="240" w:lineRule="exact"/>
              <w:ind w:left="106" w:leftChars="50" w:right="106"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预算编制</w:t>
            </w:r>
          </w:p>
          <w:p>
            <w:pPr>
              <w:spacing w:line="240" w:lineRule="exact"/>
              <w:ind w:left="106" w:leftChars="50" w:right="106"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6" w:leftChars="50" w:right="106" w:rightChars="50"/>
              <w:rPr>
                <w:rFonts w:ascii="宋体"/>
              </w:rPr>
            </w:pPr>
            <w:r>
              <w:rPr>
                <w:rFonts w:hint="eastAsia" w:ascii="宋体" w:hAnsi="宋体" w:cs="宋体"/>
              </w:rPr>
              <w:t>评价要点：</w:t>
            </w:r>
          </w:p>
          <w:p>
            <w:pPr>
              <w:spacing w:line="220" w:lineRule="exact"/>
              <w:ind w:left="106" w:leftChars="50" w:right="106" w:rightChars="50"/>
              <w:rPr>
                <w:rFonts w:ascii="宋体"/>
              </w:rPr>
            </w:pPr>
            <w:r>
              <w:rPr>
                <w:rFonts w:hint="eastAsia" w:ascii="宋体" w:hAnsi="宋体" w:cs="宋体"/>
              </w:rPr>
              <w:t>①预算编制是否经过科学论证；</w:t>
            </w:r>
          </w:p>
          <w:p>
            <w:pPr>
              <w:spacing w:line="220" w:lineRule="exact"/>
              <w:ind w:left="106" w:leftChars="50" w:right="106" w:rightChars="50"/>
              <w:rPr>
                <w:rFonts w:ascii="宋体"/>
              </w:rPr>
            </w:pPr>
            <w:r>
              <w:rPr>
                <w:rFonts w:hint="eastAsia" w:ascii="宋体" w:hAnsi="宋体" w:cs="宋体"/>
              </w:rPr>
              <w:t>②预算内容与支出内容是否匹配；</w:t>
            </w:r>
          </w:p>
          <w:p>
            <w:pPr>
              <w:spacing w:line="220" w:lineRule="exact"/>
              <w:ind w:left="106" w:leftChars="50" w:right="106" w:rightChars="50"/>
              <w:rPr>
                <w:rFonts w:ascii="宋体"/>
              </w:rPr>
            </w:pPr>
            <w:r>
              <w:rPr>
                <w:rFonts w:hint="eastAsia" w:ascii="宋体" w:hAnsi="宋体" w:cs="宋体"/>
              </w:rPr>
              <w:t>③预算额度测算依据是否充分，是否按照标准编制；</w:t>
            </w:r>
          </w:p>
          <w:p>
            <w:pPr>
              <w:spacing w:line="220" w:lineRule="exact"/>
              <w:ind w:left="106" w:leftChars="50" w:right="106"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资金分配</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right="106" w:rightChars="50" w:firstLine="106" w:firstLineChars="50"/>
              <w:rPr>
                <w:rFonts w:ascii="宋体"/>
              </w:rPr>
            </w:pPr>
            <w:r>
              <w:rPr>
                <w:rFonts w:hint="eastAsia" w:ascii="宋体" w:hAnsi="宋体" w:cs="宋体"/>
              </w:rPr>
              <w:t>①预算资金分配依据是否充分；</w:t>
            </w:r>
          </w:p>
          <w:p>
            <w:pPr>
              <w:spacing w:line="240" w:lineRule="exact"/>
              <w:ind w:left="106" w:leftChars="50" w:right="106"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w:t>
            </w:r>
          </w:p>
          <w:p>
            <w:pPr>
              <w:spacing w:line="240" w:lineRule="exact"/>
              <w:ind w:left="106" w:leftChars="50" w:right="106"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w:t>
            </w:r>
          </w:p>
          <w:p>
            <w:pPr>
              <w:spacing w:line="240" w:lineRule="exact"/>
              <w:ind w:left="106" w:leftChars="50" w:right="106"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6" w:leftChars="50" w:right="106"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资金使用</w:t>
            </w:r>
          </w:p>
          <w:p>
            <w:pPr>
              <w:spacing w:line="240" w:lineRule="exact"/>
              <w:ind w:left="106" w:leftChars="50" w:right="106"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6" w:rightChars="50" w:firstLine="106" w:firstLineChars="50"/>
              <w:rPr>
                <w:rFonts w:ascii="宋体"/>
              </w:rPr>
            </w:pPr>
            <w:r>
              <w:rPr>
                <w:rFonts w:hint="eastAsia" w:ascii="宋体" w:hAnsi="宋体" w:cs="宋体"/>
              </w:rPr>
              <w:t>②资金的拨付是否有完整的审批程序和手续；</w:t>
            </w:r>
          </w:p>
          <w:p>
            <w:pPr>
              <w:spacing w:line="240" w:lineRule="exact"/>
              <w:ind w:right="106" w:rightChars="50" w:firstLine="106" w:firstLineChars="50"/>
              <w:rPr>
                <w:rFonts w:ascii="宋体"/>
              </w:rPr>
            </w:pPr>
            <w:r>
              <w:rPr>
                <w:rFonts w:hint="eastAsia" w:ascii="宋体" w:hAnsi="宋体" w:cs="宋体"/>
              </w:rPr>
              <w:t>③是否符合预算支出预算批复或合同规定的用途；</w:t>
            </w:r>
          </w:p>
          <w:p>
            <w:pPr>
              <w:spacing w:line="240" w:lineRule="exact"/>
              <w:ind w:left="106" w:leftChars="50" w:right="106"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管理制度</w:t>
            </w:r>
          </w:p>
          <w:p>
            <w:pPr>
              <w:spacing w:line="240" w:lineRule="exact"/>
              <w:ind w:left="106" w:leftChars="50" w:right="106"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制度执行</w:t>
            </w:r>
          </w:p>
          <w:p>
            <w:pPr>
              <w:spacing w:line="240" w:lineRule="exact"/>
              <w:ind w:left="106" w:leftChars="50" w:right="106"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实际</w:t>
            </w:r>
          </w:p>
          <w:p>
            <w:pPr>
              <w:spacing w:line="240" w:lineRule="exact"/>
              <w:ind w:left="106" w:leftChars="50" w:right="106"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质量</w:t>
            </w:r>
          </w:p>
          <w:p>
            <w:pPr>
              <w:spacing w:line="240" w:lineRule="exact"/>
              <w:ind w:left="106" w:leftChars="50" w:right="106"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8.5</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完成</w:t>
            </w:r>
          </w:p>
          <w:p>
            <w:pPr>
              <w:spacing w:line="240" w:lineRule="exact"/>
              <w:ind w:left="106" w:leftChars="50" w:right="106"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成本</w:t>
            </w:r>
          </w:p>
          <w:p>
            <w:pPr>
              <w:spacing w:line="240" w:lineRule="exact"/>
              <w:ind w:left="106" w:leftChars="50" w:right="106"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社会公众</w:t>
            </w:r>
          </w:p>
          <w:p>
            <w:pPr>
              <w:spacing w:line="240" w:lineRule="exact"/>
              <w:ind w:left="106" w:leftChars="50" w:right="106"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6" w:leftChars="50" w:right="106" w:rightChars="50"/>
              <w:jc w:val="center"/>
              <w:rPr>
                <w:rFonts w:ascii="宋体"/>
              </w:rPr>
            </w:pPr>
            <w:r>
              <w:rPr>
                <w:rFonts w:hint="eastAsia" w:ascii="宋体" w:hAnsi="宋体" w:cs="宋体"/>
              </w:rPr>
              <w:t>象满意度</w:t>
            </w:r>
          </w:p>
        </w:tc>
        <w:tc>
          <w:tcPr>
            <w:tcW w:w="540" w:type="dxa"/>
            <w:vAlign w:val="center"/>
          </w:tcPr>
          <w:p>
            <w:pPr>
              <w:spacing w:line="240" w:lineRule="exact"/>
              <w:ind w:left="106" w:leftChars="50" w:right="106"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p>
        </w:tc>
        <w:tc>
          <w:tcPr>
            <w:tcW w:w="540" w:type="dxa"/>
            <w:vAlign w:val="center"/>
          </w:tcPr>
          <w:p>
            <w:pPr>
              <w:spacing w:line="240" w:lineRule="exact"/>
              <w:ind w:left="106" w:leftChars="50" w:right="106" w:rightChars="50"/>
              <w:jc w:val="center"/>
              <w:rPr>
                <w:rFonts w:ascii="宋体"/>
              </w:rPr>
            </w:pPr>
            <w:r>
              <w:rPr>
                <w:rFonts w:hint="eastAsia" w:ascii="宋体"/>
              </w:rPr>
              <w:t>96</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p>
        </w:tc>
      </w:tr>
    </w:tbl>
    <w:p>
      <w:pPr>
        <w:pStyle w:val="3"/>
        <w:rPr>
          <w:rFonts w:hint="default" w:ascii="仿宋" w:hAnsi="仿宋" w:eastAsia="仿宋" w:cs="仿宋"/>
          <w:sz w:val="30"/>
          <w:szCs w:val="30"/>
          <w:lang w:val="en-US" w:eastAsia="zh-CN"/>
        </w:rPr>
        <w:sectPr>
          <w:pgSz w:w="11906" w:h="16838"/>
          <w:pgMar w:top="1134" w:right="1531" w:bottom="1134" w:left="1531" w:header="851" w:footer="992" w:gutter="0"/>
          <w:cols w:space="0" w:num="1"/>
          <w:rtlGutter w:val="0"/>
          <w:docGrid w:type="linesAndChars" w:linePitch="312" w:charSpace="532"/>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6A0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2023-06-18T05:04:59Z</dcterms:created>
  <dc:creator>admin-3</dc:creator>
  <cp:lastModifiedBy>admin-3</cp:lastModifiedBy>
  <dcterms:modified xsi:type="dcterms:W3CDTF">2023-06-18T05:05:24Z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EBA8DC84E2544391AD14D48FF479593F_12</vt:lpwstr>
  </property>
</Properties>
</file>