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益阳市</w:t>
      </w:r>
      <w:r>
        <w:rPr>
          <w:rFonts w:hint="eastAsia" w:ascii="黑体" w:hAnsi="黑体" w:eastAsia="黑体" w:cs="黑体"/>
          <w:b w:val="0"/>
          <w:bCs/>
          <w:sz w:val="36"/>
          <w:szCs w:val="36"/>
        </w:rPr>
        <w:t>赫山区2021年商品粮大省奖励资金</w:t>
      </w:r>
    </w:p>
    <w:p>
      <w:pPr>
        <w:keepNext w:val="0"/>
        <w:keepLines w:val="0"/>
        <w:pageBreakBefore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项目支出</w:t>
      </w:r>
      <w:r>
        <w:rPr>
          <w:rFonts w:hint="eastAsia" w:ascii="黑体" w:hAnsi="黑体" w:eastAsia="黑体" w:cs="黑体"/>
          <w:b w:val="0"/>
          <w:bCs/>
          <w:sz w:val="36"/>
          <w:szCs w:val="36"/>
        </w:rPr>
        <w:t>绩效自评报告</w:t>
      </w: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为全面推进预算绩效管理，提升资金使用效益，根据上级部门开展绩效评价的通知，我局对2021年商品粮大省奖励资金进行了绩效自评，现将具体情况报告如下:</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282828"/>
          <w:kern w:val="0"/>
          <w:sz w:val="30"/>
          <w:szCs w:val="30"/>
        </w:rPr>
      </w:pPr>
      <w:r>
        <w:rPr>
          <w:rFonts w:hint="eastAsia" w:ascii="黑体" w:hAnsi="黑体" w:eastAsia="黑体" w:cs="黑体"/>
          <w:color w:val="282828"/>
          <w:kern w:val="0"/>
          <w:sz w:val="30"/>
          <w:szCs w:val="30"/>
        </w:rPr>
        <w:t>一、项目背景及实施目的</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地处湘中偏北、洞庭南缘、资水尾闾，总面积1279平方公里，其中耕地面积72.68万亩（含高新区），总人口86.4万，属典型的农业大区，常年粮食播种面积在110万亩左右，总产量过10亿斤，是全国产粮大县、重要商品粮生产基地，多次获评全国粮食生产先进县、全省粮食生产标兵县。2021年，我区深入贯彻落实习近平总书记关于粮食生产的重要指示精神，采取有效措施，全力抓好粮食生产，确保全区防疫工作和粮食生产两手抓、两不误，为实现全年粮食生产大丰收、稳住农业基本盘打牢基础。</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282828"/>
          <w:kern w:val="0"/>
          <w:sz w:val="30"/>
          <w:szCs w:val="30"/>
        </w:rPr>
      </w:pPr>
      <w:r>
        <w:rPr>
          <w:rFonts w:hint="eastAsia" w:ascii="黑体" w:hAnsi="黑体" w:eastAsia="黑体" w:cs="黑体"/>
          <w:color w:val="282828"/>
          <w:kern w:val="0"/>
          <w:sz w:val="30"/>
          <w:szCs w:val="30"/>
        </w:rPr>
        <w:t>二、项目管理情况</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（一）加强组织领导。</w:t>
      </w:r>
      <w:r>
        <w:rPr>
          <w:rFonts w:hint="eastAsia" w:ascii="仿宋" w:hAnsi="仿宋" w:eastAsia="仿宋" w:cs="仿宋"/>
          <w:sz w:val="30"/>
          <w:szCs w:val="30"/>
        </w:rPr>
        <w:t>严格落实粮食生产党委、政府领导负责制，成立区委书记任第一组长、区长任组长的粮食生产领导小组，各乡镇（街道、园区）均相应成立粮食生产领导小组，形成三级书记亲自抓、分管领导具体抓、一级抓一级、层层抓落实的责任体系，高位推进粮食生产工作。区委区政府多次召开各层面专题会议，出台《关于切实抓紧抓牢2021年粮食生产工作的决定》《赫山区2021年度粮食生产工作考核办法》《赫山区2021年早稻集中育秧补贴方案》，全面研究部署、推进2021年粮食生产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（二）强化责任落实。</w:t>
      </w:r>
      <w:r>
        <w:rPr>
          <w:rFonts w:hint="eastAsia" w:ascii="仿宋" w:hAnsi="仿宋" w:eastAsia="仿宋" w:cs="仿宋"/>
          <w:sz w:val="30"/>
          <w:szCs w:val="30"/>
        </w:rPr>
        <w:t>将全年粮食生产任务细化分解到各乡镇和相关街道、园区，建立区级领导联系乡镇、乡镇领导包村、村干部包组、组长党员干部包户的包干责任制；各乡镇（相关街道、园区）与区委政府签订粮食生产责任状，建立全区四级道路沿线种养三级责任制，全面压紧压实区镇村三级和部门单位、种粮大户的责任，特别是对早稻播种不及时区域，由分管区级领导牵头、相关责任单位现场领办，合力抓好工作落实，实现保面积、保产量、保先进的“三保”目标。</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（三）加强宣传引导。</w:t>
      </w:r>
      <w:r>
        <w:rPr>
          <w:rFonts w:hint="eastAsia" w:ascii="仿宋" w:hAnsi="仿宋" w:eastAsia="仿宋" w:cs="仿宋"/>
          <w:sz w:val="30"/>
          <w:szCs w:val="30"/>
        </w:rPr>
        <w:t>全民全域开展广泛宣传，采用“村村响”广播、移动喇叭、宣传资料、微信、宣传标语等多种形式，出动宣传车220多次余台，发放宣传资料3.6万份，大型宣传标语14条，墙体宣传标语50余条，宣传横幅600多条，实现宣传发动全覆盖。加强典型经验做法的对外宣传，人民日报、湖南日报、湖南卫视、湖南经视等省级以上主流媒体对我区粮食生产予以典型推介报道。</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（四）加大考核奖惩。</w:t>
      </w:r>
      <w:r>
        <w:rPr>
          <w:rFonts w:hint="eastAsia" w:ascii="仿宋" w:hAnsi="仿宋" w:eastAsia="仿宋" w:cs="仿宋"/>
          <w:sz w:val="30"/>
          <w:szCs w:val="30"/>
        </w:rPr>
        <w:t>将全年粮食生产纳入全区绩效考核内容，实行绩效考核倒扣分，并与村干部换届、绩效工资、评先评优“三挂钩”。在粮食生产关键环节开展专项督查，特别是4月份，区农业农村局对各乡镇早稻生产情况进行专项督查。对粮食生产先进乡镇（街道、园区）、村、主体进行表彰奖励。</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282828"/>
          <w:kern w:val="0"/>
          <w:sz w:val="30"/>
          <w:szCs w:val="30"/>
        </w:rPr>
      </w:pPr>
      <w:r>
        <w:rPr>
          <w:rFonts w:hint="eastAsia" w:ascii="黑体" w:hAnsi="黑体" w:eastAsia="黑体" w:cs="黑体"/>
          <w:color w:val="282828"/>
          <w:kern w:val="0"/>
          <w:sz w:val="30"/>
          <w:szCs w:val="30"/>
        </w:rPr>
        <w:t>三、项目实施内容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2021年，中央财政安排我区的商品粮大省奖励资金，按照上级政策要求，全部用于支持我区粮食生产。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机插机抛秧作业补贴。资金主要用帮助农机作业服务主体做好集中育秧、机具采购和机具售后维修等工作，辐射带动更多农民开展机插机抛作业，加快补齐水稻机械化栽植短板。</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农业社会化服务补贴。支持全区家庭农场、专业化服务组织等新型主体开展社会化服务，实现周边散户在不流转耕地条件下规模化经营，积极发展代育秧、代耕整、代抛插、代管理、代防治、代收运、代烘干、代仓储、代加工、代销售“十代”模式托管服务，扩大社会化服务覆盖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rPr>
        <w:t>3、集中育秧补贴。重点支持全区1385个开展了集中育秧的种粮大户、种粮合作社、专业化组织等对象，扭转水稻直播在我区漫延的局面，提升双季稻生产水平，促进粮食生产稳定发展。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乡镇、村发展粮食生产补助。一是补助行政村。对今年以村组为单位发展粮食生产，完成了粮食生产重点区域既定任务的进行补助。二是补助16个农业乡镇。在今年粮食生产中，统筹乡级财政资金用于支持粮食生产乡镇进行补助，调动属地政府发展粮食生产积极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育秧服务中心建设。在交通便利的传统双季稻区，支持1家农业经营主体建设高标准育秧服务中心，将现代环境调控技术、施肥灌溉技术、信息管理技术使用于秧苗生产过程，打造全省最高标准育秧服务中心，实现育苗的规模化生产，解决传统水稻育秧存在的出苗率低、出苗不整齐、秧苗素质不佳、产量不稳等问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shd w:val="clear" w:color="auto" w:fill="FFFFFF"/>
        </w:rPr>
      </w:pPr>
      <w:r>
        <w:rPr>
          <w:rFonts w:hint="eastAsia" w:ascii="黑体" w:hAnsi="黑体" w:eastAsia="黑体" w:cs="黑体"/>
          <w:kern w:val="0"/>
          <w:sz w:val="30"/>
          <w:szCs w:val="30"/>
        </w:rPr>
        <w:t>四、</w:t>
      </w:r>
      <w:r>
        <w:rPr>
          <w:rFonts w:hint="eastAsia" w:ascii="黑体" w:hAnsi="黑体" w:eastAsia="黑体" w:cs="黑体"/>
          <w:kern w:val="0"/>
          <w:sz w:val="30"/>
          <w:szCs w:val="30"/>
          <w:shd w:val="clear" w:color="auto" w:fill="FFFFFF"/>
        </w:rPr>
        <w:t>项目支出情况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 xml:space="preserve">2021年我区商品粮大省奖励资金1069.21万元，按文件规定全部用于支持粮食生产方面。其中，用于机插机抛秧作业补贴80万元，占全部资金的7.48%；用于农业社会化服务补贴60万元，占全部资金的5.61%,用于集中育秧补贴285万元，占全部资金的26.65%；用于育秧服务中心建设补贴400万元，占全部资金的37.41%；用于乡、村两级发展粮食生产补助244.21万元，占全部资金的22.84%。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color w:val="282828"/>
          <w:kern w:val="0"/>
          <w:sz w:val="30"/>
          <w:szCs w:val="30"/>
          <w:shd w:val="clear" w:color="auto" w:fill="FFFFFF"/>
        </w:rPr>
      </w:pPr>
      <w:r>
        <w:rPr>
          <w:rFonts w:hint="eastAsia" w:ascii="黑体" w:hAnsi="黑体" w:eastAsia="黑体" w:cs="黑体"/>
          <w:color w:val="282828"/>
          <w:kern w:val="0"/>
          <w:sz w:val="30"/>
          <w:szCs w:val="30"/>
          <w:shd w:val="clear" w:color="auto" w:fill="FFFFFF"/>
        </w:rPr>
        <w:t>五、绩效分析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（一）产出指标完成情况分析</w:t>
      </w:r>
    </w:p>
    <w:p>
      <w:pPr>
        <w:keepNext w:val="0"/>
        <w:keepLines w:val="0"/>
        <w:pageBreakBefore w:val="0"/>
        <w:tabs>
          <w:tab w:val="left" w:pos="0"/>
        </w:tabs>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rPr>
        <w:t>1</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数量指标完成情况。2021年我区</w:t>
      </w:r>
      <w:r>
        <w:rPr>
          <w:rFonts w:hint="eastAsia" w:ascii="仿宋" w:hAnsi="仿宋" w:eastAsia="仿宋" w:cs="仿宋"/>
          <w:sz w:val="30"/>
          <w:szCs w:val="30"/>
        </w:rPr>
        <w:t>全面组织发动和积极扶持农户发展粮食生产，全年共完成粮食播种面积105.01万亩，其中早稻播种面积42.03万亩，晚稻44.54万亩，旱粮5.16万多亩，一季稻13.28万多亩。鼓励和积极扶种粮大户（社会化服务组织）开展早稻集中育秧，带动全区专业化集中育秧可插大田面积达20.5万亩，超省定任务6万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质量指标完成情况。</w:t>
      </w:r>
      <w:r>
        <w:rPr>
          <w:rFonts w:hint="eastAsia" w:ascii="仿宋" w:hAnsi="仿宋" w:eastAsia="仿宋" w:cs="仿宋"/>
          <w:sz w:val="30"/>
          <w:szCs w:val="30"/>
        </w:rPr>
        <w:t>大力推广“早专晚优”种植模式，早稻推广加工型中早39、中嘉早17、株两优819等品种，晚稻推广米质达到国标二等及以上的农香42、华润2号、玉晶91等高档优质晚稻品种，整村整乡（镇）推广高档优质稻生产，并严格实行一片一种，建设绿色、优质、专用的“赫山兰溪大米”地标产品原料基地，全区共发展高档优质稻超50万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时效指标完成情况。我区粮食生产3月初制定并落实发展粮食生产意见并下达任务，整个项目各项工作顺利开展，按时完成了各项目标任务，项目计划完成率达100%。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（一）效益指标完成情况分析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rPr>
        <w:t>1</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经济效益指标完成情况。</w:t>
      </w:r>
      <w:r>
        <w:rPr>
          <w:rFonts w:hint="eastAsia" w:ascii="仿宋" w:hAnsi="仿宋" w:eastAsia="仿宋" w:cs="仿宋"/>
          <w:sz w:val="30"/>
          <w:szCs w:val="30"/>
        </w:rPr>
        <w:t>全区水稻采取全程机械化栽培模式，配合绿肥-秸秆协同土壤培肥提质技术、专业化集中育秧、测土配方施肥、赤眼蜂+诱蛾灯+性诱剂绿色防控技术等多项配套技术措施。经现场测产和实地调查，平均早稻亩产415.7公斤，一季稻亩产588.6公斤、晚稻亩产455.4公斤，经专家组计算，较上年度节本增效108元/亩。</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环境效益指标完成情况。粮食生产中应用示范推广测土配方施肥技术、水稻病虫草害绿色防控技术，较非示范区亩平农药使用量减少10%，化肥使用量减少3%，减少了农业面源污染，保护了农业生态环境，促进了农业绿色发展，生态效益良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满意度指标完成情况分析。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发展粮食生产过程中，相关部门对每个种粮大户都落实了1名干部具体负责技术指导，实行全程跟踪保姆式服务，随时随地解决在生产过程中出现的一切问题，做到了技术指导到位，技术服务到位，群众满意度高达95%以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color w:val="282828"/>
          <w:kern w:val="0"/>
          <w:sz w:val="30"/>
          <w:szCs w:val="30"/>
          <w:shd w:val="clear" w:color="auto" w:fill="FFFFFF"/>
        </w:rPr>
      </w:pPr>
      <w:r>
        <w:rPr>
          <w:rFonts w:hint="eastAsia" w:ascii="黑体" w:hAnsi="黑体" w:eastAsia="黑体" w:cs="黑体"/>
          <w:color w:val="282828"/>
          <w:kern w:val="0"/>
          <w:sz w:val="30"/>
          <w:szCs w:val="30"/>
          <w:shd w:val="clear" w:color="auto" w:fill="FFFFFF"/>
        </w:rPr>
        <w:t>六、存在的问题和建议</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（一）存在问题。</w:t>
      </w:r>
      <w:r>
        <w:rPr>
          <w:rFonts w:hint="eastAsia" w:ascii="仿宋" w:hAnsi="仿宋" w:eastAsia="仿宋" w:cs="仿宋"/>
          <w:sz w:val="30"/>
          <w:szCs w:val="30"/>
        </w:rPr>
        <w:t>今年我区出台诸多政策和奖惩措施，区、乡、村层层进行推进，粮食播种面积较去年稳定增长。但实际发现有不少农户种植双季稻积极性不高，且受稻田重金属污染等影响，种粮效益不高的情况，地方行政推动没能从根本上提高农户种植双季稻积极性。</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（二）建议。</w:t>
      </w:r>
      <w:r>
        <w:rPr>
          <w:rFonts w:hint="eastAsia" w:ascii="仿宋" w:hAnsi="仿宋" w:eastAsia="仿宋" w:cs="仿宋"/>
          <w:sz w:val="30"/>
          <w:szCs w:val="30"/>
        </w:rPr>
        <w:t>建议适当增加我区商品粮大省奖励资金，进一步加大对农民补贴力度，充分调动农民种粮积极性。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附件：2021年度项目支出绩效自评指标计分表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widowControl/>
        <w:jc w:val="left"/>
        <w:rPr>
          <w:rFonts w:ascii="仿宋_GB2312" w:hAnsi="楷体" w:eastAsia="仿宋_GB2312" w:cs="仿宋_GB2312"/>
          <w:sz w:val="32"/>
          <w:szCs w:val="32"/>
        </w:rPr>
      </w:pPr>
      <w:r>
        <w:rPr>
          <w:rFonts w:ascii="仿宋_GB2312" w:hAnsi="楷体" w:eastAsia="仿宋_GB2312" w:cs="仿宋_GB2312"/>
          <w:sz w:val="32"/>
          <w:szCs w:val="32"/>
        </w:rPr>
        <w:br w:type="page"/>
      </w:r>
    </w:p>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vAlign w:val="center"/>
          </w:tcPr>
          <w:p>
            <w:pPr>
              <w:spacing w:line="240" w:lineRule="exact"/>
              <w:ind w:left="105" w:leftChars="50" w:right="105" w:rightChars="50"/>
              <w:jc w:val="center"/>
              <w:rPr>
                <w:rFonts w:ascii="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vAlign w:val="center"/>
          </w:tcPr>
          <w:p>
            <w:pPr>
              <w:spacing w:line="240" w:lineRule="exact"/>
              <w:ind w:left="105" w:leftChars="50" w:right="105" w:rightChars="50"/>
              <w:jc w:val="center"/>
              <w:rPr>
                <w:rFonts w:ascii="宋体"/>
              </w:rPr>
            </w:pPr>
            <w:r>
              <w:rPr>
                <w:rFonts w:hint="eastAsia" w:ascii="宋体"/>
              </w:rPr>
              <w:t>97</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243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2023-06-18T05:03:02Z</dcterms:created>
  <dc:creator>admin-3</dc:creator>
  <cp:lastModifiedBy>admin-3</cp:lastModifiedBy>
  <dcterms:modified xsi:type="dcterms:W3CDTF">2023-06-18T05:03:17Z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E36E7CB3DCEB424D8E17F7106F016AE2_12</vt:lpwstr>
  </property>
</Properties>
</file>