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Cs/>
          <w:color w:val="000000"/>
          <w:kern w:val="0"/>
          <w:sz w:val="36"/>
          <w:szCs w:val="36"/>
        </w:rPr>
      </w:pPr>
      <w:r>
        <w:rPr>
          <w:rFonts w:hint="eastAsia" w:ascii="黑体" w:hAnsi="黑体" w:eastAsia="黑体" w:cs="黑体"/>
          <w:bCs/>
          <w:color w:val="000000"/>
          <w:kern w:val="0"/>
          <w:sz w:val="36"/>
          <w:szCs w:val="36"/>
          <w:lang w:val="en-US" w:eastAsia="zh-CN"/>
        </w:rPr>
        <w:t>益阳市赫山区教育系统（汇总）</w:t>
      </w:r>
      <w:r>
        <w:rPr>
          <w:rFonts w:hint="eastAsia" w:ascii="黑体" w:hAnsi="黑体" w:eastAsia="黑体" w:cs="黑体"/>
          <w:bCs/>
          <w:color w:val="000000"/>
          <w:kern w:val="0"/>
          <w:sz w:val="36"/>
          <w:szCs w:val="36"/>
        </w:rPr>
        <w:t>2021年度部门</w:t>
      </w:r>
    </w:p>
    <w:p>
      <w:pPr>
        <w:jc w:val="center"/>
        <w:rPr>
          <w:rFonts w:cs="黑体" w:asciiTheme="minorEastAsia" w:hAnsiTheme="minorEastAsia"/>
          <w:b/>
          <w:color w:val="000000"/>
          <w:kern w:val="0"/>
          <w:sz w:val="32"/>
          <w:szCs w:val="32"/>
        </w:rPr>
      </w:pPr>
      <w:r>
        <w:rPr>
          <w:rFonts w:hint="eastAsia" w:ascii="黑体" w:hAnsi="黑体" w:eastAsia="黑体" w:cs="黑体"/>
          <w:bCs/>
          <w:color w:val="000000"/>
          <w:kern w:val="0"/>
          <w:sz w:val="36"/>
          <w:szCs w:val="36"/>
        </w:rPr>
        <w:t>整体支出绩效评价报告</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根据《益阳市赫山区人民政府关于全面推进预算绩效管理的实施意见》（益赫政发〔2016〕10号）、《益阳市赫山区财政办关于转发〈湖南省预算绩效管理工作规程（试行）的通知》（益赫财绩〔2017〕85号）等有关文件精神，本着独立、客观、公正、科学的原则，按照公认的绩效评价方法，我局积极组织，对2021年度</w:t>
      </w:r>
      <w:r>
        <w:rPr>
          <w:rFonts w:hint="eastAsia" w:ascii="仿宋" w:eastAsia="仿宋" w:cs="Times New Roman"/>
          <w:kern w:val="0"/>
          <w:sz w:val="30"/>
          <w:szCs w:val="30"/>
          <w:lang w:eastAsia="zh-CN"/>
        </w:rPr>
        <w:t>本系统</w:t>
      </w:r>
      <w:r>
        <w:rPr>
          <w:rFonts w:hint="eastAsia" w:ascii="仿宋" w:eastAsia="仿宋" w:cs="Times New Roman"/>
          <w:kern w:val="0"/>
          <w:sz w:val="30"/>
          <w:szCs w:val="30"/>
        </w:rPr>
        <w:t>整体支出进行了绩效自评，现将具体绩效评价情况报告如下：</w:t>
      </w:r>
    </w:p>
    <w:p>
      <w:pPr>
        <w:spacing w:line="570" w:lineRule="exact"/>
        <w:ind w:firstLine="600" w:firstLineChars="200"/>
        <w:rPr>
          <w:rFonts w:ascii="黑体" w:eastAsia="黑体" w:cs="Times New Roman"/>
          <w:kern w:val="0"/>
          <w:sz w:val="30"/>
          <w:szCs w:val="30"/>
        </w:rPr>
      </w:pPr>
      <w:r>
        <w:rPr>
          <w:rFonts w:hint="eastAsia" w:ascii="黑体" w:eastAsia="黑体" w:cs="Times New Roman"/>
          <w:kern w:val="0"/>
          <w:sz w:val="30"/>
          <w:szCs w:val="30"/>
        </w:rPr>
        <w:t>一、基本情况</w:t>
      </w:r>
    </w:p>
    <w:p>
      <w:pPr>
        <w:pStyle w:val="5"/>
        <w:spacing w:line="600" w:lineRule="exact"/>
        <w:ind w:left="420" w:leftChars="200" w:firstLine="0" w:firstLineChars="0"/>
        <w:jc w:val="left"/>
        <w:rPr>
          <w:rFonts w:ascii="仿宋" w:hAnsi="仿宋" w:eastAsia="仿宋" w:cs="仿宋"/>
          <w:sz w:val="30"/>
          <w:szCs w:val="30"/>
        </w:rPr>
      </w:pPr>
      <w:r>
        <w:rPr>
          <w:rFonts w:hint="eastAsia" w:ascii="仿宋" w:hAnsi="仿宋" w:eastAsia="仿宋" w:cs="仿宋"/>
          <w:b/>
          <w:bCs/>
          <w:sz w:val="30"/>
          <w:szCs w:val="30"/>
        </w:rPr>
        <w:t>（一）职能职责</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1.益阳市赫山区教育系统贯彻国家的教育方针，执行教育工作法律法规和政策，端正办学思想和教育思想。</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2.遵循教育教学规律，拟订学校改革与发展规划并组织实施教育体制和办学体制改革。</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3.管理和指导学校教育教学工作，不断提高办学水平。</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4.全面实施义务教育，推进义务教育均衡发展，促进教育公平，确保普及九年义务教育工作成果。</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5.全面推进全区普通高中教育、学前教育和特殊教育工作，推动素质教育全面实施。</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6.大力发展职业教育，培养专业技能人才。</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7.尊重和爱护教师，对教职工思想、工作、生活上的实际困难及时解决，负责和指导教师的思想政治工作，规划学校品德教育、体育卫生教育、艺术教育和国防教育工作。</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8.管理并使用好教育预算内、外资金、实行财务的审计、检查和监督，加强师资队伍建设。</w:t>
      </w:r>
    </w:p>
    <w:p>
      <w:pPr>
        <w:widowControl/>
        <w:spacing w:line="600" w:lineRule="exact"/>
        <w:ind w:firstLine="602" w:firstLineChars="200"/>
        <w:rPr>
          <w:rFonts w:ascii="仿宋" w:hAnsi="仿宋" w:eastAsia="仿宋" w:cs="仿宋"/>
          <w:b/>
          <w:kern w:val="0"/>
          <w:sz w:val="30"/>
          <w:szCs w:val="30"/>
        </w:rPr>
      </w:pPr>
      <w:r>
        <w:rPr>
          <w:rFonts w:hint="eastAsia" w:ascii="仿宋" w:hAnsi="仿宋" w:eastAsia="仿宋" w:cs="仿宋"/>
          <w:b/>
          <w:kern w:val="0"/>
          <w:sz w:val="30"/>
          <w:szCs w:val="30"/>
        </w:rPr>
        <w:t>（</w:t>
      </w:r>
      <w:r>
        <w:rPr>
          <w:rFonts w:hint="eastAsia" w:ascii="仿宋" w:hAnsi="仿宋" w:eastAsia="仿宋" w:cs="仿宋"/>
          <w:b/>
          <w:kern w:val="0"/>
          <w:sz w:val="30"/>
          <w:szCs w:val="30"/>
          <w:lang w:val="en-US" w:eastAsia="zh-CN"/>
        </w:rPr>
        <w:t>二</w:t>
      </w:r>
      <w:r>
        <w:rPr>
          <w:rFonts w:hint="eastAsia" w:ascii="仿宋" w:hAnsi="仿宋" w:eastAsia="仿宋" w:cs="仿宋"/>
          <w:b/>
          <w:kern w:val="0"/>
          <w:sz w:val="30"/>
          <w:szCs w:val="30"/>
        </w:rPr>
        <w:t>）机构设置</w:t>
      </w:r>
      <w:r>
        <w:rPr>
          <w:rFonts w:hint="eastAsia" w:ascii="仿宋" w:hAnsi="仿宋" w:eastAsia="仿宋" w:cs="仿宋"/>
          <w:b/>
          <w:kern w:val="0"/>
          <w:sz w:val="30"/>
          <w:szCs w:val="30"/>
          <w:lang w:val="en-US" w:eastAsia="zh-CN"/>
        </w:rPr>
        <w:t>及人员编制</w:t>
      </w:r>
      <w:r>
        <w:rPr>
          <w:rFonts w:hint="eastAsia" w:ascii="仿宋" w:hAnsi="仿宋" w:eastAsia="仿宋" w:cs="仿宋"/>
          <w:b/>
          <w:kern w:val="0"/>
          <w:sz w:val="30"/>
          <w:szCs w:val="30"/>
        </w:rPr>
        <w:t>情况</w:t>
      </w:r>
    </w:p>
    <w:p>
      <w:pPr>
        <w:widowControl/>
        <w:spacing w:line="600" w:lineRule="exact"/>
        <w:rPr>
          <w:rFonts w:hint="eastAsia" w:ascii="仿宋" w:hAnsi="仿宋" w:eastAsia="仿宋" w:cs="仿宋"/>
          <w:bCs/>
          <w:kern w:val="0"/>
          <w:sz w:val="30"/>
          <w:szCs w:val="30"/>
          <w:lang w:eastAsia="zh-CN"/>
        </w:rPr>
      </w:pPr>
      <w:r>
        <w:rPr>
          <w:rFonts w:hint="eastAsia" w:ascii="仿宋" w:hAnsi="仿宋" w:eastAsia="仿宋" w:cs="仿宋"/>
          <w:bCs/>
          <w:kern w:val="0"/>
          <w:sz w:val="30"/>
          <w:szCs w:val="30"/>
          <w:lang w:eastAsia="zh-CN"/>
        </w:rPr>
        <w:t>赫山区教育局（系统）下设以下机构：</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lang w:val="en-US" w:eastAsia="zh-CN"/>
        </w:rPr>
        <w:t>1.</w:t>
      </w:r>
      <w:r>
        <w:rPr>
          <w:rFonts w:hint="eastAsia" w:ascii="仿宋" w:hAnsi="仿宋" w:eastAsia="仿宋" w:cs="仿宋"/>
          <w:bCs/>
          <w:kern w:val="0"/>
          <w:sz w:val="30"/>
          <w:szCs w:val="30"/>
        </w:rPr>
        <w:t>益阳市赫山区教育局（本级）</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2.益阳市赫山区教育科学研究培训中心</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3.益阳市赫山区仪器电教站</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4.益阳市赫山区教育局体育卫生保健所</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5.益阳市赫山实验学校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6.益阳市朝阳中心学校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7.益阳市赫山区直属机关幼儿园</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8.益阳市赫山区赫山中学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9.益阳市三里桥小学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10.益阳市赫山第一完全小学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11.益阳市赫山区龙岭学校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12.益阳市泥江口镇中心学校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13.益阳市桃花仑小学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14.益阳市曙光小学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15.益阳师范附属小学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16.益阳市赫山第二完全小学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17.益阳市金银山学校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18.益阳市龙光桥镇中心学校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19.益阳市沧水铺镇中心学校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20.益阳市兰溪镇中心学校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21.益阳市黄泥湖学校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22.益阳市卫生职业技术学校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23.益阳市八字哨镇中心学校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24.益阳市岳家桥镇中心学校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25.益阳市笔架山乡中心学校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26.益阳市新市渡镇中心学校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27.益阳市衡龙桥镇中心学校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28.益阳市综合职业中等专业学校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29.益阳市第十三中学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30.益阳市第十六中学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31.益阳市第十五中学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32.益阳市箴言中学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33.益阳市第十七中学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34.益阳市秀峰路学校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35.益阳市欧江岔镇中心学校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36.益阳市泉交河镇中心学校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37.益阳市龙洲幼儿园</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38.益阳市志溪河学校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39.益阳市谢林港镇中心学校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40.益阳市龙洲中学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41.益阳市梓山湖学校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42.益阳市龙洲小学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43.益阳市迎宾小学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44.益阳市赫山区梓山苑小学</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45.益阳市赫山区紫竹学校</w:t>
      </w:r>
    </w:p>
    <w:p>
      <w:pPr>
        <w:widowControl/>
        <w:spacing w:line="600" w:lineRule="exact"/>
        <w:ind w:firstLine="600" w:firstLineChars="200"/>
        <w:rPr>
          <w:rFonts w:hint="eastAsia" w:ascii="仿宋" w:hAnsi="仿宋" w:eastAsia="仿宋" w:cs="仿宋"/>
          <w:bCs/>
          <w:kern w:val="0"/>
          <w:sz w:val="30"/>
          <w:szCs w:val="30"/>
        </w:rPr>
      </w:pPr>
      <w:r>
        <w:rPr>
          <w:rFonts w:hint="eastAsia" w:ascii="仿宋" w:hAnsi="仿宋" w:eastAsia="仿宋" w:cs="仿宋"/>
          <w:bCs/>
          <w:kern w:val="0"/>
          <w:sz w:val="30"/>
          <w:szCs w:val="30"/>
        </w:rPr>
        <w:t>46.益阳市赫山区丁香小学</w:t>
      </w:r>
    </w:p>
    <w:p>
      <w:pPr>
        <w:widowControl/>
        <w:spacing w:line="600" w:lineRule="exact"/>
        <w:ind w:firstLine="602" w:firstLineChars="200"/>
        <w:rPr>
          <w:rFonts w:ascii="仿宋" w:hAnsi="仿宋" w:eastAsia="仿宋" w:cs="仿宋"/>
          <w:bCs/>
          <w:kern w:val="0"/>
          <w:sz w:val="30"/>
          <w:szCs w:val="30"/>
        </w:rPr>
      </w:pPr>
      <w:r>
        <w:rPr>
          <w:rFonts w:hint="eastAsia" w:ascii="仿宋" w:hAnsi="仿宋" w:eastAsia="仿宋" w:cs="仿宋"/>
          <w:b/>
          <w:bCs w:val="0"/>
          <w:kern w:val="0"/>
          <w:sz w:val="30"/>
          <w:szCs w:val="30"/>
          <w:lang w:eastAsia="zh-CN"/>
        </w:rPr>
        <w:t>人员编制情况</w:t>
      </w:r>
      <w:r>
        <w:rPr>
          <w:rFonts w:hint="eastAsia" w:ascii="仿宋" w:hAnsi="仿宋" w:eastAsia="仿宋" w:cs="仿宋"/>
          <w:bCs/>
          <w:kern w:val="0"/>
          <w:sz w:val="30"/>
          <w:szCs w:val="30"/>
          <w:lang w:eastAsia="zh-CN"/>
        </w:rPr>
        <w:t>：教育系统现有在职教师 6159 人（其中自收自支人员 95 人），离退休教师 4676 人，共计 10835 人，财政负担享受遗属补助人数 621人</w:t>
      </w:r>
      <w:r>
        <w:rPr>
          <w:rFonts w:hint="eastAsia" w:ascii="仿宋" w:hAnsi="仿宋" w:eastAsia="仿宋" w:cs="仿宋"/>
          <w:bCs/>
          <w:kern w:val="0"/>
          <w:sz w:val="30"/>
          <w:szCs w:val="30"/>
        </w:rPr>
        <w:t>。</w:t>
      </w:r>
    </w:p>
    <w:p>
      <w:pPr>
        <w:shd w:val="clear" w:color="auto" w:fill="FFFFFF"/>
        <w:wordWrap w:val="0"/>
        <w:spacing w:line="600" w:lineRule="exact"/>
        <w:ind w:firstLine="600" w:firstLineChars="200"/>
        <w:rPr>
          <w:rFonts w:hint="eastAsia" w:ascii="仿宋" w:hAnsi="仿宋" w:eastAsia="仿宋" w:cs="仿宋"/>
          <w:b/>
          <w:bCs/>
          <w:kern w:val="0"/>
          <w:sz w:val="30"/>
          <w:szCs w:val="30"/>
        </w:rPr>
      </w:pPr>
      <w:r>
        <w:rPr>
          <w:rFonts w:hint="eastAsia" w:ascii="黑体" w:hAnsi="黑体" w:eastAsia="黑体" w:cs="黑体"/>
          <w:bCs/>
          <w:color w:val="333333"/>
          <w:sz w:val="30"/>
          <w:szCs w:val="30"/>
        </w:rPr>
        <w:t>二、一般公共预算支出情况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（一）基本支出情况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color w:val="333333"/>
          <w:sz w:val="30"/>
          <w:szCs w:val="30"/>
        </w:rPr>
        <w:t>227</w:t>
      </w:r>
      <w:r>
        <w:rPr>
          <w:rFonts w:hint="eastAsia" w:ascii="仿宋" w:hAnsi="仿宋" w:eastAsia="仿宋" w:cs="仿宋"/>
          <w:color w:val="333333"/>
          <w:sz w:val="30"/>
          <w:szCs w:val="30"/>
          <w:lang w:val="en-US" w:eastAsia="zh-CN"/>
        </w:rPr>
        <w:t>2.12</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一般公共预算基本支出2245</w:t>
      </w:r>
      <w:r>
        <w:rPr>
          <w:rFonts w:hint="eastAsia" w:ascii="仿宋" w:hAnsi="仿宋" w:eastAsia="仿宋" w:cs="仿宋"/>
          <w:color w:val="333333"/>
          <w:sz w:val="30"/>
          <w:szCs w:val="30"/>
          <w:lang w:val="en-US" w:eastAsia="zh-CN"/>
        </w:rPr>
        <w:t>.61</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增加26.51万元，</w:t>
      </w:r>
      <w:r>
        <w:rPr>
          <w:rFonts w:hint="eastAsia" w:ascii="仿宋" w:hAnsi="仿宋" w:eastAsia="仿宋" w:cs="仿宋"/>
          <w:color w:val="333333"/>
          <w:sz w:val="30"/>
          <w:szCs w:val="30"/>
        </w:rPr>
        <w:t>增加1.</w:t>
      </w:r>
      <w:r>
        <w:rPr>
          <w:rFonts w:hint="eastAsia" w:ascii="仿宋" w:hAnsi="仿宋" w:eastAsia="仿宋" w:cs="仿宋"/>
          <w:color w:val="333333"/>
          <w:sz w:val="30"/>
          <w:szCs w:val="30"/>
          <w:lang w:val="en-US" w:eastAsia="zh-CN"/>
        </w:rPr>
        <w:t>18</w:t>
      </w:r>
      <w:r>
        <w:rPr>
          <w:rFonts w:hint="eastAsia" w:ascii="仿宋" w:hAnsi="仿宋" w:eastAsia="仿宋" w:cs="仿宋"/>
          <w:color w:val="333333"/>
          <w:sz w:val="30"/>
          <w:szCs w:val="30"/>
        </w:rPr>
        <w:t>%，</w:t>
      </w:r>
      <w:r>
        <w:rPr>
          <w:rFonts w:hint="eastAsia" w:ascii="仿宋" w:hAnsi="仿宋" w:eastAsia="仿宋" w:cs="仿宋"/>
          <w:color w:val="333333"/>
          <w:sz w:val="30"/>
          <w:szCs w:val="30"/>
          <w:lang w:val="en-US" w:eastAsia="zh-CN"/>
        </w:rPr>
        <w:t>主要原因是教师工资调标、学生人数增加，人员经费和公用经费增加</w:t>
      </w:r>
      <w:r>
        <w:rPr>
          <w:rFonts w:hint="eastAsia" w:ascii="仿宋" w:hAnsi="仿宋" w:eastAsia="仿宋" w:cs="仿宋"/>
          <w:color w:val="333333"/>
          <w:sz w:val="30"/>
          <w:szCs w:val="30"/>
        </w:rPr>
        <w:t>。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（二）项目支出情况</w:t>
      </w:r>
    </w:p>
    <w:p>
      <w:pPr>
        <w:shd w:val="clear" w:color="auto" w:fill="FFFFFF"/>
        <w:spacing w:line="600" w:lineRule="exact"/>
        <w:ind w:firstLine="600" w:firstLineChars="200"/>
        <w:jc w:val="left"/>
        <w:rPr>
          <w:rFonts w:ascii="仿宋" w:hAnsi="仿宋" w:eastAsia="仿宋" w:cs="仿宋"/>
          <w:kern w:val="0"/>
          <w:sz w:val="30"/>
          <w:szCs w:val="30"/>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w:t>
      </w:r>
      <w:r>
        <w:rPr>
          <w:rFonts w:hint="eastAsia" w:ascii="仿宋" w:hAnsi="仿宋" w:eastAsia="仿宋" w:cs="仿宋"/>
          <w:color w:val="333333"/>
          <w:sz w:val="30"/>
          <w:szCs w:val="30"/>
        </w:rPr>
        <w:t>186</w:t>
      </w:r>
      <w:r>
        <w:rPr>
          <w:rFonts w:hint="eastAsia" w:ascii="仿宋" w:hAnsi="仿宋" w:eastAsia="仿宋" w:cs="仿宋"/>
          <w:color w:val="333333"/>
          <w:sz w:val="30"/>
          <w:szCs w:val="30"/>
          <w:lang w:val="en-US" w:eastAsia="zh-CN"/>
        </w:rPr>
        <w:t>6.10</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val="en-US" w:eastAsia="zh-CN"/>
        </w:rPr>
        <w:t>较上年</w:t>
      </w:r>
      <w:r>
        <w:rPr>
          <w:rFonts w:hint="eastAsia" w:ascii="仿宋" w:hAnsi="仿宋" w:eastAsia="仿宋" w:cs="仿宋"/>
          <w:color w:val="333333"/>
          <w:sz w:val="30"/>
          <w:szCs w:val="30"/>
        </w:rPr>
        <w:t>一般公共预算项目支出218</w:t>
      </w:r>
      <w:r>
        <w:rPr>
          <w:rFonts w:hint="eastAsia" w:ascii="仿宋" w:hAnsi="仿宋" w:eastAsia="仿宋" w:cs="仿宋"/>
          <w:color w:val="333333"/>
          <w:sz w:val="30"/>
          <w:szCs w:val="30"/>
          <w:lang w:val="en-US" w:eastAsia="zh-CN"/>
        </w:rPr>
        <w:t>4.17</w:t>
      </w:r>
      <w:r>
        <w:rPr>
          <w:rFonts w:hint="eastAsia" w:ascii="仿宋" w:hAnsi="仿宋" w:eastAsia="仿宋" w:cs="仿宋"/>
          <w:color w:val="333333"/>
          <w:sz w:val="30"/>
          <w:szCs w:val="30"/>
        </w:rPr>
        <w:t>万元</w:t>
      </w:r>
      <w:r>
        <w:rPr>
          <w:rFonts w:hint="eastAsia" w:ascii="仿宋" w:hAnsi="仿宋" w:eastAsia="仿宋" w:cs="仿宋"/>
          <w:color w:val="333333"/>
          <w:sz w:val="30"/>
          <w:szCs w:val="30"/>
          <w:lang w:eastAsia="zh-CN"/>
        </w:rPr>
        <w:t>，</w:t>
      </w:r>
      <w:r>
        <w:rPr>
          <w:rFonts w:hint="eastAsia" w:ascii="仿宋" w:hAnsi="仿宋" w:eastAsia="仿宋" w:cs="仿宋"/>
          <w:color w:val="333333"/>
          <w:sz w:val="30"/>
          <w:szCs w:val="30"/>
          <w:lang w:val="en-US" w:eastAsia="zh-CN"/>
        </w:rPr>
        <w:t>减少318.07万元，</w:t>
      </w:r>
      <w:r>
        <w:rPr>
          <w:rFonts w:hint="eastAsia" w:ascii="仿宋" w:hAnsi="仿宋" w:eastAsia="仿宋" w:cs="仿宋"/>
          <w:color w:val="333333"/>
          <w:sz w:val="30"/>
          <w:szCs w:val="30"/>
        </w:rPr>
        <w:t>减少</w:t>
      </w:r>
      <w:r>
        <w:rPr>
          <w:rFonts w:hint="eastAsia" w:ascii="仿宋" w:hAnsi="仿宋" w:eastAsia="仿宋" w:cs="仿宋"/>
          <w:color w:val="333333"/>
          <w:sz w:val="30"/>
          <w:szCs w:val="30"/>
          <w:lang w:val="en-US" w:eastAsia="zh-CN"/>
        </w:rPr>
        <w:t>14.56</w:t>
      </w:r>
      <w:r>
        <w:rPr>
          <w:rFonts w:hint="eastAsia" w:ascii="仿宋" w:hAnsi="仿宋" w:eastAsia="仿宋" w:cs="仿宋"/>
          <w:color w:val="333333"/>
          <w:sz w:val="30"/>
          <w:szCs w:val="30"/>
        </w:rPr>
        <w:t>%，减少的主要原因是</w:t>
      </w:r>
      <w:r>
        <w:rPr>
          <w:rFonts w:hint="eastAsia" w:ascii="仿宋" w:hAnsi="仿宋" w:eastAsia="仿宋" w:cs="仿宋"/>
          <w:color w:val="333333"/>
          <w:sz w:val="30"/>
          <w:szCs w:val="30"/>
          <w:lang w:eastAsia="zh-CN"/>
        </w:rPr>
        <w:t>：。箴言龙光桥学校和芙蓉学校建设项目已完工，年度内无大型建设、维修项目资金。</w:t>
      </w:r>
    </w:p>
    <w:p>
      <w:pPr>
        <w:spacing w:line="600" w:lineRule="exact"/>
        <w:ind w:firstLine="600" w:firstLineChars="200"/>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val="en-US" w:eastAsia="zh-CN"/>
        </w:rPr>
        <w:t>三、</w:t>
      </w:r>
      <w:r>
        <w:rPr>
          <w:rFonts w:hint="eastAsia" w:ascii="黑体" w:hAnsi="黑体" w:eastAsia="黑体" w:cs="黑体"/>
          <w:b w:val="0"/>
          <w:bCs w:val="0"/>
          <w:kern w:val="0"/>
          <w:sz w:val="30"/>
          <w:szCs w:val="30"/>
        </w:rPr>
        <w:t>部门整体支出绩效目标</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市委、市政府重点工作指标：</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预决算公开：根据区财政局的统一部署及相关要求，我局已在赫山信息网站上进行了预（决）算公开。</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存量资金管理：我局已实行国库集中支付管理。</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资产管理：建立了固定资产台帐，指定专人管理，及时登记，科学使用，实现了“一物一卡一条码”。固定资产的折旧、购入、调出、处置、报废、报损严格执行国家有关规定的审批程序办理。</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“三公”经费控制：2021年，教育局系统“三公”经费支出17.82万元，其中：公务用车运行维护费0.25万元，公务接待费17.57万元，无出国出境费。</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内部控制制度建设：2021年，我局制定了《赫山区教育局机关管理制度》、《机关财务管理制度》、《系统财务管理制度》《赫山区教育局物资采购制度》、《内部审计制度》等一系列内部控制制度，相关制度合法合规、完整，并得到有效执行。</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绩效目标完成情况：</w:t>
      </w:r>
    </w:p>
    <w:p>
      <w:pPr>
        <w:spacing w:line="600" w:lineRule="exact"/>
        <w:ind w:firstLine="600" w:firstLineChars="200"/>
        <w:rPr>
          <w:rFonts w:hint="eastAsia" w:ascii="黑体" w:hAnsi="黑体" w:eastAsia="黑体" w:cs="黑体"/>
          <w:b w:val="0"/>
          <w:bCs w:val="0"/>
          <w:kern w:val="0"/>
          <w:sz w:val="30"/>
          <w:szCs w:val="30"/>
        </w:rPr>
      </w:pPr>
      <w:r>
        <w:rPr>
          <w:rFonts w:hint="eastAsia" w:ascii="黑体" w:hAnsi="黑体" w:eastAsia="黑体" w:cs="黑体"/>
          <w:b w:val="0"/>
          <w:bCs w:val="0"/>
          <w:kern w:val="0"/>
          <w:sz w:val="30"/>
          <w:szCs w:val="30"/>
          <w:lang w:val="en-US" w:eastAsia="zh-CN"/>
        </w:rPr>
        <w:t>四、</w:t>
      </w:r>
      <w:r>
        <w:rPr>
          <w:rFonts w:hint="eastAsia" w:ascii="黑体" w:hAnsi="黑体" w:eastAsia="黑体" w:cs="黑体"/>
          <w:b w:val="0"/>
          <w:bCs w:val="0"/>
          <w:kern w:val="0"/>
          <w:sz w:val="30"/>
          <w:szCs w:val="30"/>
        </w:rPr>
        <w:t>部门整体支出实施情况分析</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我局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p>
    <w:p>
      <w:pPr>
        <w:spacing w:line="570" w:lineRule="exact"/>
        <w:ind w:firstLine="600" w:firstLineChars="200"/>
        <w:rPr>
          <w:rFonts w:ascii="黑体" w:eastAsia="黑体" w:cs="Times New Roman"/>
          <w:kern w:val="0"/>
          <w:sz w:val="30"/>
          <w:szCs w:val="30"/>
        </w:rPr>
      </w:pPr>
      <w:r>
        <w:rPr>
          <w:rFonts w:hint="eastAsia" w:ascii="黑体" w:eastAsia="黑体" w:cs="Times New Roman"/>
          <w:kern w:val="0"/>
          <w:sz w:val="30"/>
          <w:szCs w:val="30"/>
          <w:lang w:val="en-US" w:eastAsia="zh-CN"/>
        </w:rPr>
        <w:t>五、</w:t>
      </w:r>
      <w:r>
        <w:rPr>
          <w:rFonts w:hint="eastAsia" w:ascii="黑体" w:eastAsia="黑体" w:cs="Times New Roman"/>
          <w:kern w:val="0"/>
          <w:sz w:val="30"/>
          <w:szCs w:val="30"/>
        </w:rPr>
        <w:t>绩效评价工作情况</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（一）绩效评价目的</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本次绩效评价的目的是为了全面分析和综合评价</w:t>
      </w:r>
      <w:r>
        <w:rPr>
          <w:rFonts w:hint="eastAsia" w:ascii="仿宋" w:hAnsi="仿宋" w:eastAsia="仿宋" w:cs="仿宋"/>
          <w:kern w:val="0"/>
          <w:sz w:val="30"/>
          <w:szCs w:val="30"/>
          <w:lang w:eastAsia="zh-CN"/>
        </w:rPr>
        <w:t>本系统</w:t>
      </w:r>
      <w:r>
        <w:rPr>
          <w:rFonts w:hint="eastAsia" w:ascii="仿宋" w:hAnsi="仿宋" w:eastAsia="仿宋" w:cs="仿宋"/>
          <w:kern w:val="0"/>
          <w:sz w:val="30"/>
          <w:szCs w:val="30"/>
        </w:rPr>
        <w:t>本级财政预算资金的使用管理情况，为切实提高财政资金使用效益，强化预算支出的责任和效率提供参考依据。</w:t>
      </w:r>
    </w:p>
    <w:p>
      <w:pPr>
        <w:spacing w:line="6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（二）绩效评价工作过程</w:t>
      </w:r>
    </w:p>
    <w:p>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1.前期准备。按照绩效自评工作要求，成立了以任长青局长为组长的绩效评价工作小组，于6月15日前完成现场评价工作。现场绩效评价工作主要有：</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①核实数据。对2021年度部门整体支出数据的准确性、真实性进行核实，将2021年度和2020年度部门整体支出情况进行比较分析。</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②查阅资料。查阅2021年度预算安排、非税收入、预算追加、资金管理、经费支出、资产管理等相关文件资料和财务凭证。</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③实地查看。现场查看实物资产等。</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④发放调查问卷。对部门履行职责情况的公众满意度进行调查。</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⑤归纳汇总。对提供的材料及自评报告，结合现场评价情况进行综合分析、归纳汇总。</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⑥评价组对各项评价指标进行分析讨论。</w:t>
      </w:r>
    </w:p>
    <w:p>
      <w:pPr>
        <w:widowControl/>
        <w:snapToGrid w:val="0"/>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⑦形成绩效评价报告。</w:t>
      </w:r>
    </w:p>
    <w:p>
      <w:pPr>
        <w:spacing w:line="600" w:lineRule="exact"/>
        <w:ind w:firstLine="600" w:firstLineChars="200"/>
        <w:rPr>
          <w:rFonts w:ascii="仿宋" w:eastAsia="仿宋" w:cs="Times New Roman"/>
          <w:kern w:val="0"/>
          <w:sz w:val="30"/>
          <w:szCs w:val="30"/>
        </w:rPr>
      </w:pPr>
      <w:r>
        <w:rPr>
          <w:rFonts w:hint="eastAsia" w:ascii="黑体" w:eastAsia="黑体"/>
          <w:kern w:val="0"/>
          <w:sz w:val="30"/>
          <w:szCs w:val="30"/>
          <w:lang w:val="en-US" w:eastAsia="zh-CN"/>
        </w:rPr>
        <w:t>六、</w:t>
      </w:r>
      <w:r>
        <w:rPr>
          <w:rFonts w:hint="eastAsia" w:ascii="黑体" w:eastAsia="黑体"/>
          <w:kern w:val="0"/>
          <w:sz w:val="30"/>
          <w:szCs w:val="30"/>
        </w:rPr>
        <w:t>主要绩效及评价结论</w:t>
      </w:r>
    </w:p>
    <w:p>
      <w:pPr>
        <w:spacing w:line="600" w:lineRule="exact"/>
        <w:ind w:firstLine="602" w:firstLineChars="200"/>
        <w:rPr>
          <w:rFonts w:ascii="仿宋" w:eastAsia="仿宋" w:cs="Times New Roman"/>
          <w:b/>
          <w:bCs/>
          <w:kern w:val="0"/>
          <w:sz w:val="30"/>
          <w:szCs w:val="30"/>
        </w:rPr>
      </w:pPr>
      <w:r>
        <w:rPr>
          <w:rFonts w:hint="eastAsia" w:ascii="仿宋" w:eastAsia="仿宋" w:cs="Times New Roman"/>
          <w:b/>
          <w:bCs/>
          <w:kern w:val="0"/>
          <w:sz w:val="30"/>
          <w:szCs w:val="30"/>
        </w:rPr>
        <w:t>（一）不断提高全区教育均衡发展水平</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持续优化办学条件。2021年，投入4695万元，完成兰溪镇中心学校等43所学校维修改造，包括校舍维修（教学楼、师生住宿楼、食堂等）、校园提质改造（绿化、道路油化、校园文化等）、运动场提质改造等。新建衡龙桥镇学校教学综合楼，秀峰路学校综合楼、运动场和欧江岔镇牌口学校学生宿舍楼；加速推进箴言龙光桥学校改扩建工程和凤山小学、世通学校新建工程；全力推进沧水铺镇芙蓉学校建设，确保了2021年秋季投入使用。</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大力推进“一镇三优 一校一品”建设。重点支持每个乡镇建好一所初中、一所小学、一所幼儿园，促进新优质学校、品牌学校成长，努力缩小城乡教育差距，让乡镇孩子从幼儿园开始便能在家门口享受优质教育。目前，认定首批优质学校14所，确定优质品牌立项单位30个。</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推进教师专业化发展。组织遴选首席名师、卓越校（园）长、优秀教研员和骨干教师共100名，每个名师工作室配套工作经费3万元，首席名师另发放科研经费1000元/月，骨干教师另发放科研经费500元/月，切实提升教师专业化水平。。</w:t>
      </w:r>
    </w:p>
    <w:p>
      <w:pPr>
        <w:spacing w:line="600" w:lineRule="exact"/>
        <w:ind w:left="420" w:leftChars="200"/>
        <w:rPr>
          <w:rFonts w:ascii="仿宋" w:eastAsia="仿宋" w:cs="Times New Roman"/>
          <w:b/>
          <w:bCs/>
          <w:kern w:val="0"/>
          <w:sz w:val="30"/>
          <w:szCs w:val="30"/>
        </w:rPr>
      </w:pPr>
      <w:r>
        <w:rPr>
          <w:rFonts w:hint="eastAsia" w:ascii="仿宋" w:eastAsia="仿宋" w:cs="Times New Roman"/>
          <w:b/>
          <w:bCs/>
          <w:kern w:val="0"/>
          <w:sz w:val="30"/>
          <w:szCs w:val="30"/>
        </w:rPr>
        <w:t>（二）深入推进职业教育发展</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区职业教育中心建设项目已完成立项、选址、规划工作，并纳入全省重点建设项目库、全省首批楚怡学校建设项目范围。项目建成后，将实现市卫生职业技术学校和市综合职业中专整合并整体搬迁，预计提供学位7000个，完成年社会培训任务11000人次。</w:t>
      </w:r>
    </w:p>
    <w:p>
      <w:pPr>
        <w:spacing w:line="600" w:lineRule="exact"/>
        <w:ind w:firstLine="602" w:firstLineChars="200"/>
        <w:rPr>
          <w:rFonts w:ascii="仿宋" w:eastAsia="仿宋" w:cs="Times New Roman"/>
          <w:b/>
          <w:bCs/>
          <w:kern w:val="0"/>
          <w:sz w:val="30"/>
          <w:szCs w:val="30"/>
        </w:rPr>
      </w:pPr>
      <w:r>
        <w:rPr>
          <w:rFonts w:hint="eastAsia" w:ascii="仿宋" w:eastAsia="仿宋" w:cs="Times New Roman"/>
          <w:b/>
          <w:bCs/>
          <w:kern w:val="0"/>
          <w:sz w:val="30"/>
          <w:szCs w:val="30"/>
        </w:rPr>
        <w:t>（三）教育精准帮扶</w:t>
      </w:r>
    </w:p>
    <w:p>
      <w:pPr>
        <w:spacing w:line="600" w:lineRule="exact"/>
        <w:ind w:firstLine="600" w:firstLineChars="200"/>
        <w:rPr>
          <w:rFonts w:ascii="仿宋" w:eastAsia="仿宋" w:cs="Times New Roman"/>
          <w:kern w:val="0"/>
          <w:sz w:val="30"/>
          <w:szCs w:val="30"/>
        </w:rPr>
      </w:pPr>
      <w:r>
        <w:rPr>
          <w:rFonts w:hint="eastAsia" w:ascii="仿宋" w:eastAsia="仿宋" w:cs="Times New Roman"/>
          <w:kern w:val="0"/>
          <w:sz w:val="30"/>
          <w:szCs w:val="30"/>
        </w:rPr>
        <w:t>2021以来，在区主要领导的关心指导下，区教育局深入开展前期调研、广泛听取意见、充分研究论证，数易其稿，印发了《赫山区第二批教育精准帮工作任务分解表》（益赫办发电〔2021〕21号）。印发后我局积极对接各相关部门单位并深入帮扶学校开展工作调研，投入帮扶学校资金约700万元，如区交通局帮扶衡龙桥镇中心学校等6所学校完成道路拓宽、油化、操场硬化等项目；区城投公司帮扶泥江口镇樊家庙学校完成操场改造、新建门卫室等项目；区住建局帮扶欧江岔镇学校完成校舍改造、校园提质改造、运动场改造等项目。</w:t>
      </w:r>
    </w:p>
    <w:p>
      <w:pPr>
        <w:spacing w:line="600" w:lineRule="exact"/>
        <w:ind w:firstLine="602" w:firstLineChars="200"/>
        <w:rPr>
          <w:rFonts w:ascii="仿宋" w:eastAsia="仿宋" w:cs="Times New Roman"/>
          <w:b/>
          <w:bCs/>
          <w:sz w:val="30"/>
          <w:szCs w:val="30"/>
        </w:rPr>
      </w:pPr>
      <w:r>
        <w:rPr>
          <w:rFonts w:hint="eastAsia" w:ascii="仿宋" w:eastAsia="仿宋" w:cs="Times New Roman"/>
          <w:b/>
          <w:bCs/>
          <w:sz w:val="30"/>
          <w:szCs w:val="30"/>
        </w:rPr>
        <w:t>（四）推进学前教育发展，加强公办幼儿园建设</w:t>
      </w:r>
    </w:p>
    <w:p>
      <w:pPr>
        <w:spacing w:line="600" w:lineRule="exact"/>
        <w:ind w:firstLine="600" w:firstLineChars="200"/>
        <w:rPr>
          <w:rFonts w:ascii="仿宋" w:eastAsia="仿宋" w:cs="Times New Roman"/>
          <w:sz w:val="30"/>
          <w:szCs w:val="30"/>
        </w:rPr>
      </w:pPr>
      <w:r>
        <w:rPr>
          <w:rFonts w:hint="eastAsia" w:ascii="仿宋" w:eastAsia="仿宋" w:cs="Times New Roman"/>
          <w:sz w:val="30"/>
          <w:szCs w:val="30"/>
        </w:rPr>
        <w:t>建立学前教育经费保障机制。区财政将学前教育经费纳入财政预算，逐年加大了学前教育投入力度；筹备新建泥江口镇中心幼儿园。</w:t>
      </w:r>
    </w:p>
    <w:p>
      <w:pPr>
        <w:spacing w:line="600" w:lineRule="exact"/>
        <w:ind w:firstLine="600" w:firstLineChars="200"/>
        <w:rPr>
          <w:rFonts w:ascii="仿宋" w:eastAsia="仿宋" w:cs="Times New Roman"/>
          <w:sz w:val="30"/>
          <w:szCs w:val="30"/>
          <w:highlight w:val="yellow"/>
        </w:rPr>
      </w:pPr>
      <w:r>
        <w:rPr>
          <w:rFonts w:hint="eastAsia" w:ascii="仿宋" w:eastAsia="仿宋" w:cs="Times New Roman"/>
          <w:sz w:val="30"/>
          <w:szCs w:val="30"/>
        </w:rPr>
        <w:t>大力推进公办幼儿园硬件投入，将各级拨付学前教育专项资金全部用于全区公办幼儿园建设、维修改造、设施设备添置、玩教具定期更换等。</w:t>
      </w:r>
    </w:p>
    <w:p>
      <w:pPr>
        <w:spacing w:line="600" w:lineRule="exact"/>
        <w:ind w:firstLine="602" w:firstLineChars="200"/>
        <w:rPr>
          <w:rFonts w:ascii="仿宋" w:eastAsia="仿宋" w:cs="Times New Roman"/>
          <w:b/>
          <w:bCs/>
          <w:kern w:val="0"/>
          <w:sz w:val="30"/>
          <w:szCs w:val="30"/>
        </w:rPr>
      </w:pPr>
      <w:r>
        <w:rPr>
          <w:rFonts w:hint="eastAsia" w:ascii="仿宋" w:eastAsia="仿宋" w:cs="Times New Roman"/>
          <w:b/>
          <w:bCs/>
          <w:kern w:val="0"/>
          <w:sz w:val="30"/>
          <w:szCs w:val="30"/>
        </w:rPr>
        <w:t>（五）评价结论</w:t>
      </w:r>
    </w:p>
    <w:p>
      <w:pPr>
        <w:widowControl/>
        <w:snapToGrid w:val="0"/>
        <w:spacing w:line="600" w:lineRule="exact"/>
        <w:ind w:firstLine="600" w:firstLineChars="200"/>
        <w:rPr>
          <w:rFonts w:ascii="仿宋" w:eastAsia="仿宋" w:cs="宋体"/>
          <w:kern w:val="0"/>
          <w:sz w:val="30"/>
          <w:szCs w:val="30"/>
        </w:rPr>
      </w:pPr>
      <w:r>
        <w:rPr>
          <w:rFonts w:hint="eastAsia" w:ascii="仿宋" w:eastAsia="仿宋" w:cs="Times New Roman"/>
          <w:kern w:val="0"/>
          <w:sz w:val="30"/>
          <w:szCs w:val="30"/>
        </w:rPr>
        <w:t>1.</w:t>
      </w:r>
      <w:r>
        <w:rPr>
          <w:rFonts w:hint="eastAsia" w:ascii="仿宋" w:eastAsia="仿宋" w:cs="宋体"/>
          <w:kern w:val="0"/>
          <w:sz w:val="30"/>
          <w:szCs w:val="30"/>
        </w:rPr>
        <w:t>单位预算编制科学，民主理财、公开理财氛围浓厚，重大财务事项经由集体研究决策，财务制度健全。</w:t>
      </w:r>
    </w:p>
    <w:p>
      <w:pPr>
        <w:widowControl/>
        <w:snapToGrid w:val="0"/>
        <w:spacing w:line="600" w:lineRule="exact"/>
        <w:ind w:firstLine="600" w:firstLineChars="200"/>
        <w:rPr>
          <w:rFonts w:ascii="仿宋" w:eastAsia="仿宋" w:cs="宋体"/>
          <w:kern w:val="0"/>
          <w:sz w:val="30"/>
          <w:szCs w:val="30"/>
        </w:rPr>
      </w:pPr>
      <w:r>
        <w:rPr>
          <w:rFonts w:hint="eastAsia" w:ascii="仿宋" w:eastAsia="仿宋" w:cs="Times New Roman"/>
          <w:kern w:val="0"/>
          <w:sz w:val="30"/>
          <w:szCs w:val="30"/>
        </w:rPr>
        <w:t>2.预算执行方面。</w:t>
      </w:r>
      <w:r>
        <w:rPr>
          <w:rFonts w:hint="eastAsia" w:ascii="仿宋" w:eastAsia="仿宋" w:cs="宋体"/>
          <w:kern w:val="0"/>
          <w:sz w:val="30"/>
          <w:szCs w:val="30"/>
        </w:rPr>
        <w:t>区教育局经费开支</w:t>
      </w:r>
      <w:r>
        <w:rPr>
          <w:rFonts w:hint="eastAsia" w:ascii="仿宋" w:eastAsia="仿宋" w:cs="Times New Roman"/>
          <w:kern w:val="0"/>
          <w:sz w:val="30"/>
          <w:szCs w:val="30"/>
        </w:rPr>
        <w:t>严格</w:t>
      </w:r>
      <w:r>
        <w:rPr>
          <w:rFonts w:hint="eastAsia" w:ascii="仿宋" w:eastAsia="仿宋" w:cs="宋体"/>
          <w:kern w:val="0"/>
          <w:sz w:val="30"/>
          <w:szCs w:val="30"/>
        </w:rPr>
        <w:t>按预算执行，基本支出的日常财务管理工作由机关财务实行统一核算和统一管理，</w:t>
      </w:r>
      <w:r>
        <w:rPr>
          <w:rFonts w:hint="eastAsia" w:ascii="仿宋" w:eastAsia="仿宋" w:cs="Times New Roman"/>
          <w:kern w:val="0"/>
          <w:sz w:val="30"/>
          <w:szCs w:val="30"/>
        </w:rPr>
        <w:t>经费开支按用途使用合理，做到专帐专管,专款专用，</w:t>
      </w:r>
      <w:r>
        <w:rPr>
          <w:rFonts w:hint="eastAsia" w:ascii="仿宋" w:eastAsia="仿宋" w:cs="宋体"/>
          <w:kern w:val="0"/>
          <w:sz w:val="30"/>
          <w:szCs w:val="30"/>
        </w:rPr>
        <w:t>不铺张浪费，开源节流</w:t>
      </w:r>
      <w:r>
        <w:rPr>
          <w:rFonts w:hint="eastAsia" w:ascii="仿宋" w:eastAsia="仿宋" w:cs="Times New Roman"/>
          <w:kern w:val="0"/>
          <w:sz w:val="30"/>
          <w:szCs w:val="30"/>
        </w:rPr>
        <w:t>。 “三公”经费方面，</w:t>
      </w:r>
      <w:r>
        <w:rPr>
          <w:rFonts w:hint="eastAsia" w:ascii="仿宋" w:eastAsia="仿宋" w:cs="宋体"/>
          <w:kern w:val="0"/>
          <w:sz w:val="30"/>
          <w:szCs w:val="30"/>
        </w:rPr>
        <w:t>公务接待费及公务用车运行维护费用明显下降，2021年度区教育局没有一起出国出境考察的情况。</w:t>
      </w:r>
    </w:p>
    <w:p>
      <w:pPr>
        <w:widowControl/>
        <w:snapToGrid w:val="0"/>
        <w:spacing w:line="600" w:lineRule="exact"/>
        <w:ind w:firstLine="600" w:firstLineChars="200"/>
        <w:rPr>
          <w:rFonts w:ascii="仿宋" w:eastAsia="仿宋" w:cs="宋体"/>
          <w:kern w:val="0"/>
          <w:sz w:val="24"/>
          <w:szCs w:val="24"/>
        </w:rPr>
      </w:pPr>
      <w:r>
        <w:rPr>
          <w:rFonts w:hint="eastAsia" w:ascii="仿宋" w:eastAsia="仿宋" w:cs="Times New Roman"/>
          <w:kern w:val="0"/>
          <w:sz w:val="30"/>
          <w:szCs w:val="30"/>
        </w:rPr>
        <w:t>3.预算管理方面。我局制定了切实有效的内部管理制度和经费支出控制方案，有较强的内控风险管理意识、各项经费支出得到了有效控制。</w:t>
      </w:r>
    </w:p>
    <w:p>
      <w:pPr>
        <w:spacing w:line="57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lang w:val="en-US" w:eastAsia="zh-CN"/>
        </w:rPr>
        <w:t>七、</w:t>
      </w:r>
      <w:r>
        <w:rPr>
          <w:rFonts w:hint="eastAsia" w:ascii="黑体" w:hAnsi="黑体" w:eastAsia="黑体" w:cs="黑体"/>
          <w:kern w:val="0"/>
          <w:sz w:val="30"/>
          <w:szCs w:val="30"/>
        </w:rPr>
        <w:t>存在的问题</w:t>
      </w:r>
    </w:p>
    <w:p>
      <w:pPr>
        <w:spacing w:line="570" w:lineRule="exact"/>
        <w:ind w:firstLine="640" w:firstLineChars="200"/>
        <w:rPr>
          <w:rFonts w:ascii="仿宋" w:eastAsia="仿宋" w:cs="Times New Roman"/>
          <w:kern w:val="0"/>
          <w:sz w:val="32"/>
          <w:szCs w:val="32"/>
        </w:rPr>
      </w:pPr>
      <w:r>
        <w:rPr>
          <w:rFonts w:hint="eastAsia" w:ascii="仿宋" w:eastAsia="仿宋" w:cs="宋体"/>
          <w:kern w:val="0"/>
          <w:sz w:val="32"/>
          <w:szCs w:val="32"/>
        </w:rPr>
        <w:t>（一）</w:t>
      </w:r>
      <w:r>
        <w:rPr>
          <w:rFonts w:hint="eastAsia" w:ascii="仿宋" w:eastAsia="仿宋" w:cs="Times New Roman"/>
          <w:kern w:val="0"/>
          <w:sz w:val="32"/>
          <w:szCs w:val="32"/>
        </w:rPr>
        <w:t>因部分工作是年中或年末根据省市相关要求开展，未纳入年初预算，另外还有部分不可预见经费的追加，无法纳入预算，导致预算执行存在偏差。</w:t>
      </w:r>
    </w:p>
    <w:p>
      <w:pPr>
        <w:widowControl/>
        <w:snapToGrid w:val="0"/>
        <w:spacing w:line="570" w:lineRule="exact"/>
        <w:ind w:firstLine="640" w:firstLineChars="200"/>
        <w:rPr>
          <w:rFonts w:ascii="仿宋" w:eastAsia="仿宋" w:cs="宋体"/>
          <w:kern w:val="0"/>
          <w:sz w:val="30"/>
          <w:szCs w:val="30"/>
        </w:rPr>
      </w:pPr>
      <w:r>
        <w:rPr>
          <w:rFonts w:hint="eastAsia" w:ascii="仿宋" w:eastAsia="仿宋" w:cs="宋体"/>
          <w:kern w:val="0"/>
          <w:sz w:val="32"/>
          <w:szCs w:val="32"/>
        </w:rPr>
        <w:t>（二）</w:t>
      </w:r>
      <w:r>
        <w:rPr>
          <w:rFonts w:hint="eastAsia" w:ascii="仿宋" w:eastAsia="仿宋" w:cs="宋体"/>
          <w:kern w:val="0"/>
          <w:sz w:val="30"/>
          <w:szCs w:val="30"/>
        </w:rPr>
        <w:t>固定资产管理有待进一步规范。有些学校固定资产管理无专人负责，有些房屋建筑物尚未办理房屋产权证。</w:t>
      </w:r>
    </w:p>
    <w:p>
      <w:pPr>
        <w:spacing w:line="570" w:lineRule="exact"/>
        <w:ind w:firstLine="600" w:firstLineChars="200"/>
        <w:rPr>
          <w:rFonts w:ascii="黑体" w:hAnsi="黑体" w:eastAsia="黑体" w:cs="黑体"/>
          <w:kern w:val="0"/>
          <w:sz w:val="30"/>
          <w:szCs w:val="30"/>
        </w:rPr>
      </w:pPr>
      <w:r>
        <w:rPr>
          <w:rFonts w:hint="eastAsia" w:ascii="黑体" w:hAnsi="黑体" w:eastAsia="黑体" w:cs="黑体"/>
          <w:kern w:val="0"/>
          <w:sz w:val="30"/>
          <w:szCs w:val="30"/>
          <w:lang w:val="en-US" w:eastAsia="zh-CN"/>
        </w:rPr>
        <w:t>八、</w:t>
      </w:r>
      <w:r>
        <w:rPr>
          <w:rFonts w:hint="eastAsia" w:ascii="黑体" w:hAnsi="黑体" w:eastAsia="黑体" w:cs="黑体"/>
          <w:kern w:val="0"/>
          <w:sz w:val="30"/>
          <w:szCs w:val="30"/>
        </w:rPr>
        <w:t>有关建议</w:t>
      </w:r>
    </w:p>
    <w:p>
      <w:pPr>
        <w:spacing w:line="570" w:lineRule="exact"/>
        <w:ind w:firstLine="640" w:firstLineChars="200"/>
        <w:rPr>
          <w:rFonts w:ascii="仿宋" w:eastAsia="仿宋" w:cs="Times New Roman"/>
          <w:kern w:val="0"/>
          <w:sz w:val="32"/>
          <w:szCs w:val="32"/>
        </w:rPr>
      </w:pPr>
      <w:r>
        <w:rPr>
          <w:rFonts w:hint="eastAsia" w:ascii="仿宋" w:eastAsia="仿宋" w:cs="宋体"/>
          <w:kern w:val="0"/>
          <w:sz w:val="32"/>
          <w:szCs w:val="32"/>
        </w:rPr>
        <w:t>（一）</w:t>
      </w:r>
      <w:r>
        <w:rPr>
          <w:rFonts w:hint="eastAsia" w:ascii="仿宋" w:eastAsia="仿宋" w:cs="Times New Roman"/>
          <w:kern w:val="0"/>
          <w:sz w:val="32"/>
          <w:szCs w:val="32"/>
        </w:rPr>
        <w:t>科学合理编制预算，严格执行预算,避免年中大幅追加以及超预算。同时严格预算执行，提高资金使用效率。</w:t>
      </w:r>
      <w:r>
        <w:rPr>
          <w:rFonts w:hint="eastAsia" w:ascii="仿宋" w:eastAsia="仿宋" w:cs="宋体"/>
          <w:kern w:val="0"/>
          <w:sz w:val="32"/>
          <w:szCs w:val="32"/>
        </w:rPr>
        <w:t>进一步完善、明确和细化各项费用支出管理制度，严格控制招待费和各项费用支出。</w:t>
      </w:r>
    </w:p>
    <w:p>
      <w:pPr>
        <w:widowControl/>
        <w:snapToGrid w:val="0"/>
        <w:spacing w:line="570" w:lineRule="exact"/>
        <w:ind w:firstLine="640" w:firstLineChars="200"/>
        <w:rPr>
          <w:rFonts w:ascii="仿宋" w:eastAsia="仿宋" w:cs="宋体"/>
          <w:kern w:val="0"/>
          <w:sz w:val="24"/>
          <w:szCs w:val="24"/>
        </w:rPr>
      </w:pPr>
      <w:r>
        <w:rPr>
          <w:rFonts w:hint="eastAsia" w:ascii="仿宋" w:eastAsia="仿宋" w:cs="宋体"/>
          <w:kern w:val="0"/>
          <w:sz w:val="32"/>
          <w:szCs w:val="32"/>
        </w:rPr>
        <w:t>（二）加强固定资产的管理，配置专管部门和专管人员，对固定资产进行一次全面清查盘点，建立固定资产卡片，切实做到账卡相符、账物相符。</w:t>
      </w:r>
    </w:p>
    <w:p>
      <w:pPr>
        <w:widowControl/>
        <w:spacing w:line="480" w:lineRule="exact"/>
        <w:rPr>
          <w:rFonts w:ascii="方正小标宋简体" w:eastAsia="方正小标宋简体" w:cs="方正小标宋简体"/>
          <w:sz w:val="32"/>
          <w:szCs w:val="32"/>
        </w:rPr>
      </w:pPr>
    </w:p>
    <w:p>
      <w:pPr>
        <w:widowControl/>
        <w:snapToGrid w:val="0"/>
        <w:spacing w:line="570" w:lineRule="exact"/>
        <w:ind w:firstLine="640" w:firstLineChars="200"/>
        <w:rPr>
          <w:rFonts w:ascii="仿宋" w:eastAsia="仿宋" w:cs="宋体"/>
          <w:kern w:val="0"/>
          <w:sz w:val="32"/>
          <w:szCs w:val="32"/>
        </w:rPr>
      </w:pPr>
      <w:r>
        <w:rPr>
          <w:rFonts w:hint="eastAsia" w:ascii="仿宋" w:eastAsia="仿宋" w:cs="宋体"/>
          <w:kern w:val="0"/>
          <w:sz w:val="32"/>
          <w:szCs w:val="32"/>
        </w:rPr>
        <w:t>附件：2021年度部门整体支出绩效自评指标计分表</w:t>
      </w:r>
    </w:p>
    <w:p>
      <w:pPr>
        <w:widowControl/>
        <w:spacing w:line="480" w:lineRule="exact"/>
        <w:rPr>
          <w:rFonts w:ascii="方正小标宋简体" w:eastAsia="方正小标宋简体" w:cs="方正小标宋简体"/>
          <w:sz w:val="32"/>
          <w:szCs w:val="32"/>
        </w:rPr>
      </w:pPr>
      <w:bookmarkStart w:id="0" w:name="_GoBack"/>
      <w:bookmarkEnd w:id="0"/>
    </w:p>
    <w:p>
      <w:pPr>
        <w:widowControl/>
        <w:spacing w:line="480" w:lineRule="exact"/>
        <w:rPr>
          <w:rFonts w:ascii="方正小标宋简体" w:eastAsia="方正小标宋简体" w:cs="方正小标宋简体"/>
          <w:sz w:val="32"/>
          <w:szCs w:val="32"/>
        </w:rPr>
      </w:pPr>
    </w:p>
    <w:p>
      <w:pPr>
        <w:widowControl/>
        <w:spacing w:line="480" w:lineRule="exact"/>
        <w:jc w:val="center"/>
        <w:rPr>
          <w:rFonts w:ascii="方正小标宋简体" w:eastAsia="方正小标宋简体" w:cs="Times New Roman"/>
          <w:sz w:val="32"/>
          <w:szCs w:val="32"/>
        </w:rPr>
      </w:pPr>
      <w:r>
        <w:rPr>
          <w:rFonts w:hint="eastAsia" w:ascii="方正小标宋简体" w:eastAsia="方正小标宋简体" w:cs="方正小标宋简体"/>
          <w:sz w:val="32"/>
          <w:szCs w:val="32"/>
        </w:rPr>
        <w:t>21年度部门整体支出绩效自评指标计分表</w:t>
      </w:r>
    </w:p>
    <w:p>
      <w:pPr>
        <w:widowControl/>
        <w:spacing w:line="80" w:lineRule="exact"/>
        <w:rPr>
          <w:rFonts w:ascii="仿宋_GB2312" w:hAnsi="仿宋_GB2312" w:eastAsia="宋体" w:cs="Times New Roman"/>
          <w:szCs w:val="21"/>
        </w:rPr>
      </w:pPr>
    </w:p>
    <w:tbl>
      <w:tblPr>
        <w:tblStyle w:val="3"/>
        <w:tblW w:w="936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宋体"/>
                <w:szCs w:val="21"/>
              </w:rPr>
            </w:pPr>
            <w:r>
              <w:rPr>
                <w:rFonts w:hint="eastAsia" w:ascii="宋体" w:eastAsia="宋体" w:cs="宋体"/>
                <w:szCs w:val="21"/>
              </w:rPr>
              <w:t>一级</w:t>
            </w:r>
          </w:p>
          <w:p>
            <w:pPr>
              <w:widowControl/>
              <w:spacing w:line="240" w:lineRule="exact"/>
              <w:jc w:val="center"/>
              <w:rPr>
                <w:rFonts w:ascii="宋体" w:eastAsia="宋体" w:cs="Times New Roman"/>
                <w:szCs w:val="21"/>
              </w:rPr>
            </w:pPr>
            <w:r>
              <w:rPr>
                <w:rFonts w:hint="eastAsia" w:ascii="宋体" w:eastAsia="宋体" w:cs="宋体"/>
                <w:szCs w:val="21"/>
              </w:rPr>
              <w:t>指标</w:t>
            </w:r>
          </w:p>
        </w:tc>
        <w:tc>
          <w:tcPr>
            <w:tcW w:w="57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二级指标</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三级指标</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自评分</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指标解释</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widowControl/>
              <w:spacing w:line="240" w:lineRule="exact"/>
              <w:jc w:val="center"/>
              <w:rPr>
                <w:rFonts w:ascii="宋体" w:eastAsia="宋体" w:cs="Times New Roman"/>
                <w:szCs w:val="21"/>
              </w:rPr>
            </w:pPr>
            <w:r>
              <w:rPr>
                <w:rFonts w:hint="eastAsia" w:ascii="宋体" w:eastAsia="宋体" w:cs="宋体"/>
                <w:szCs w:val="21"/>
              </w:rPr>
              <w:t>投   入（20分）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宋体"/>
                <w:szCs w:val="21"/>
              </w:rPr>
            </w:pPr>
            <w:r>
              <w:rPr>
                <w:rFonts w:hint="eastAsia" w:ascii="宋体" w:eastAsia="宋体" w:cs="宋体"/>
                <w:szCs w:val="21"/>
              </w:rPr>
              <w:t>目标</w:t>
            </w:r>
          </w:p>
          <w:p>
            <w:pPr>
              <w:widowControl/>
              <w:spacing w:line="240" w:lineRule="exact"/>
              <w:jc w:val="center"/>
              <w:rPr>
                <w:rFonts w:ascii="宋体" w:eastAsia="宋体" w:cs="Times New Roman"/>
                <w:szCs w:val="21"/>
              </w:rPr>
            </w:pPr>
            <w:r>
              <w:rPr>
                <w:rFonts w:hint="eastAsia" w:ascii="宋体" w:eastAsia="宋体" w:cs="宋体"/>
                <w:szCs w:val="21"/>
              </w:rPr>
              <w:t>设定（5分）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绩效目标合理性（2分）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部门所设立的整体绩效目标依据是否充分，是否符合客观实际，用以反映和考核部门整体绩效目标与部门履职、年度工作任务的相符性情况。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pStyle w:val="6"/>
              <w:numPr>
                <w:ilvl w:val="0"/>
                <w:numId w:val="1"/>
              </w:numPr>
              <w:tabs>
                <w:tab w:val="clear" w:pos="0"/>
              </w:tabs>
              <w:spacing w:line="240" w:lineRule="exact"/>
              <w:ind w:firstLine="0" w:firstLineChars="0"/>
              <w:rPr>
                <w:rFonts w:ascii="宋体"/>
              </w:rPr>
            </w:pPr>
            <w:r>
              <w:rPr>
                <w:rFonts w:hint="eastAsia" w:ascii="宋体" w:cs="宋体"/>
              </w:rPr>
              <w:t>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绩效指标明确性（3分）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3</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部门依据整体绩效目标所设定的绩效指标是否清晰、细化、可衡量，用以反映和考核部门整体绩效目标的明细化情况。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rPr>
                <w:rFonts w:ascii="宋体" w:eastAsia="宋体" w:cs="Times New Roman"/>
                <w:szCs w:val="21"/>
              </w:rPr>
            </w:pPr>
            <w:r>
              <w:rPr>
                <w:rFonts w:hint="eastAsia" w:ascii="宋体" w:eastAsia="宋体" w:cs="宋体"/>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宋体"/>
                <w:szCs w:val="21"/>
              </w:rPr>
            </w:pPr>
            <w:r>
              <w:rPr>
                <w:rFonts w:hint="eastAsia" w:ascii="宋体" w:eastAsia="宋体" w:cs="宋体"/>
                <w:szCs w:val="21"/>
              </w:rPr>
              <w:t>预算</w:t>
            </w:r>
          </w:p>
          <w:p>
            <w:pPr>
              <w:widowControl/>
              <w:spacing w:line="240" w:lineRule="exact"/>
              <w:jc w:val="center"/>
              <w:rPr>
                <w:rFonts w:ascii="宋体" w:eastAsia="宋体" w:cs="Times New Roman"/>
                <w:szCs w:val="21"/>
              </w:rPr>
            </w:pPr>
            <w:r>
              <w:rPr>
                <w:rFonts w:hint="eastAsia" w:ascii="宋体" w:eastAsia="宋体" w:cs="宋体"/>
                <w:szCs w:val="21"/>
              </w:rPr>
              <w:t>配置（15分）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在职人员控制率（5分）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部门本年度实际在职人员数与编制数的比率，用以反映和考核部门对人员成本的控制程度。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rPr>
                <w:rFonts w:ascii="宋体" w:eastAsia="宋体" w:cs="Times New Roman"/>
                <w:szCs w:val="21"/>
              </w:rPr>
            </w:pPr>
            <w:r>
              <w:rPr>
                <w:rFonts w:hint="eastAsia" w:ascii="宋体" w:eastAsia="宋体" w:cs="宋体"/>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“三公经费”</w:t>
            </w:r>
          </w:p>
          <w:p>
            <w:pPr>
              <w:widowControl/>
              <w:spacing w:line="240" w:lineRule="exact"/>
              <w:jc w:val="center"/>
              <w:rPr>
                <w:rFonts w:ascii="宋体" w:eastAsia="宋体" w:cs="Times New Roman"/>
                <w:szCs w:val="21"/>
              </w:rPr>
            </w:pPr>
            <w:r>
              <w:rPr>
                <w:rFonts w:hint="eastAsia" w:ascii="宋体" w:eastAsia="宋体" w:cs="宋体"/>
                <w:szCs w:val="21"/>
              </w:rPr>
              <w:t>变动率（5分）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部门本年度“三公经费”预算数与上年度“三公经费”预算数的变动比率，用以反映和考核部门对控制重点行政成本的努力程度。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rPr>
                <w:rFonts w:ascii="宋体" w:eastAsia="宋体" w:cs="Times New Roman"/>
                <w:szCs w:val="21"/>
              </w:rPr>
            </w:pPr>
            <w:r>
              <w:rPr>
                <w:rFonts w:hint="eastAsia" w:ascii="宋体" w:eastAsia="宋体" w:cs="宋体"/>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重点支出安排率（5分）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部门本年度预算安排的重点项目支出与部门项目总支出的比率，用以反映和考核部门对履行主要职责或完成重点任务的保障程度。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rPr>
                <w:rFonts w:ascii="宋体" w:eastAsia="宋体" w:cs="Times New Roman"/>
                <w:szCs w:val="21"/>
              </w:rPr>
            </w:pPr>
            <w:r>
              <w:rPr>
                <w:rFonts w:hint="eastAsia" w:ascii="宋体" w:eastAsia="宋体" w:cs="宋体"/>
                <w:szCs w:val="21"/>
              </w:rPr>
              <w:t>重点支出安排率=（重点项目支出/项目总支出）×100%。实际得分=支出安排率*5分。重点项目支出：部门年度预算安排的，与</w:t>
            </w:r>
            <w:r>
              <w:rPr>
                <w:rFonts w:hint="eastAsia" w:ascii="宋体" w:eastAsia="宋体" w:cs="宋体"/>
                <w:szCs w:val="21"/>
                <w:lang w:eastAsia="zh-CN"/>
              </w:rPr>
              <w:t>本系统</w:t>
            </w:r>
            <w:r>
              <w:rPr>
                <w:rFonts w:hint="eastAsia" w:ascii="宋体" w:eastAsia="宋体" w:cs="宋体"/>
                <w:szCs w:val="21"/>
              </w:rPr>
              <w:t>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widowControl/>
              <w:spacing w:line="240" w:lineRule="exact"/>
              <w:jc w:val="center"/>
              <w:rPr>
                <w:rFonts w:ascii="宋体" w:eastAsia="宋体" w:cs="Times New Roman"/>
                <w:szCs w:val="21"/>
              </w:rPr>
            </w:pPr>
            <w:r>
              <w:rPr>
                <w:rFonts w:hint="eastAsia" w:ascii="宋体" w:eastAsia="宋体" w:cs="宋体"/>
                <w:szCs w:val="21"/>
              </w:rPr>
              <w:t>过             程（30分）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宋体"/>
                <w:szCs w:val="21"/>
              </w:rPr>
            </w:pPr>
            <w:r>
              <w:rPr>
                <w:rFonts w:hint="eastAsia" w:ascii="宋体" w:eastAsia="宋体" w:cs="宋体"/>
                <w:szCs w:val="21"/>
              </w:rPr>
              <w:t>预算</w:t>
            </w:r>
          </w:p>
          <w:p>
            <w:pPr>
              <w:widowControl/>
              <w:spacing w:line="240" w:lineRule="exact"/>
              <w:jc w:val="center"/>
              <w:rPr>
                <w:rFonts w:ascii="宋体" w:eastAsia="宋体" w:cs="Times New Roman"/>
                <w:szCs w:val="21"/>
              </w:rPr>
            </w:pPr>
            <w:r>
              <w:rPr>
                <w:rFonts w:hint="eastAsia" w:ascii="宋体" w:eastAsia="宋体" w:cs="宋体"/>
                <w:szCs w:val="21"/>
              </w:rPr>
              <w:t>执行</w:t>
            </w:r>
          </w:p>
          <w:p>
            <w:pPr>
              <w:widowControl/>
              <w:spacing w:line="240" w:lineRule="exact"/>
              <w:jc w:val="center"/>
              <w:rPr>
                <w:rFonts w:ascii="宋体" w:eastAsia="宋体" w:cs="Times New Roman"/>
                <w:szCs w:val="21"/>
              </w:rPr>
            </w:pPr>
            <w:r>
              <w:rPr>
                <w:rFonts w:hint="eastAsia" w:ascii="宋体" w:eastAsia="宋体" w:cs="宋体"/>
                <w:szCs w:val="21"/>
              </w:rPr>
              <w:t>（20分）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预算完成率（4分）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部门本年度预算完成数与预算数的比率，用以反映和考核部门预算完成程度。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20" w:lineRule="exact"/>
              <w:rPr>
                <w:rFonts w:ascii="宋体" w:eastAsia="宋体" w:cs="Times New Roman"/>
                <w:szCs w:val="21"/>
              </w:rPr>
            </w:pPr>
            <w:r>
              <w:rPr>
                <w:rFonts w:hint="eastAsia" w:ascii="宋体" w:eastAsia="宋体" w:cs="宋体"/>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预算调整率（2分）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部门本年度预算调整数与预算数的比率，用以反映和考核部门预算的调整程度。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20" w:lineRule="exact"/>
              <w:rPr>
                <w:rFonts w:ascii="宋体" w:eastAsia="宋体" w:cs="Times New Roman"/>
                <w:szCs w:val="21"/>
              </w:rPr>
            </w:pPr>
            <w:r>
              <w:rPr>
                <w:rFonts w:hint="eastAsia" w:ascii="宋体" w:eastAsia="宋体" w:cs="宋体"/>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40" w:lineRule="exact"/>
              <w:jc w:val="center"/>
              <w:rPr>
                <w:rFonts w:ascii="宋体" w:eastAsia="宋体" w:cs="Times New Roman"/>
                <w:szCs w:val="21"/>
              </w:rPr>
            </w:pPr>
            <w:r>
              <w:rPr>
                <w:rFonts w:hint="eastAsia" w:ascii="宋体" w:eastAsia="宋体" w:cs="宋体"/>
                <w:szCs w:val="21"/>
              </w:rPr>
              <w:t>支付进度率（2分）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40" w:lineRule="exact"/>
              <w:rPr>
                <w:rFonts w:ascii="宋体" w:eastAsia="宋体" w:cs="Times New Roman"/>
                <w:szCs w:val="21"/>
              </w:rPr>
            </w:pPr>
            <w:r>
              <w:rPr>
                <w:rFonts w:hint="eastAsia" w:ascii="宋体" w:eastAsia="宋体" w:cs="宋体"/>
                <w:szCs w:val="21"/>
              </w:rPr>
              <w:t>部门实际支付进度与既定支付进度的比率，用以反映和考核部门预算执行的及时性和均衡性程度。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20" w:lineRule="exact"/>
              <w:rPr>
                <w:rFonts w:ascii="宋体" w:eastAsia="宋体" w:cs="Times New Roman"/>
                <w:szCs w:val="21"/>
              </w:rPr>
            </w:pPr>
            <w:r>
              <w:rPr>
                <w:rFonts w:hint="eastAsia" w:ascii="宋体" w:eastAsia="宋体" w:cs="宋体"/>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widowControl/>
              <w:spacing w:line="240" w:lineRule="exact"/>
              <w:ind w:left="113"/>
              <w:jc w:val="center"/>
              <w:rPr>
                <w:rFonts w:ascii="宋体" w:eastAsia="宋体" w:cs="Times New Roman"/>
                <w:szCs w:val="21"/>
              </w:rPr>
            </w:pPr>
            <w:r>
              <w:rPr>
                <w:rFonts w:hint="eastAsia" w:ascii="宋体" w:eastAsia="宋体" w:cs="宋体"/>
                <w:szCs w:val="21"/>
              </w:rPr>
              <w:t>过             程（30分）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宋体"/>
                <w:szCs w:val="21"/>
              </w:rPr>
            </w:pPr>
            <w:r>
              <w:rPr>
                <w:rFonts w:hint="eastAsia" w:ascii="宋体" w:eastAsia="宋体" w:cs="宋体"/>
                <w:szCs w:val="21"/>
              </w:rPr>
              <w:t>预算</w:t>
            </w:r>
          </w:p>
          <w:p>
            <w:pPr>
              <w:widowControl/>
              <w:spacing w:line="260" w:lineRule="exact"/>
              <w:jc w:val="center"/>
              <w:rPr>
                <w:rFonts w:ascii="宋体" w:eastAsia="宋体" w:cs="Times New Roman"/>
                <w:szCs w:val="21"/>
              </w:rPr>
            </w:pPr>
            <w:r>
              <w:rPr>
                <w:rFonts w:hint="eastAsia" w:ascii="宋体" w:eastAsia="宋体" w:cs="宋体"/>
                <w:szCs w:val="21"/>
              </w:rPr>
              <w:t>执行</w:t>
            </w:r>
          </w:p>
          <w:p>
            <w:pPr>
              <w:widowControl/>
              <w:spacing w:line="260" w:lineRule="exact"/>
              <w:jc w:val="center"/>
              <w:rPr>
                <w:rFonts w:ascii="宋体" w:eastAsia="宋体" w:cs="Times New Roman"/>
                <w:szCs w:val="21"/>
              </w:rPr>
            </w:pPr>
            <w:r>
              <w:rPr>
                <w:rFonts w:hint="eastAsia" w:ascii="宋体" w:eastAsia="宋体" w:cs="宋体"/>
                <w:szCs w:val="21"/>
              </w:rPr>
              <w:t>（20分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结转结余控制率（4分）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部门本年度结转结余总额与上年结转结余总额增减比例，用以反映和考核部门对存量资金的实际控制程度。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公用经费</w:t>
            </w:r>
          </w:p>
          <w:p>
            <w:pPr>
              <w:widowControl/>
              <w:spacing w:line="260" w:lineRule="exact"/>
              <w:jc w:val="center"/>
              <w:rPr>
                <w:rFonts w:ascii="宋体" w:eastAsia="宋体" w:cs="Times New Roman"/>
                <w:szCs w:val="21"/>
              </w:rPr>
            </w:pPr>
            <w:r>
              <w:rPr>
                <w:rFonts w:hint="eastAsia" w:ascii="宋体" w:eastAsia="宋体" w:cs="宋体"/>
                <w:szCs w:val="21"/>
              </w:rPr>
              <w:t>控制率（2分）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部门本年度实际支出的公用经费总额与预算安排的公用经费总额的比率，用以反映和考核部门对机构运转成本的实际控制程度。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“三公经费”控制率（2分）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部门本年度“三公经费”实际支出数与预算安排数的比率，用以反映和考核部门对“三公经费”的实际控制程度。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政府采购</w:t>
            </w:r>
          </w:p>
          <w:p>
            <w:pPr>
              <w:widowControl/>
              <w:spacing w:line="260" w:lineRule="exact"/>
              <w:jc w:val="center"/>
              <w:rPr>
                <w:rFonts w:ascii="宋体" w:eastAsia="宋体" w:cs="Times New Roman"/>
                <w:szCs w:val="21"/>
              </w:rPr>
            </w:pPr>
            <w:r>
              <w:rPr>
                <w:rFonts w:hint="eastAsia" w:ascii="宋体" w:eastAsia="宋体" w:cs="宋体"/>
                <w:szCs w:val="21"/>
              </w:rPr>
              <w:t>执行率（4分）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部门本年度实际政府采购金额与年初政府采购预算的比率，用以反映和考核部门政府采购预算执行情况。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预算</w:t>
            </w:r>
          </w:p>
          <w:p>
            <w:pPr>
              <w:widowControl/>
              <w:spacing w:line="260" w:lineRule="exact"/>
              <w:jc w:val="center"/>
              <w:rPr>
                <w:rFonts w:ascii="宋体" w:eastAsia="宋体" w:cs="Times New Roman"/>
                <w:szCs w:val="21"/>
              </w:rPr>
            </w:pPr>
            <w:r>
              <w:rPr>
                <w:rFonts w:hint="eastAsia" w:ascii="宋体" w:eastAsia="宋体" w:cs="宋体"/>
                <w:szCs w:val="21"/>
              </w:rPr>
              <w:t>管理</w:t>
            </w:r>
          </w:p>
          <w:p>
            <w:pPr>
              <w:widowControl/>
              <w:spacing w:line="260" w:lineRule="exact"/>
              <w:jc w:val="center"/>
              <w:rPr>
                <w:rFonts w:ascii="宋体" w:eastAsia="宋体" w:cs="Times New Roman"/>
                <w:szCs w:val="21"/>
              </w:rPr>
            </w:pPr>
            <w:r>
              <w:rPr>
                <w:rFonts w:hint="eastAsia" w:ascii="宋体" w:eastAsia="宋体" w:cs="宋体"/>
                <w:szCs w:val="21"/>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管理制度</w:t>
            </w:r>
          </w:p>
          <w:p>
            <w:pPr>
              <w:widowControl/>
              <w:spacing w:line="260" w:lineRule="exact"/>
              <w:jc w:val="center"/>
              <w:rPr>
                <w:rFonts w:ascii="宋体" w:eastAsia="宋体" w:cs="Times New Roman"/>
                <w:szCs w:val="21"/>
              </w:rPr>
            </w:pPr>
            <w:r>
              <w:rPr>
                <w:rFonts w:hint="eastAsia" w:ascii="宋体" w:eastAsia="宋体" w:cs="宋体"/>
                <w:szCs w:val="21"/>
              </w:rPr>
              <w:t>健全性（2分）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部门为加强预算管理、规范财务行为而制定的管理制度是否健全完整，用以反映和考核部门预算管理制度对完成主要职责或促进事业发展的保障情况。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资金使用</w:t>
            </w:r>
          </w:p>
          <w:p>
            <w:pPr>
              <w:widowControl/>
              <w:spacing w:line="260" w:lineRule="exact"/>
              <w:jc w:val="center"/>
              <w:rPr>
                <w:rFonts w:ascii="宋体" w:eastAsia="宋体" w:cs="Times New Roman"/>
                <w:szCs w:val="21"/>
              </w:rPr>
            </w:pPr>
            <w:r>
              <w:rPr>
                <w:rFonts w:hint="eastAsia" w:ascii="宋体" w:eastAsia="宋体" w:cs="宋体"/>
                <w:szCs w:val="21"/>
              </w:rPr>
              <w:t>合规性（1分）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部门使用预算资金是否符合相关的预算财务管理制度的规定，用以反映和考核部门预算资金的规范运行情况。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pStyle w:val="6"/>
              <w:numPr>
                <w:ilvl w:val="0"/>
                <w:numId w:val="2"/>
              </w:numPr>
              <w:tabs>
                <w:tab w:val="clear" w:pos="0"/>
              </w:tabs>
              <w:spacing w:line="260" w:lineRule="exact"/>
              <w:ind w:firstLine="0" w:firstLineChars="0"/>
              <w:rPr>
                <w:rFonts w:ascii="宋体"/>
              </w:rPr>
            </w:pPr>
            <w:r>
              <w:rPr>
                <w:rFonts w:hint="eastAsia" w:ascii="宋体" w:cs="宋体"/>
              </w:rPr>
              <w:t>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预决算信</w:t>
            </w:r>
          </w:p>
          <w:p>
            <w:pPr>
              <w:widowControl/>
              <w:spacing w:line="260" w:lineRule="exact"/>
              <w:jc w:val="center"/>
              <w:rPr>
                <w:rFonts w:ascii="宋体" w:eastAsia="宋体" w:cs="Times New Roman"/>
                <w:szCs w:val="21"/>
              </w:rPr>
            </w:pPr>
            <w:r>
              <w:rPr>
                <w:rFonts w:hint="eastAsia" w:ascii="宋体" w:eastAsia="宋体" w:cs="宋体"/>
                <w:szCs w:val="21"/>
              </w:rPr>
              <w:t>息公开性（1分）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部门是否按照政府信息公开有关规定公开相关预决算信息，用以反映和考核部门预决算管理的公开透明情况。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基础信息</w:t>
            </w:r>
          </w:p>
          <w:p>
            <w:pPr>
              <w:widowControl/>
              <w:spacing w:line="260" w:lineRule="exact"/>
              <w:jc w:val="center"/>
              <w:rPr>
                <w:rFonts w:ascii="宋体" w:eastAsia="宋体" w:cs="Times New Roman"/>
                <w:szCs w:val="21"/>
              </w:rPr>
            </w:pPr>
            <w:r>
              <w:rPr>
                <w:rFonts w:hint="eastAsia" w:ascii="宋体" w:eastAsia="宋体" w:cs="宋体"/>
                <w:szCs w:val="21"/>
              </w:rPr>
              <w:t>完善性（1分）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部门基础信息是否完善，用以反映和考核基础信息对预算管理工作的支撑情况。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tc>
        <w:tc>
          <w:tcPr>
            <w:tcW w:w="570"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宋体"/>
                <w:szCs w:val="21"/>
              </w:rPr>
            </w:pPr>
            <w:r>
              <w:rPr>
                <w:rFonts w:hint="eastAsia" w:ascii="宋体" w:eastAsia="宋体" w:cs="宋体"/>
                <w:szCs w:val="21"/>
              </w:rPr>
              <w:t>资产</w:t>
            </w:r>
          </w:p>
          <w:p>
            <w:pPr>
              <w:widowControl/>
              <w:spacing w:line="260" w:lineRule="exact"/>
              <w:jc w:val="center"/>
              <w:rPr>
                <w:rFonts w:ascii="宋体" w:eastAsia="宋体" w:cs="Times New Roman"/>
                <w:szCs w:val="21"/>
              </w:rPr>
            </w:pPr>
            <w:r>
              <w:rPr>
                <w:rFonts w:hint="eastAsia" w:ascii="宋体" w:eastAsia="宋体" w:cs="宋体"/>
                <w:szCs w:val="21"/>
              </w:rPr>
              <w:t>管理</w:t>
            </w:r>
          </w:p>
          <w:p>
            <w:pPr>
              <w:widowControl/>
              <w:spacing w:line="260" w:lineRule="exact"/>
              <w:jc w:val="center"/>
              <w:rPr>
                <w:rFonts w:ascii="宋体" w:eastAsia="宋体" w:cs="Times New Roman"/>
                <w:szCs w:val="21"/>
              </w:rPr>
            </w:pPr>
            <w:r>
              <w:rPr>
                <w:rFonts w:hint="eastAsia" w:ascii="宋体" w:eastAsia="宋体" w:cs="宋体"/>
                <w:szCs w:val="21"/>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管理制度</w:t>
            </w:r>
          </w:p>
          <w:p>
            <w:pPr>
              <w:widowControl/>
              <w:spacing w:line="260" w:lineRule="exact"/>
              <w:jc w:val="center"/>
              <w:rPr>
                <w:rFonts w:ascii="宋体" w:eastAsia="宋体" w:cs="Times New Roman"/>
                <w:szCs w:val="21"/>
              </w:rPr>
            </w:pPr>
            <w:r>
              <w:rPr>
                <w:rFonts w:hint="eastAsia" w:ascii="宋体" w:eastAsia="宋体" w:cs="宋体"/>
                <w:szCs w:val="21"/>
              </w:rPr>
              <w:t>健全性（2分）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部门为加强资产管理、规范资产管理行为而制定的管理制度是否健全完整，用以反映和考核部门资产管理制度对完成主要职责或促进社会发展的保障情况。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13"/>
              <w:jc w:val="center"/>
              <w:rPr>
                <w:rFonts w:ascii="宋体" w:eastAsia="宋体" w:cs="Times New Roman"/>
                <w:szCs w:val="21"/>
              </w:rPr>
            </w:pPr>
            <w:r>
              <w:rPr>
                <w:rFonts w:hint="eastAsia" w:ascii="宋体" w:eastAsia="宋体" w:cs="宋体"/>
                <w:szCs w:val="21"/>
              </w:rPr>
              <w:t>过             程（30分）</w:t>
            </w:r>
          </w:p>
        </w:tc>
        <w:tc>
          <w:tcPr>
            <w:tcW w:w="5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eastAsia="宋体" w:cs="宋体"/>
                <w:szCs w:val="21"/>
              </w:rPr>
            </w:pPr>
            <w:r>
              <w:rPr>
                <w:rFonts w:hint="eastAsia" w:ascii="宋体" w:eastAsia="宋体" w:cs="宋体"/>
                <w:szCs w:val="21"/>
              </w:rPr>
              <w:t>资产</w:t>
            </w:r>
          </w:p>
          <w:p>
            <w:pPr>
              <w:widowControl/>
              <w:spacing w:line="260" w:lineRule="exact"/>
              <w:jc w:val="center"/>
              <w:rPr>
                <w:rFonts w:ascii="宋体" w:eastAsia="宋体" w:cs="Times New Roman"/>
                <w:szCs w:val="21"/>
              </w:rPr>
            </w:pPr>
            <w:r>
              <w:rPr>
                <w:rFonts w:hint="eastAsia" w:ascii="宋体" w:eastAsia="宋体" w:cs="宋体"/>
                <w:szCs w:val="21"/>
              </w:rPr>
              <w:t>管理</w:t>
            </w:r>
          </w:p>
          <w:p>
            <w:pPr>
              <w:widowControl/>
              <w:spacing w:line="260" w:lineRule="exact"/>
              <w:jc w:val="center"/>
              <w:rPr>
                <w:rFonts w:ascii="宋体" w:eastAsia="宋体" w:cs="Times New Roman"/>
                <w:szCs w:val="21"/>
              </w:rPr>
            </w:pPr>
            <w:r>
              <w:rPr>
                <w:rFonts w:hint="eastAsia" w:ascii="宋体" w:eastAsia="宋体" w:cs="宋体"/>
                <w:szCs w:val="21"/>
              </w:rPr>
              <w:t>（5分）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资产管理</w:t>
            </w:r>
          </w:p>
          <w:p>
            <w:pPr>
              <w:widowControl/>
              <w:spacing w:line="260" w:lineRule="exact"/>
              <w:jc w:val="center"/>
              <w:rPr>
                <w:rFonts w:ascii="宋体" w:eastAsia="宋体" w:cs="Times New Roman"/>
                <w:szCs w:val="21"/>
              </w:rPr>
            </w:pPr>
            <w:r>
              <w:rPr>
                <w:rFonts w:hint="eastAsia" w:ascii="宋体" w:eastAsia="宋体" w:cs="宋体"/>
                <w:szCs w:val="21"/>
              </w:rPr>
              <w:t>安全性（2分）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761"/>
                <w:tab w:val="left" w:pos="2604"/>
              </w:tabs>
              <w:spacing w:line="260" w:lineRule="exact"/>
              <w:jc w:val="center"/>
              <w:rPr>
                <w:rFonts w:ascii="宋体" w:eastAsia="宋体" w:cs="Times New Roman"/>
                <w:szCs w:val="21"/>
              </w:rPr>
            </w:pPr>
            <w:r>
              <w:rPr>
                <w:rFonts w:hint="eastAsia" w:ascii="宋体" w:eastAsia="宋体" w:cs="Times New Roman"/>
                <w:szCs w:val="21"/>
              </w:rPr>
              <w:t>2</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761"/>
                <w:tab w:val="left" w:pos="2604"/>
              </w:tabs>
              <w:spacing w:line="260" w:lineRule="exact"/>
              <w:rPr>
                <w:rFonts w:ascii="宋体" w:eastAsia="宋体" w:cs="Times New Roman"/>
                <w:szCs w:val="21"/>
              </w:rPr>
            </w:pPr>
            <w:r>
              <w:rPr>
                <w:rFonts w:hint="eastAsia" w:ascii="宋体" w:eastAsia="宋体" w:cs="宋体"/>
                <w:szCs w:val="21"/>
              </w:rPr>
              <w:t>部门的资产是否保存完整、使用合规、配置合理、处置规范、收入及时足额上缴，用以反映和考核部门资产安全运行情况。</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固定资产</w:t>
            </w:r>
          </w:p>
          <w:p>
            <w:pPr>
              <w:widowControl/>
              <w:spacing w:line="260" w:lineRule="exact"/>
              <w:jc w:val="center"/>
              <w:rPr>
                <w:rFonts w:ascii="宋体" w:eastAsia="宋体" w:cs="Times New Roman"/>
                <w:szCs w:val="21"/>
              </w:rPr>
            </w:pPr>
            <w:r>
              <w:rPr>
                <w:rFonts w:hint="eastAsia" w:ascii="宋体" w:eastAsia="宋体" w:cs="宋体"/>
                <w:szCs w:val="21"/>
              </w:rPr>
              <w:t>利用率（1分）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1</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部门实际在用固定资产总额与所有固定资产总额的比率，用以反映和考核部门固定资产使用效率程度。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widowControl/>
              <w:spacing w:line="240" w:lineRule="exact"/>
              <w:jc w:val="center"/>
              <w:rPr>
                <w:rFonts w:ascii="宋体" w:eastAsia="宋体" w:cs="Times New Roman"/>
                <w:szCs w:val="21"/>
              </w:rPr>
            </w:pPr>
            <w:r>
              <w:rPr>
                <w:rFonts w:hint="eastAsia" w:ascii="宋体" w:eastAsia="宋体" w:cs="宋体"/>
                <w:szCs w:val="21"/>
              </w:rPr>
              <w:t>产   出（30分）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宋体"/>
                <w:szCs w:val="21"/>
              </w:rPr>
            </w:pPr>
            <w:r>
              <w:rPr>
                <w:rFonts w:hint="eastAsia" w:ascii="宋体" w:eastAsia="宋体" w:cs="宋体"/>
                <w:szCs w:val="21"/>
              </w:rPr>
              <w:t>职责</w:t>
            </w:r>
          </w:p>
          <w:p>
            <w:pPr>
              <w:widowControl/>
              <w:spacing w:line="260" w:lineRule="exact"/>
              <w:jc w:val="center"/>
              <w:rPr>
                <w:rFonts w:ascii="宋体" w:eastAsia="宋体" w:cs="Times New Roman"/>
                <w:szCs w:val="21"/>
              </w:rPr>
            </w:pPr>
            <w:r>
              <w:rPr>
                <w:rFonts w:hint="eastAsia" w:ascii="宋体" w:eastAsia="宋体" w:cs="宋体"/>
                <w:szCs w:val="21"/>
              </w:rPr>
              <w:t>履行</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实际完成率（8分）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8</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部门履行职责而实际完成工作数与计划工作数的比率，用以反映和考核部门履职工作任务目标的实现程度。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完成及时率（4分）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4</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部门在规定时限内及时完成的实际工作数与计划工作数的比率,用以反映和考核部门履职时效目标的实现程度。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宋体"/>
                <w:szCs w:val="21"/>
              </w:rPr>
            </w:pPr>
            <w:r>
              <w:rPr>
                <w:rFonts w:hint="eastAsia" w:ascii="宋体" w:eastAsia="宋体" w:cs="宋体"/>
                <w:szCs w:val="21"/>
              </w:rPr>
              <w:t>完成及时率=（及时完成实际工作数/计划工作数）×100%。1-4季度各得1分</w:t>
            </w:r>
          </w:p>
          <w:p>
            <w:pPr>
              <w:widowControl/>
              <w:spacing w:line="260" w:lineRule="exact"/>
              <w:rPr>
                <w:rFonts w:asci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质量达标率（8分）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8</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达到质量标准（绩效标准值）的实际工作数与计划工作数的比率,用以反映和考核部门履职质量目标的实现程度。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重点工作</w:t>
            </w:r>
          </w:p>
          <w:p>
            <w:pPr>
              <w:widowControl/>
              <w:spacing w:line="260" w:lineRule="exact"/>
              <w:jc w:val="center"/>
              <w:rPr>
                <w:rFonts w:ascii="宋体" w:eastAsia="宋体" w:cs="Times New Roman"/>
                <w:szCs w:val="21"/>
              </w:rPr>
            </w:pPr>
            <w:r>
              <w:rPr>
                <w:rFonts w:hint="eastAsia" w:ascii="宋体" w:eastAsia="宋体" w:cs="宋体"/>
                <w:szCs w:val="21"/>
              </w:rPr>
              <w:t>办结率（10分）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10</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部门年度重点工作实际完成数与交办或下达数的比率，用以反映部门对重点工作的办理落实程度。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szCs w:val="21"/>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textDirection w:val="tbRlV"/>
            <w:vAlign w:val="center"/>
          </w:tcPr>
          <w:p>
            <w:pPr>
              <w:widowControl/>
              <w:spacing w:line="240" w:lineRule="exact"/>
              <w:jc w:val="center"/>
              <w:rPr>
                <w:rFonts w:ascii="宋体" w:eastAsia="宋体" w:cs="Times New Roman"/>
                <w:szCs w:val="21"/>
              </w:rPr>
            </w:pPr>
            <w:r>
              <w:rPr>
                <w:rFonts w:hint="eastAsia" w:ascii="宋体" w:eastAsia="宋体" w:cs="宋体"/>
                <w:szCs w:val="21"/>
              </w:rPr>
              <w:t>效   果（20分）</w:t>
            </w:r>
          </w:p>
        </w:tc>
        <w:tc>
          <w:tcPr>
            <w:tcW w:w="570"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宋体"/>
                <w:szCs w:val="21"/>
              </w:rPr>
            </w:pPr>
            <w:r>
              <w:rPr>
                <w:rFonts w:hint="eastAsia" w:ascii="宋体" w:eastAsia="宋体" w:cs="宋体"/>
                <w:szCs w:val="21"/>
              </w:rPr>
              <w:t>履职</w:t>
            </w:r>
          </w:p>
          <w:p>
            <w:pPr>
              <w:widowControl/>
              <w:spacing w:line="260" w:lineRule="exact"/>
              <w:jc w:val="center"/>
              <w:rPr>
                <w:rFonts w:ascii="宋体" w:eastAsia="宋体" w:cs="Times New Roman"/>
                <w:szCs w:val="21"/>
              </w:rPr>
            </w:pPr>
            <w:r>
              <w:rPr>
                <w:rFonts w:hint="eastAsia" w:ascii="宋体" w:eastAsia="宋体" w:cs="宋体"/>
                <w:szCs w:val="21"/>
              </w:rPr>
              <w:t>效益（20分）</w:t>
            </w: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经济效益（5分）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部门履行职责对经济发展所带来的直接或间接影响。</w:t>
            </w:r>
          </w:p>
        </w:tc>
        <w:tc>
          <w:tcPr>
            <w:tcW w:w="4122" w:type="dxa"/>
            <w:vMerge w:val="restart"/>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kern w:val="0"/>
                <w:szCs w:val="21"/>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社会效益（5分）</w:t>
            </w:r>
          </w:p>
        </w:tc>
        <w:tc>
          <w:tcPr>
            <w:tcW w:w="446" w:type="dxa"/>
            <w:tcBorders>
              <w:top w:val="single" w:color="auto" w:sz="4" w:space="0"/>
              <w:left w:val="single" w:color="auto" w:sz="4" w:space="0"/>
              <w:bottom w:val="single" w:color="auto" w:sz="4" w:space="0"/>
              <w:right w:val="single" w:color="auto" w:sz="4" w:space="0"/>
            </w:tcBorders>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部门履行职责对社会发展所带来的直接或间接影响。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生态效益（5分）</w:t>
            </w:r>
          </w:p>
        </w:tc>
        <w:tc>
          <w:tcPr>
            <w:tcW w:w="446" w:type="dxa"/>
            <w:tcBorders>
              <w:top w:val="single" w:color="auto" w:sz="4" w:space="0"/>
              <w:left w:val="single" w:color="auto" w:sz="4" w:space="0"/>
              <w:bottom w:val="single" w:color="auto" w:sz="4" w:space="0"/>
              <w:right w:val="single" w:color="auto" w:sz="4" w:space="0"/>
            </w:tcBorders>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部门履行职责对生态环境所带来的直接或间接影响。</w:t>
            </w:r>
          </w:p>
        </w:tc>
        <w:tc>
          <w:tcPr>
            <w:tcW w:w="4122" w:type="dxa"/>
            <w:vMerge w:val="continue"/>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Borders>
              <w:top w:val="single" w:color="auto" w:sz="4" w:space="0"/>
              <w:left w:val="single" w:color="auto" w:sz="4" w:space="0"/>
              <w:bottom w:val="single" w:color="auto" w:sz="4" w:space="0"/>
              <w:right w:val="single" w:color="auto" w:sz="4" w:space="0"/>
            </w:tcBorders>
            <w:vAlign w:val="center"/>
          </w:tcPr>
          <w:p/>
        </w:tc>
        <w:tc>
          <w:tcPr>
            <w:tcW w:w="570" w:type="dxa"/>
            <w:vMerge w:val="continue"/>
            <w:tcBorders>
              <w:top w:val="single" w:color="auto" w:sz="4" w:space="0"/>
              <w:left w:val="single" w:color="auto" w:sz="4" w:space="0"/>
              <w:bottom w:val="single" w:color="auto" w:sz="4" w:space="0"/>
              <w:right w:val="single" w:color="auto" w:sz="4" w:space="0"/>
            </w:tcBorders>
            <w:vAlign w:val="center"/>
          </w:tc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Times New Roman"/>
                <w:szCs w:val="21"/>
              </w:rPr>
            </w:pPr>
            <w:r>
              <w:rPr>
                <w:rFonts w:hint="eastAsia" w:ascii="宋体" w:eastAsia="宋体" w:cs="宋体"/>
                <w:szCs w:val="21"/>
              </w:rPr>
              <w:t>社会公众</w:t>
            </w:r>
          </w:p>
          <w:p>
            <w:pPr>
              <w:widowControl/>
              <w:spacing w:line="260" w:lineRule="exact"/>
              <w:jc w:val="center"/>
              <w:rPr>
                <w:rFonts w:ascii="宋体" w:eastAsia="宋体" w:cs="Times New Roman"/>
                <w:szCs w:val="21"/>
              </w:rPr>
            </w:pPr>
            <w:r>
              <w:rPr>
                <w:rFonts w:hint="eastAsia" w:ascii="宋体" w:eastAsia="宋体" w:cs="宋体"/>
                <w:szCs w:val="21"/>
              </w:rPr>
              <w:t>或服务对</w:t>
            </w:r>
          </w:p>
          <w:p>
            <w:pPr>
              <w:widowControl/>
              <w:spacing w:line="260" w:lineRule="exact"/>
              <w:jc w:val="center"/>
              <w:rPr>
                <w:rFonts w:ascii="宋体" w:eastAsia="宋体" w:cs="Times New Roman"/>
                <w:szCs w:val="21"/>
              </w:rPr>
            </w:pPr>
            <w:r>
              <w:rPr>
                <w:rFonts w:hint="eastAsia" w:ascii="宋体" w:eastAsia="宋体" w:cs="宋体"/>
                <w:szCs w:val="21"/>
              </w:rPr>
              <w:t>象满意度（5分）</w:t>
            </w: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5</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Times New Roman"/>
                <w:szCs w:val="21"/>
              </w:rPr>
            </w:pPr>
            <w:r>
              <w:rPr>
                <w:rFonts w:hint="eastAsia" w:ascii="宋体" w:eastAsia="宋体" w:cs="宋体"/>
                <w:szCs w:val="21"/>
              </w:rPr>
              <w:t>社会公众或部门的服务对象对部门履职效果的满意程度。</w:t>
            </w: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Times New Roman"/>
                <w:szCs w:val="21"/>
              </w:rPr>
            </w:pPr>
            <w:r>
              <w:rPr>
                <w:rFonts w:hint="eastAsia" w:ascii="宋体" w:eastAsia="宋体" w:cs="宋体"/>
                <w:kern w:val="0"/>
                <w:szCs w:val="21"/>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eastAsia="宋体" w:cs="Times New Roman"/>
                <w:szCs w:val="21"/>
              </w:rPr>
            </w:pPr>
            <w:r>
              <w:rPr>
                <w:rFonts w:hint="eastAsia" w:ascii="宋体" w:eastAsia="宋体" w:cs="Times New Roman"/>
                <w:szCs w:val="21"/>
              </w:rPr>
              <w:t>总分</w:t>
            </w:r>
          </w:p>
        </w:tc>
        <w:tc>
          <w:tcPr>
            <w:tcW w:w="5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eastAsia="宋体" w:cs="Times New Roman"/>
                <w:szCs w:val="21"/>
              </w:rPr>
            </w:pPr>
          </w:p>
        </w:tc>
        <w:tc>
          <w:tcPr>
            <w:tcW w:w="703"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jc w:val="center"/>
              <w:rPr>
                <w:rFonts w:ascii="宋体" w:eastAsia="宋体" w:cs="宋体"/>
                <w:szCs w:val="21"/>
              </w:rPr>
            </w:pPr>
          </w:p>
        </w:tc>
        <w:tc>
          <w:tcPr>
            <w:tcW w:w="44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jc w:val="center"/>
              <w:rPr>
                <w:rFonts w:ascii="宋体" w:eastAsia="宋体" w:cs="Times New Roman"/>
                <w:szCs w:val="21"/>
              </w:rPr>
            </w:pPr>
            <w:r>
              <w:rPr>
                <w:rFonts w:hint="eastAsia" w:ascii="宋体" w:eastAsia="宋体" w:cs="Times New Roman"/>
                <w:szCs w:val="21"/>
              </w:rPr>
              <w:t>99</w:t>
            </w:r>
          </w:p>
        </w:tc>
        <w:tc>
          <w:tcPr>
            <w:tcW w:w="2976"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tabs>
                <w:tab w:val="left" w:pos="2604"/>
              </w:tabs>
              <w:spacing w:line="260" w:lineRule="exact"/>
              <w:rPr>
                <w:rFonts w:ascii="宋体" w:eastAsia="宋体" w:cs="宋体"/>
                <w:szCs w:val="21"/>
              </w:rPr>
            </w:pPr>
          </w:p>
        </w:tc>
        <w:tc>
          <w:tcPr>
            <w:tcW w:w="4122" w:type="dxa"/>
            <w:tcBorders>
              <w:top w:val="single" w:color="auto" w:sz="4" w:space="0"/>
              <w:left w:val="single" w:color="auto" w:sz="4" w:space="0"/>
              <w:bottom w:val="single" w:color="auto" w:sz="4" w:space="0"/>
              <w:right w:val="single" w:color="auto" w:sz="4" w:space="0"/>
            </w:tcBorders>
            <w:tcMar>
              <w:top w:w="10" w:type="dxa"/>
              <w:left w:w="10" w:type="dxa"/>
              <w:right w:w="10" w:type="dxa"/>
            </w:tcMar>
            <w:vAlign w:val="center"/>
          </w:tcPr>
          <w:p>
            <w:pPr>
              <w:widowControl/>
              <w:spacing w:line="260" w:lineRule="exact"/>
              <w:rPr>
                <w:rFonts w:ascii="宋体" w:eastAsia="宋体" w:cs="宋体"/>
                <w:kern w:val="0"/>
                <w:szCs w:val="21"/>
              </w:rPr>
            </w:pPr>
          </w:p>
        </w:tc>
      </w:tr>
    </w:tbl>
    <w:p>
      <w:pPr>
        <w:widowControl/>
        <w:spacing w:line="480" w:lineRule="exact"/>
        <w:jc w:val="center"/>
        <w:rPr>
          <w:rFonts w:ascii="方正小标宋简体" w:eastAsia="方正小标宋简体" w:cs="方正小标宋简体"/>
          <w:kern w:val="0"/>
          <w:sz w:val="44"/>
          <w:szCs w:val="44"/>
        </w:rPr>
      </w:pPr>
    </w:p>
    <w:p>
      <w:pPr>
        <w:widowControl/>
        <w:spacing w:line="480" w:lineRule="exact"/>
        <w:jc w:val="center"/>
        <w:rPr>
          <w:rFonts w:ascii="方正小标宋简体" w:eastAsia="方正小标宋简体" w:cs="方正小标宋简体"/>
          <w:kern w:val="0"/>
          <w:sz w:val="44"/>
          <w:szCs w:val="44"/>
        </w:rPr>
      </w:pPr>
    </w:p>
    <w:p>
      <w:pPr>
        <w:widowControl/>
        <w:spacing w:line="480" w:lineRule="exact"/>
        <w:jc w:val="center"/>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pPr>
        <w:widowControl/>
        <w:spacing w:line="480" w:lineRule="exact"/>
        <w:rPr>
          <w:rFonts w:ascii="方正小标宋简体" w:eastAsia="方正小标宋简体" w:cs="方正小标宋简体"/>
          <w:kern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8"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04CBA"/>
    <w:multiLevelType w:val="multilevel"/>
    <w:tmpl w:val="41604CBA"/>
    <w:lvl w:ilvl="0" w:tentative="0">
      <w:start w:val="1"/>
      <w:numFmt w:val="decimalEnclosedCircle"/>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587D092F"/>
    <w:multiLevelType w:val="multilevel"/>
    <w:tmpl w:val="587D092F"/>
    <w:lvl w:ilvl="0" w:tentative="0">
      <w:start w:val="1"/>
      <w:numFmt w:val="decimalEnclosedCircle"/>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DF8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5">
    <w:name w:val="List Paragraph"/>
    <w:basedOn w:val="1"/>
    <w:qFormat/>
    <w:uiPriority w:val="34"/>
    <w:pPr>
      <w:ind w:firstLine="420" w:firstLineChars="200"/>
    </w:pPr>
  </w:style>
  <w:style w:type="paragraph" w:customStyle="1" w:styleId="6">
    <w:name w:val="浅色列表1"/>
    <w:basedOn w:val="1"/>
    <w:qFormat/>
    <w:uiPriority w:val="0"/>
    <w:pPr>
      <w:widowControl/>
      <w:ind w:firstLine="20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2023-07-06T04:25:50Z</dcterms:created>
  <dc:creator>admin-3</dc:creator>
  <cp:lastModifiedBy>admin-3</cp:lastModifiedBy>
  <dcterms:modified xsi:type="dcterms:W3CDTF">2023-07-06T04:26:43Z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4B0BB740919D41D5BE8C55ADED506636_12</vt:lpwstr>
  </property>
</Properties>
</file>