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color w:val="000000"/>
          <w:kern w:val="0"/>
          <w:sz w:val="36"/>
          <w:szCs w:val="36"/>
          <w:shd w:val="clear" w:color="auto" w:fill="FFFFFF"/>
          <w:lang w:val="en-US" w:eastAsia="zh-CN"/>
        </w:rPr>
      </w:pPr>
    </w:p>
    <w:p>
      <w:pPr>
        <w:jc w:val="center"/>
        <w:rPr>
          <w:rFonts w:hint="eastAsia" w:ascii="黑体" w:hAnsi="黑体" w:eastAsia="黑体"/>
          <w:sz w:val="32"/>
          <w:szCs w:val="32"/>
        </w:rPr>
      </w:pPr>
      <w:bookmarkStart w:id="0" w:name="_GoBack"/>
      <w:bookmarkEnd w:id="0"/>
      <w:r>
        <w:rPr>
          <w:rFonts w:hint="eastAsia" w:ascii="黑体" w:hAnsi="黑体" w:eastAsia="黑体" w:cs="黑体"/>
          <w:b w:val="0"/>
          <w:bCs/>
          <w:color w:val="000000"/>
          <w:kern w:val="0"/>
          <w:sz w:val="36"/>
          <w:szCs w:val="36"/>
          <w:shd w:val="clear" w:color="auto" w:fill="FFFFFF"/>
          <w:lang w:val="en-US" w:eastAsia="zh-CN"/>
        </w:rPr>
        <w:t>益阳市赫山区教育系统（汇总）</w:t>
      </w:r>
      <w:r>
        <w:rPr>
          <w:rFonts w:hint="eastAsia" w:ascii="黑体" w:hAnsi="黑体" w:eastAsia="黑体" w:cs="黑体"/>
          <w:b w:val="0"/>
          <w:bCs/>
          <w:color w:val="000000"/>
          <w:kern w:val="0"/>
          <w:sz w:val="36"/>
          <w:szCs w:val="36"/>
          <w:shd w:val="clear" w:color="auto" w:fill="FFFFFF"/>
        </w:rPr>
        <w:t>2021年</w:t>
      </w:r>
      <w:r>
        <w:rPr>
          <w:rFonts w:hint="eastAsia" w:ascii="黑体" w:hAnsi="黑体" w:eastAsia="黑体" w:cs="黑体"/>
          <w:b w:val="0"/>
          <w:bCs/>
          <w:color w:val="000000"/>
          <w:kern w:val="0"/>
          <w:sz w:val="36"/>
          <w:szCs w:val="36"/>
          <w:shd w:val="clear" w:color="auto" w:fill="FFFFFF"/>
          <w:lang w:val="en-US" w:eastAsia="zh-CN"/>
        </w:rPr>
        <w:t>度</w:t>
      </w:r>
      <w:r>
        <w:rPr>
          <w:rFonts w:hint="eastAsia" w:ascii="黑体" w:hAnsi="黑体" w:eastAsia="黑体" w:cs="黑体"/>
          <w:color w:val="000000" w:themeColor="text1"/>
          <w:sz w:val="36"/>
          <w:szCs w:val="36"/>
          <w14:textFill>
            <w14:solidFill>
              <w14:schemeClr w14:val="tx1"/>
            </w14:solidFill>
          </w14:textFill>
        </w:rPr>
        <w:t>义务教育薄弱环节改善与能力提升专项</w:t>
      </w:r>
      <w:r>
        <w:rPr>
          <w:rFonts w:hint="eastAsia" w:ascii="黑体" w:hAnsi="黑体" w:eastAsia="黑体" w:cs="黑体"/>
          <w:sz w:val="36"/>
          <w:szCs w:val="36"/>
        </w:rPr>
        <w:t>项目支出绩效评价报告</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黑体" w:hAnsi="黑体" w:eastAsia="黑体" w:cs="黑体"/>
          <w:sz w:val="30"/>
          <w:szCs w:val="30"/>
        </w:rPr>
      </w:pPr>
      <w:r>
        <w:rPr>
          <w:rFonts w:hint="eastAsia" w:ascii="黑体" w:hAnsi="黑体" w:eastAsia="黑体" w:cs="黑体"/>
          <w:sz w:val="30"/>
          <w:szCs w:val="30"/>
        </w:rPr>
        <w:t>一、预算支出基本情况</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lef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sz w:val="30"/>
          <w:szCs w:val="30"/>
        </w:rPr>
        <w:t>（一）预算支出概况。</w:t>
      </w:r>
      <w:r>
        <w:rPr>
          <w:rFonts w:hint="eastAsia" w:ascii="仿宋" w:hAnsi="仿宋" w:eastAsia="仿宋" w:cs="仿宋"/>
          <w:color w:val="000000" w:themeColor="text1"/>
          <w:sz w:val="30"/>
          <w:szCs w:val="30"/>
          <w14:textFill>
            <w14:solidFill>
              <w14:schemeClr w14:val="tx1"/>
            </w14:solidFill>
          </w14:textFill>
        </w:rPr>
        <w:t>2021年，下达我区义务教育薄弱环节改善与能力提升专项项目资金1181万元，全部为中央专项资金。根据政策要求，将项目资金全部我区义务教育薄弱环节改善与能力提升专项项目。绩效目标：有效推进统筹城乡义务教育资源均衡配置，推动了义务教育事业持续健康发展。</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sz w:val="30"/>
          <w:szCs w:val="30"/>
        </w:rPr>
        <w:t>（二）预算资金使用管理情况。</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项目资金管理严格按照省教育厅《湖南省综合发展专项资金管理办法》和《赫山区中小学专项资金管理暂行办法》进行专款专用，实行财政国库集中支付管理，严格资金拨付审批程序。一是区教育局按照项目资金的专项用途下达资金到项目学校。二是项目学校组织项目实施，根据项目实施进度及相关项目实施材料填报资金申请拨款表，经教育局基管站、计财股及分管项目和财务的领导、局长审核审批。三是核算中心按照审核后下达资金指标到项目学校。四是项目学校按照专项资金指标用款计划和学校支出审核程序审核后进行直接支付到施工单位。</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sz w:val="30"/>
          <w:szCs w:val="30"/>
        </w:rPr>
      </w:pPr>
      <w:r>
        <w:rPr>
          <w:rFonts w:hint="eastAsia" w:ascii="仿宋" w:hAnsi="仿宋" w:eastAsia="仿宋" w:cs="仿宋"/>
          <w:b/>
          <w:sz w:val="30"/>
          <w:szCs w:val="30"/>
        </w:rPr>
        <w:t>（三）预算支出绩效目标完成度。</w:t>
      </w:r>
      <w:r>
        <w:rPr>
          <w:rFonts w:hint="eastAsia" w:ascii="仿宋" w:hAnsi="仿宋" w:eastAsia="仿宋" w:cs="仿宋"/>
          <w:b/>
          <w:color w:val="000000" w:themeColor="text1"/>
          <w:sz w:val="30"/>
          <w:szCs w:val="30"/>
          <w14:textFill>
            <w14:solidFill>
              <w14:schemeClr w14:val="tx1"/>
            </w14:solidFill>
          </w14:textFill>
        </w:rPr>
        <w:t>产出指标完成情况分析。</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 xml:space="preserve">质量指标。坚持实行项目法人制、招投标制、合同管理制、工程监理制和质量终身负责制。严把工程质量关，确保安全文明施工和工程质量。施工期间，严格做好环境保护、污染防治工作，并将履行环保工作职责作为检查和考核的指标之一。截止目前，新建或改造校舍质量达标率为100%。 </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w:t>
      </w:r>
      <w:r>
        <w:rPr>
          <w:rFonts w:hint="eastAsia" w:ascii="仿宋" w:hAnsi="仿宋" w:eastAsia="仿宋" w:cs="仿宋"/>
          <w:color w:val="000000" w:themeColor="text1"/>
          <w:sz w:val="30"/>
          <w:szCs w:val="30"/>
          <w14:textFill>
            <w14:solidFill>
              <w14:schemeClr w14:val="tx1"/>
            </w14:solidFill>
          </w14:textFill>
        </w:rPr>
        <w:t>时效指标。当年度义务教育薄弱环节改善与能力提升资金全部拨付到位，落实到项目100%。</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成本指标。项目建设过程确保所有施工过程使用的材质符合国家安全标准，在工程实施前，严格按照询价标准对所使用的材料进行询价，确保项目建设材料均按照市场价格采购，确保不出现虚报材料价格的情况。</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黑体" w:hAnsi="黑体" w:eastAsia="黑体" w:cs="黑体"/>
          <w:sz w:val="30"/>
          <w:szCs w:val="30"/>
        </w:rPr>
      </w:pPr>
      <w:r>
        <w:rPr>
          <w:rFonts w:hint="eastAsia" w:ascii="黑体" w:hAnsi="黑体" w:eastAsia="黑体" w:cs="黑体"/>
          <w:sz w:val="30"/>
          <w:szCs w:val="30"/>
        </w:rPr>
        <w:t>二、绩效评价工作情况</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left"/>
        <w:textAlignment w:val="auto"/>
        <w:rPr>
          <w:rFonts w:hint="eastAsia" w:ascii="仿宋" w:hAnsi="仿宋" w:eastAsia="仿宋" w:cs="仿宋"/>
          <w:b/>
          <w:sz w:val="30"/>
          <w:szCs w:val="30"/>
        </w:rPr>
      </w:pPr>
      <w:r>
        <w:rPr>
          <w:rFonts w:hint="eastAsia" w:ascii="仿宋" w:hAnsi="仿宋" w:eastAsia="仿宋" w:cs="仿宋"/>
          <w:b/>
          <w:sz w:val="30"/>
          <w:szCs w:val="30"/>
        </w:rPr>
        <w:t>（一）绩效评价目的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为进一步强化预算绩效管理理念，加强财政专项资金支出管理，切实提高财政资金使用效益，改善办学条件，提升教育质量，促进教育发展。</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left"/>
        <w:textAlignment w:val="auto"/>
        <w:rPr>
          <w:rFonts w:hint="eastAsia" w:ascii="仿宋" w:hAnsi="仿宋" w:eastAsia="仿宋" w:cs="仿宋"/>
          <w:b/>
          <w:sz w:val="30"/>
          <w:szCs w:val="30"/>
        </w:rPr>
      </w:pPr>
      <w:r>
        <w:rPr>
          <w:rFonts w:hint="eastAsia" w:ascii="仿宋" w:hAnsi="仿宋" w:eastAsia="仿宋" w:cs="仿宋"/>
          <w:b/>
          <w:sz w:val="30"/>
          <w:szCs w:val="30"/>
        </w:rPr>
        <w:t>（二）绩效评价原则、评价指标体系</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绩效评价原则主要是服务政府职能原则，规模适度原则，社会效益原则，合法性原则。</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本次绩效评价采用的方法是比较法、公众评判法。</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2021年义务教育薄弱学校改造专项资金绩效评价指标体系按照逻辑分析法设计，包括项目决策、项目管理、项目绩效三部分内容，主要围绕资金使用、资源配置、项目管理等客观分析项目的产出和效果，体现从投入、过程到产出、效果和影响的绩效逻辑路径。内在逻辑的一致性也增强了评价的科学性、严谨性和可行性。</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指标体系包括指标评分明细表和基础表两部分，指标评分明细表是评价的依据，基础表是支持评价的基础数据，由被评价单位负责填报。指标体系为评分所用，需要基础表、问卷调查和访谈的支持。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黑体" w:hAnsi="黑体" w:eastAsia="黑体" w:cs="黑体"/>
          <w:sz w:val="30"/>
          <w:szCs w:val="30"/>
        </w:rPr>
      </w:pPr>
      <w:r>
        <w:rPr>
          <w:rFonts w:hint="eastAsia" w:ascii="黑体" w:hAnsi="黑体" w:eastAsia="黑体" w:cs="黑体"/>
          <w:sz w:val="30"/>
          <w:szCs w:val="30"/>
        </w:rPr>
        <w:t>三、预算支出主要绩效及评价结论</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义务教育薄弱环节改善与能力提升专项项目资金1181万元，完成益阳市赫山区欧江岔镇中心学校、泉交河镇中心学校、岳家桥镇中心学校、衡龙桥镇中心学校、八字哨镇中心学校、衡龙桥镇莲花中学、兰溪镇新华学校、沧水铺芙蓉学校、紫竹学校、桃花仑小学、海棠学校、丁香小学等12所义务教育薄弱环节改善与能力提升。</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黑体" w:hAnsi="黑体" w:eastAsia="黑体" w:cs="黑体"/>
          <w:sz w:val="30"/>
          <w:szCs w:val="30"/>
        </w:rPr>
      </w:pPr>
      <w:r>
        <w:rPr>
          <w:rFonts w:hint="eastAsia" w:ascii="黑体" w:hAnsi="黑体" w:eastAsia="黑体" w:cs="黑体"/>
          <w:sz w:val="30"/>
          <w:szCs w:val="30"/>
        </w:rPr>
        <w:t>四、绩效评价指标分析</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left"/>
        <w:textAlignment w:val="auto"/>
        <w:rPr>
          <w:rFonts w:hint="eastAsia" w:ascii="仿宋" w:hAnsi="仿宋" w:eastAsia="仿宋" w:cs="仿宋"/>
          <w:b/>
          <w:sz w:val="30"/>
          <w:szCs w:val="30"/>
        </w:rPr>
      </w:pPr>
      <w:r>
        <w:rPr>
          <w:rFonts w:hint="eastAsia" w:ascii="仿宋" w:hAnsi="仿宋" w:eastAsia="仿宋" w:cs="仿宋"/>
          <w:b/>
          <w:sz w:val="30"/>
          <w:szCs w:val="30"/>
        </w:rPr>
        <w:t>（一）预算支出决策情况</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义务教育薄弱学校改造专项资金安排到各项目学校，总计下达项目资金</w:t>
      </w:r>
      <w:r>
        <w:rPr>
          <w:rFonts w:hint="eastAsia" w:ascii="仿宋" w:hAnsi="仿宋" w:eastAsia="仿宋" w:cs="仿宋"/>
          <w:color w:val="000000" w:themeColor="text1"/>
          <w:sz w:val="30"/>
          <w:szCs w:val="30"/>
          <w14:textFill>
            <w14:solidFill>
              <w14:schemeClr w14:val="tx1"/>
            </w14:solidFill>
          </w14:textFill>
        </w:rPr>
        <w:t>1181万元</w:t>
      </w:r>
      <w:r>
        <w:rPr>
          <w:rFonts w:hint="eastAsia" w:ascii="仿宋" w:hAnsi="仿宋" w:eastAsia="仿宋" w:cs="仿宋"/>
          <w:sz w:val="30"/>
          <w:szCs w:val="30"/>
        </w:rPr>
        <w:t>,全部安排到位。</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left"/>
        <w:textAlignment w:val="auto"/>
        <w:rPr>
          <w:rFonts w:hint="eastAsia" w:ascii="仿宋" w:hAnsi="仿宋" w:eastAsia="仿宋" w:cs="仿宋"/>
          <w:b/>
          <w:sz w:val="30"/>
          <w:szCs w:val="30"/>
        </w:rPr>
      </w:pPr>
      <w:r>
        <w:rPr>
          <w:rFonts w:hint="eastAsia" w:ascii="仿宋" w:hAnsi="仿宋" w:eastAsia="仿宋" w:cs="仿宋"/>
          <w:b/>
          <w:sz w:val="30"/>
          <w:szCs w:val="30"/>
        </w:rPr>
        <w:t>（二）预算执行过程情况</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以上项目资金严格按照省级规定的专项用途进行使用和安排。</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项目到校后，各项目均成立了以校长为组长、其他相关责任人为成员的项目实施领导小组，落实相关责任，并按指定的期限完成。</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left"/>
        <w:textAlignment w:val="auto"/>
        <w:rPr>
          <w:rFonts w:hint="eastAsia" w:ascii="仿宋" w:hAnsi="仿宋" w:eastAsia="仿宋" w:cs="仿宋"/>
          <w:b/>
          <w:sz w:val="30"/>
          <w:szCs w:val="30"/>
        </w:rPr>
      </w:pPr>
      <w:r>
        <w:rPr>
          <w:rFonts w:hint="eastAsia" w:ascii="仿宋" w:hAnsi="仿宋" w:eastAsia="仿宋" w:cs="仿宋"/>
          <w:b/>
          <w:sz w:val="30"/>
          <w:szCs w:val="30"/>
        </w:rPr>
        <w:t>（三）预算支出产出情况</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2021年，我区义务教育薄弱学校改造专项资金项目主要为学校基建（维修）工程项目。按照项目资金预算管理的要求，严格按照工程项目的标准进行预算安排项目资金，严格执行工程项目财政预算评审和国有资产配置标准审批程序，对奖补资金的拨付实行先做后补的原则，严格控制项目的预算成本，确保项目资金的使用效益。</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left"/>
        <w:textAlignment w:val="auto"/>
        <w:rPr>
          <w:rFonts w:hint="eastAsia" w:ascii="仿宋" w:hAnsi="仿宋" w:eastAsia="仿宋" w:cs="仿宋"/>
          <w:b/>
          <w:sz w:val="30"/>
          <w:szCs w:val="30"/>
        </w:rPr>
      </w:pPr>
      <w:r>
        <w:rPr>
          <w:rFonts w:hint="eastAsia" w:ascii="仿宋" w:hAnsi="仿宋" w:eastAsia="仿宋" w:cs="仿宋"/>
          <w:b/>
          <w:sz w:val="30"/>
          <w:szCs w:val="30"/>
        </w:rPr>
        <w:t>（四）预算支出效益情况</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通过项目学校的自评和现场评价，2021年我区义务教育薄弱学校改造专项资金项目实施正常，按实施进度要求，项目已经竣工并投入使用，项目完成质量达到预期目标。</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通过对全部项目的工作成果认真分析对比，项目实施完全达到预期工作成果，实现预期工作目标，项目的实施取得了良好的经济效益和社会效益，进一步推动了我区的教育发展，改善了中小学校办学条件，提高了办学水平。</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黑体" w:hAnsi="黑体" w:eastAsia="黑体" w:cs="黑体"/>
          <w:sz w:val="30"/>
          <w:szCs w:val="30"/>
        </w:rPr>
      </w:pPr>
      <w:r>
        <w:rPr>
          <w:rFonts w:hint="eastAsia" w:ascii="黑体" w:hAnsi="黑体" w:eastAsia="黑体" w:cs="黑体"/>
          <w:sz w:val="30"/>
          <w:szCs w:val="30"/>
        </w:rPr>
        <w:t>五、主要经验及做法、存在的问题及原因分析</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（一）主要经验</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b w:val="0"/>
          <w:bCs/>
          <w:sz w:val="30"/>
          <w:szCs w:val="30"/>
        </w:rPr>
        <w:t>1.强化项目制度管理。严格</w:t>
      </w:r>
      <w:r>
        <w:rPr>
          <w:rFonts w:hint="eastAsia" w:ascii="仿宋" w:hAnsi="仿宋" w:eastAsia="仿宋" w:cs="仿宋"/>
          <w:sz w:val="30"/>
          <w:szCs w:val="30"/>
        </w:rPr>
        <w:t>项目资金审批程序，确保项目顺利推进。我区对教育专项资金使用管理、项目立项审批、项目基建管理、项目政府采购和招投标等环节和事项进行了明确的规定。强化教育经费在预算、分配、拨付、财务管理、审计等全过程的监督检查，不断提高教育经费的使用效益。</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b w:val="0"/>
          <w:bCs/>
          <w:sz w:val="30"/>
          <w:szCs w:val="30"/>
        </w:rPr>
        <w:t>2.强化项目统筹管理。实行局领导和局机关各股室负责对联系学校项目建设的规划</w:t>
      </w:r>
      <w:r>
        <w:rPr>
          <w:rFonts w:hint="eastAsia" w:ascii="仿宋" w:hAnsi="仿宋" w:eastAsia="仿宋" w:cs="仿宋"/>
          <w:sz w:val="30"/>
          <w:szCs w:val="30"/>
        </w:rPr>
        <w:t>、立项、图审、预算评审、招标、施工、验收、决算、施工安全等进行全过程监督指导。建立和完善学校基建工程目标责任体系，层层明确责任，形成一级抓一级、层层抓落实的良好局面。</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b w:val="0"/>
          <w:bCs/>
          <w:sz w:val="30"/>
          <w:szCs w:val="30"/>
        </w:rPr>
        <w:t>3.打造“阳光财务”。加大</w:t>
      </w:r>
      <w:r>
        <w:rPr>
          <w:rFonts w:hint="eastAsia" w:ascii="仿宋" w:hAnsi="仿宋" w:eastAsia="仿宋" w:cs="仿宋"/>
          <w:sz w:val="30"/>
          <w:szCs w:val="30"/>
        </w:rPr>
        <w:t>政策宣传，保证教育经费从分配、使用、管理到评估等各个环节在阳光下运行，促进教育经费的公开透明。</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left"/>
        <w:textAlignment w:val="auto"/>
        <w:rPr>
          <w:rFonts w:hint="eastAsia" w:ascii="仿宋" w:hAnsi="仿宋" w:eastAsia="仿宋" w:cs="仿宋"/>
          <w:b/>
          <w:sz w:val="30"/>
          <w:szCs w:val="30"/>
        </w:rPr>
      </w:pPr>
      <w:r>
        <w:rPr>
          <w:rFonts w:hint="eastAsia" w:ascii="仿宋" w:hAnsi="仿宋" w:eastAsia="仿宋" w:cs="仿宋"/>
          <w:b/>
          <w:sz w:val="30"/>
          <w:szCs w:val="30"/>
        </w:rPr>
        <w:t>（二）存在的问题</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项目报批程序复杂，实施时间跨度大，项目实施进度缓慢。</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黑体" w:hAnsi="黑体" w:eastAsia="黑体" w:cs="黑体"/>
          <w:sz w:val="30"/>
          <w:szCs w:val="30"/>
        </w:rPr>
      </w:pPr>
      <w:r>
        <w:rPr>
          <w:rFonts w:hint="eastAsia" w:ascii="黑体" w:hAnsi="黑体" w:eastAsia="黑体" w:cs="黑体"/>
          <w:sz w:val="30"/>
          <w:szCs w:val="30"/>
        </w:rPr>
        <w:t>六、有关建议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义务教育学校基础设施设备实施薄弱，供需矛盾任然比较突出。标准化学校建设、城区化解大班额等项目，工程量大，资金需求量大，所建学校要达到标准化学校建设要求需要大量的资金投入，建议上级加大专项资金投入。</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黑体" w:hAnsi="黑体" w:eastAsia="黑体" w:cs="黑体"/>
          <w:sz w:val="30"/>
          <w:szCs w:val="30"/>
        </w:rPr>
      </w:pPr>
      <w:r>
        <w:rPr>
          <w:rFonts w:hint="eastAsia" w:ascii="黑体" w:hAnsi="黑体" w:eastAsia="黑体" w:cs="黑体"/>
          <w:sz w:val="30"/>
          <w:szCs w:val="30"/>
        </w:rPr>
        <w:t>七、其他需要说明的问题</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无。</w:t>
      </w:r>
    </w:p>
    <w:p>
      <w:pPr>
        <w:ind w:firstLine="600" w:firstLineChars="200"/>
        <w:jc w:val="left"/>
        <w:rPr>
          <w:rFonts w:hint="eastAsia" w:ascii="仿宋" w:hAnsi="仿宋" w:eastAsia="仿宋" w:cs="仿宋"/>
          <w:sz w:val="30"/>
          <w:szCs w:val="30"/>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30"/>
          <w:szCs w:val="30"/>
          <w:lang w:val="en-US" w:eastAsia="zh-CN"/>
        </w:rPr>
        <w:t>附件：</w:t>
      </w:r>
      <w:r>
        <w:rPr>
          <w:rFonts w:hint="eastAsia" w:ascii="仿宋" w:hAnsi="仿宋" w:eastAsia="仿宋" w:cs="仿宋"/>
          <w:sz w:val="30"/>
          <w:szCs w:val="30"/>
        </w:rPr>
        <w:t>2021年度项目支出绩效自评指标计分表</w:t>
      </w:r>
    </w:p>
    <w:p>
      <w:pPr>
        <w:spacing w:after="156" w:afterLines="50" w:line="400" w:lineRule="exact"/>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2021年度项目支出绩效自评指标计分表</w:t>
      </w:r>
    </w:p>
    <w:tbl>
      <w:tblPr>
        <w:tblStyle w:val="3"/>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3"/>
        <w:gridCol w:w="440"/>
        <w:gridCol w:w="772"/>
        <w:gridCol w:w="496"/>
        <w:gridCol w:w="2453"/>
        <w:gridCol w:w="3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543"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一级</w:t>
            </w:r>
            <w:r>
              <w:rPr>
                <w:rFonts w:ascii="宋体"/>
                <w:b/>
                <w:bCs/>
              </w:rPr>
              <w:br w:type="textWrapping"/>
            </w:r>
            <w:r>
              <w:rPr>
                <w:rFonts w:hint="eastAsia" w:ascii="宋体" w:hAnsi="宋体" w:cs="宋体"/>
                <w:b/>
                <w:bCs/>
              </w:rPr>
              <w:t>指标</w:t>
            </w:r>
          </w:p>
        </w:tc>
        <w:tc>
          <w:tcPr>
            <w:tcW w:w="440"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二级</w:t>
            </w:r>
            <w:r>
              <w:rPr>
                <w:rFonts w:ascii="宋体"/>
                <w:b/>
                <w:bCs/>
              </w:rPr>
              <w:br w:type="textWrapping"/>
            </w:r>
            <w:r>
              <w:rPr>
                <w:rFonts w:hint="eastAsia" w:ascii="宋体" w:hAnsi="宋体" w:cs="宋体"/>
                <w:b/>
                <w:bCs/>
              </w:rPr>
              <w:t>指标</w:t>
            </w:r>
          </w:p>
        </w:tc>
        <w:tc>
          <w:tcPr>
            <w:tcW w:w="772"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496" w:type="dxa"/>
          </w:tcPr>
          <w:p>
            <w:pPr>
              <w:spacing w:line="240" w:lineRule="exact"/>
              <w:jc w:val="center"/>
              <w:rPr>
                <w:rFonts w:ascii="宋体"/>
                <w:b/>
                <w:bCs/>
              </w:rPr>
            </w:pPr>
            <w:r>
              <w:rPr>
                <w:rFonts w:hint="eastAsia" w:ascii="宋体" w:hAnsi="宋体" w:cs="宋体"/>
                <w:b/>
                <w:bCs/>
              </w:rPr>
              <w:t>自评分</w:t>
            </w:r>
          </w:p>
        </w:tc>
        <w:tc>
          <w:tcPr>
            <w:tcW w:w="2453"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3928"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44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772"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496" w:type="dxa"/>
          </w:tcPr>
          <w:p>
            <w:pPr>
              <w:spacing w:line="240" w:lineRule="exact"/>
              <w:ind w:left="105" w:leftChars="50" w:right="105" w:rightChars="50"/>
              <w:rPr>
                <w:rFonts w:ascii="宋体"/>
              </w:rPr>
            </w:pPr>
            <w:r>
              <w:rPr>
                <w:rFonts w:hint="eastAsia" w:ascii="宋体"/>
              </w:rPr>
              <w:t>4</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3928"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①决策（立项）是否符合国家相关法律法规、国民经济发展规划和相关政策；</w:t>
            </w:r>
            <w:r>
              <w:rPr>
                <w:rFonts w:ascii="宋体"/>
              </w:rPr>
              <w:br w:type="textWrapping"/>
            </w:r>
            <w:r>
              <w:rPr>
                <w:rFonts w:hint="eastAsia" w:ascii="宋体" w:hAnsi="宋体" w:cs="宋体"/>
              </w:rPr>
              <w:t>②决策（立项）是否符合行业发展规划和政策要求；</w:t>
            </w:r>
            <w:r>
              <w:rPr>
                <w:rFonts w:ascii="宋体"/>
              </w:rPr>
              <w:br w:type="textWrapping"/>
            </w:r>
            <w:r>
              <w:rPr>
                <w:rFonts w:hint="eastAsia" w:ascii="宋体" w:hAnsi="宋体" w:cs="宋体"/>
              </w:rPr>
              <w:t>③决策（立项）是否与部门职责范围相符，属于部门履职所需；</w:t>
            </w:r>
            <w:r>
              <w:rPr>
                <w:rFonts w:ascii="宋体"/>
              </w:rPr>
              <w:br w:type="textWrapping"/>
            </w: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543"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440" w:type="dxa"/>
            <w:vMerge w:val="continue"/>
            <w:tcMar>
              <w:top w:w="10" w:type="dxa"/>
              <w:left w:w="10" w:type="dxa"/>
              <w:bottom w:w="0" w:type="dxa"/>
              <w:right w:w="10" w:type="dxa"/>
            </w:tcMar>
            <w:vAlign w:val="center"/>
          </w:tcPr>
          <w:p>
            <w:pPr>
              <w:spacing w:line="240" w:lineRule="exact"/>
              <w:jc w:val="center"/>
              <w:rPr>
                <w:rFonts w:ascii="宋体"/>
              </w:rPr>
            </w:pPr>
          </w:p>
        </w:tc>
        <w:tc>
          <w:tcPr>
            <w:tcW w:w="772"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496" w:type="dxa"/>
          </w:tcPr>
          <w:p>
            <w:pPr>
              <w:spacing w:line="240" w:lineRule="exact"/>
              <w:ind w:left="105" w:leftChars="50" w:right="105" w:rightChars="50"/>
              <w:rPr>
                <w:rFonts w:ascii="宋体"/>
              </w:rPr>
            </w:pPr>
            <w:r>
              <w:rPr>
                <w:rFonts w:hint="eastAsia" w:ascii="宋体"/>
              </w:rPr>
              <w:t>4</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3928"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543" w:type="dxa"/>
            <w:vMerge w:val="continue"/>
            <w:vAlign w:val="center"/>
          </w:tcPr>
          <w:p>
            <w:pPr>
              <w:spacing w:line="240" w:lineRule="exact"/>
              <w:rPr>
                <w:rFonts w:ascii="宋体"/>
              </w:rPr>
            </w:pPr>
          </w:p>
        </w:tc>
        <w:tc>
          <w:tcPr>
            <w:tcW w:w="440" w:type="dxa"/>
            <w:vMerge w:val="restart"/>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772"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496" w:type="dxa"/>
          </w:tcPr>
          <w:p>
            <w:pPr>
              <w:spacing w:line="240" w:lineRule="exact"/>
              <w:ind w:left="105" w:leftChars="50" w:right="105" w:rightChars="50"/>
              <w:rPr>
                <w:rFonts w:ascii="宋体"/>
              </w:rPr>
            </w:pPr>
            <w:r>
              <w:rPr>
                <w:rFonts w:hint="eastAsia" w:ascii="宋体"/>
              </w:rPr>
              <w:t>3</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3928"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40" w:type="dxa"/>
            <w:vMerge w:val="continue"/>
            <w:vAlign w:val="center"/>
          </w:tcPr>
          <w:p>
            <w:pPr>
              <w:spacing w:line="240" w:lineRule="exact"/>
              <w:jc w:val="center"/>
              <w:rPr>
                <w:rFonts w:ascii="宋体"/>
              </w:rPr>
            </w:pPr>
          </w:p>
        </w:tc>
        <w:tc>
          <w:tcPr>
            <w:tcW w:w="772"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496" w:type="dxa"/>
          </w:tcPr>
          <w:p>
            <w:pPr>
              <w:spacing w:line="240" w:lineRule="exact"/>
              <w:ind w:left="105" w:leftChars="50" w:right="105" w:rightChars="50"/>
              <w:rPr>
                <w:rFonts w:ascii="宋体"/>
              </w:rPr>
            </w:pPr>
            <w:r>
              <w:rPr>
                <w:rFonts w:hint="eastAsia" w:ascii="宋体"/>
              </w:rPr>
              <w:t>3</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3928"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①是否将预算支出绩效目标细化分解为具体的绩效指标；</w:t>
            </w:r>
            <w:r>
              <w:rPr>
                <w:rFonts w:ascii="宋体"/>
              </w:rPr>
              <w:br w:type="textWrapping"/>
            </w:r>
            <w:r>
              <w:rPr>
                <w:rFonts w:hint="eastAsia" w:ascii="宋体" w:hAnsi="宋体" w:cs="宋体"/>
              </w:rPr>
              <w:t>②是否通过清晰、可衡量的指标值予以体现；</w:t>
            </w:r>
            <w:r>
              <w:rPr>
                <w:rFonts w:ascii="宋体"/>
              </w:rPr>
              <w:br w:type="textWrapping"/>
            </w: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543" w:type="dxa"/>
            <w:vMerge w:val="continue"/>
            <w:vAlign w:val="center"/>
          </w:tcPr>
          <w:p>
            <w:pPr>
              <w:spacing w:line="240" w:lineRule="exact"/>
              <w:rPr>
                <w:rFonts w:ascii="宋体"/>
              </w:rPr>
            </w:pPr>
          </w:p>
        </w:tc>
        <w:tc>
          <w:tcPr>
            <w:tcW w:w="440" w:type="dxa"/>
            <w:vMerge w:val="restart"/>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772"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496" w:type="dxa"/>
          </w:tcPr>
          <w:p>
            <w:pPr>
              <w:spacing w:line="240" w:lineRule="exact"/>
              <w:ind w:left="105" w:leftChars="50" w:right="105" w:rightChars="50"/>
              <w:rPr>
                <w:rFonts w:ascii="宋体"/>
              </w:rPr>
            </w:pPr>
            <w:r>
              <w:rPr>
                <w:rFonts w:hint="eastAsia" w:ascii="宋体"/>
              </w:rPr>
              <w:t>3</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3928" w:type="dxa"/>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40" w:type="dxa"/>
            <w:vMerge w:val="continue"/>
            <w:vAlign w:val="center"/>
          </w:tcPr>
          <w:p>
            <w:pPr>
              <w:spacing w:line="240" w:lineRule="exact"/>
              <w:jc w:val="center"/>
              <w:rPr>
                <w:rFonts w:ascii="宋体"/>
              </w:rPr>
            </w:pPr>
          </w:p>
        </w:tc>
        <w:tc>
          <w:tcPr>
            <w:tcW w:w="772"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496" w:type="dxa"/>
          </w:tcPr>
          <w:p>
            <w:pPr>
              <w:spacing w:line="240" w:lineRule="exact"/>
              <w:ind w:left="105" w:leftChars="50" w:right="105" w:rightChars="50"/>
              <w:rPr>
                <w:rFonts w:ascii="宋体"/>
              </w:rPr>
            </w:pPr>
            <w:r>
              <w:rPr>
                <w:rFonts w:hint="eastAsia" w:ascii="宋体"/>
              </w:rPr>
              <w:t>3</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3928"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543" w:type="dxa"/>
            <w:vMerge w:val="restart"/>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44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资金</w:t>
            </w:r>
            <w:r>
              <w:rPr>
                <w:rFonts w:ascii="宋体"/>
              </w:rPr>
              <w:br w:type="textWrapping"/>
            </w:r>
            <w:r>
              <w:rPr>
                <w:rFonts w:hint="eastAsia" w:ascii="宋体" w:hAnsi="宋体" w:cs="宋体"/>
              </w:rPr>
              <w:t>管理（</w:t>
            </w:r>
            <w:r>
              <w:rPr>
                <w:rFonts w:ascii="宋体" w:hAnsi="宋体" w:cs="宋体"/>
              </w:rPr>
              <w:t>12</w:t>
            </w:r>
            <w:r>
              <w:rPr>
                <w:rFonts w:hint="eastAsia" w:ascii="宋体" w:hAnsi="宋体" w:cs="宋体"/>
              </w:rPr>
              <w:t>分）</w:t>
            </w:r>
          </w:p>
        </w:tc>
        <w:tc>
          <w:tcPr>
            <w:tcW w:w="772"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496" w:type="dxa"/>
          </w:tcPr>
          <w:p>
            <w:pPr>
              <w:spacing w:line="240" w:lineRule="exact"/>
              <w:ind w:left="105" w:leftChars="50" w:right="105" w:rightChars="50"/>
              <w:rPr>
                <w:rFonts w:ascii="宋体"/>
              </w:rPr>
            </w:pPr>
            <w:r>
              <w:rPr>
                <w:rFonts w:hint="eastAsia" w:ascii="宋体"/>
              </w:rPr>
              <w:t>4</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3928"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实际到位资金：一定时期（本年度或预算支出期）内落实到具体预算支出的资金。</w:t>
            </w:r>
            <w:r>
              <w:rPr>
                <w:rFonts w:ascii="宋体"/>
              </w:rPr>
              <w:br w:type="textWrapping"/>
            </w: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543" w:type="dxa"/>
            <w:vMerge w:val="continue"/>
            <w:vAlign w:val="center"/>
          </w:tcPr>
          <w:p>
            <w:pPr>
              <w:spacing w:line="240" w:lineRule="exact"/>
              <w:jc w:val="center"/>
              <w:rPr>
                <w:rFonts w:ascii="宋体"/>
              </w:rPr>
            </w:pPr>
          </w:p>
        </w:tc>
        <w:tc>
          <w:tcPr>
            <w:tcW w:w="440" w:type="dxa"/>
            <w:vMerge w:val="continue"/>
            <w:tcMar>
              <w:top w:w="10" w:type="dxa"/>
              <w:left w:w="10" w:type="dxa"/>
              <w:bottom w:w="0" w:type="dxa"/>
              <w:right w:w="10" w:type="dxa"/>
            </w:tcMar>
            <w:vAlign w:val="center"/>
          </w:tcPr>
          <w:p>
            <w:pPr>
              <w:spacing w:line="240" w:lineRule="exact"/>
              <w:jc w:val="center"/>
              <w:rPr>
                <w:rFonts w:ascii="宋体"/>
              </w:rPr>
            </w:pPr>
          </w:p>
        </w:tc>
        <w:tc>
          <w:tcPr>
            <w:tcW w:w="772"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496" w:type="dxa"/>
          </w:tcPr>
          <w:p>
            <w:pPr>
              <w:spacing w:line="240" w:lineRule="exact"/>
              <w:ind w:left="105" w:leftChars="50" w:right="105" w:rightChars="50"/>
              <w:rPr>
                <w:rFonts w:ascii="宋体"/>
              </w:rPr>
            </w:pPr>
            <w:r>
              <w:rPr>
                <w:rFonts w:hint="eastAsia" w:ascii="宋体"/>
              </w:rPr>
              <w:t>4</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3928"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jc w:val="center"/>
              <w:rPr>
                <w:rFonts w:ascii="宋体"/>
              </w:rPr>
            </w:pPr>
          </w:p>
        </w:tc>
        <w:tc>
          <w:tcPr>
            <w:tcW w:w="440" w:type="dxa"/>
            <w:vMerge w:val="continue"/>
            <w:vAlign w:val="center"/>
          </w:tcPr>
          <w:p>
            <w:pPr>
              <w:spacing w:line="240" w:lineRule="exact"/>
              <w:rPr>
                <w:rFonts w:ascii="宋体"/>
              </w:rPr>
            </w:pPr>
          </w:p>
        </w:tc>
        <w:tc>
          <w:tcPr>
            <w:tcW w:w="772"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496" w:type="dxa"/>
          </w:tcPr>
          <w:p>
            <w:pPr>
              <w:spacing w:line="240" w:lineRule="exact"/>
              <w:ind w:left="105" w:leftChars="50" w:right="105" w:rightChars="50"/>
              <w:rPr>
                <w:rFonts w:ascii="宋体"/>
              </w:rPr>
            </w:pPr>
            <w:r>
              <w:rPr>
                <w:rFonts w:hint="eastAsia" w:ascii="宋体"/>
              </w:rPr>
              <w:t>4</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3928"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44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772"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496" w:type="dxa"/>
          </w:tcPr>
          <w:p>
            <w:pPr>
              <w:spacing w:line="240" w:lineRule="exact"/>
              <w:ind w:left="105" w:leftChars="50" w:right="105" w:rightChars="50"/>
              <w:rPr>
                <w:rFonts w:ascii="宋体"/>
              </w:rPr>
            </w:pPr>
            <w:r>
              <w:rPr>
                <w:rFonts w:hint="eastAsia" w:ascii="宋体"/>
              </w:rPr>
              <w:t>4</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3928"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①是否已制定或具有相应的业务管理制度；</w:t>
            </w:r>
            <w:r>
              <w:rPr>
                <w:rFonts w:ascii="宋体"/>
              </w:rPr>
              <w:br w:type="textWrapping"/>
            </w: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40" w:type="dxa"/>
            <w:vMerge w:val="continue"/>
            <w:vAlign w:val="center"/>
          </w:tcPr>
          <w:p>
            <w:pPr>
              <w:spacing w:line="240" w:lineRule="exact"/>
              <w:rPr>
                <w:rFonts w:ascii="宋体"/>
              </w:rPr>
            </w:pPr>
          </w:p>
        </w:tc>
        <w:tc>
          <w:tcPr>
            <w:tcW w:w="772"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496" w:type="dxa"/>
          </w:tcPr>
          <w:p>
            <w:pPr>
              <w:spacing w:line="240" w:lineRule="exact"/>
              <w:ind w:left="105" w:leftChars="50" w:right="105" w:rightChars="50"/>
              <w:rPr>
                <w:rFonts w:ascii="宋体"/>
              </w:rPr>
            </w:pPr>
            <w:r>
              <w:rPr>
                <w:rFonts w:hint="eastAsia" w:ascii="宋体"/>
              </w:rPr>
              <w:t>4</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3928"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①是否遵守相关法律法规和相关管理规定；</w:t>
            </w:r>
            <w:r>
              <w:rPr>
                <w:rFonts w:ascii="宋体"/>
              </w:rPr>
              <w:br w:type="textWrapping"/>
            </w:r>
            <w:r>
              <w:rPr>
                <w:rFonts w:hint="eastAsia" w:ascii="宋体" w:hAnsi="宋体" w:cs="宋体"/>
              </w:rPr>
              <w:t>②预算支出调整及支出调整手续是否完备；</w:t>
            </w:r>
            <w:r>
              <w:rPr>
                <w:rFonts w:ascii="宋体"/>
              </w:rPr>
              <w:br w:type="textWrapping"/>
            </w:r>
            <w:r>
              <w:rPr>
                <w:rFonts w:hint="eastAsia" w:ascii="宋体" w:hAnsi="宋体" w:cs="宋体"/>
              </w:rPr>
              <w:t>③预算支出合同书、验收报告、技术鉴定等资料是否齐全并及时归档；</w:t>
            </w:r>
            <w:r>
              <w:rPr>
                <w:rFonts w:ascii="宋体"/>
              </w:rPr>
              <w:br w:type="textWrapping"/>
            </w: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543"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4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772"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496" w:type="dxa"/>
          </w:tcPr>
          <w:p>
            <w:pPr>
              <w:spacing w:line="240" w:lineRule="exact"/>
              <w:ind w:left="105" w:leftChars="50" w:right="105" w:rightChars="50"/>
              <w:rPr>
                <w:rFonts w:ascii="宋体"/>
              </w:rPr>
            </w:pPr>
            <w:r>
              <w:rPr>
                <w:rFonts w:hint="eastAsia" w:ascii="宋体"/>
              </w:rPr>
              <w:t>10</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3928"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实际产出数：一定时期（本年度或预算支出期）内预算支出实际产出的产品或提供的服务数量。</w:t>
            </w:r>
            <w:r>
              <w:rPr>
                <w:rFonts w:ascii="宋体"/>
              </w:rPr>
              <w:br w:type="textWrapping"/>
            </w: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543"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44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772"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496" w:type="dxa"/>
          </w:tcPr>
          <w:p>
            <w:pPr>
              <w:spacing w:line="240" w:lineRule="exact"/>
              <w:ind w:left="105" w:leftChars="50" w:right="105" w:rightChars="50"/>
              <w:rPr>
                <w:rFonts w:ascii="宋体"/>
              </w:rPr>
            </w:pPr>
            <w:r>
              <w:rPr>
                <w:rFonts w:hint="eastAsia" w:ascii="宋体"/>
              </w:rPr>
              <w:t>10</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3928"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543" w:type="dxa"/>
            <w:vMerge w:val="restart"/>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40"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772"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496" w:type="dxa"/>
          </w:tcPr>
          <w:p>
            <w:pPr>
              <w:spacing w:line="240" w:lineRule="exact"/>
              <w:ind w:left="105" w:leftChars="50" w:right="105" w:rightChars="50"/>
              <w:rPr>
                <w:rFonts w:ascii="宋体"/>
              </w:rPr>
            </w:pPr>
            <w:r>
              <w:rPr>
                <w:rFonts w:hint="eastAsia" w:ascii="宋体"/>
              </w:rPr>
              <w:t>10</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3928"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实际完成时间：预算支出实施单位完成该预算支出实际所耗用的时间。</w:t>
            </w:r>
            <w:r>
              <w:rPr>
                <w:rFonts w:ascii="宋体"/>
              </w:rPr>
              <w:br w:type="textWrapping"/>
            </w: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ind w:left="113"/>
              <w:rPr>
                <w:rFonts w:ascii="宋体"/>
              </w:rPr>
            </w:pPr>
          </w:p>
        </w:tc>
        <w:tc>
          <w:tcPr>
            <w:tcW w:w="440"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772"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496" w:type="dxa"/>
          </w:tcPr>
          <w:p>
            <w:pPr>
              <w:spacing w:line="240" w:lineRule="exact"/>
              <w:ind w:left="105" w:leftChars="50" w:right="105" w:rightChars="50"/>
              <w:rPr>
                <w:rFonts w:ascii="宋体"/>
              </w:rPr>
            </w:pPr>
            <w:r>
              <w:rPr>
                <w:rFonts w:hint="eastAsia" w:ascii="宋体"/>
              </w:rPr>
              <w:t>9</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3928"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实际成本：预算支出实施单位如期、保质、保量完成既定工作目标实际所耗费的支出。</w:t>
            </w:r>
            <w:r>
              <w:rPr>
                <w:rFonts w:ascii="宋体"/>
              </w:rPr>
              <w:br w:type="textWrapping"/>
            </w: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44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772"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496" w:type="dxa"/>
          </w:tcPr>
          <w:p>
            <w:pPr>
              <w:spacing w:line="240" w:lineRule="exact"/>
              <w:ind w:left="105" w:leftChars="50" w:right="105" w:rightChars="50"/>
              <w:rPr>
                <w:rFonts w:ascii="宋体"/>
              </w:rPr>
            </w:pPr>
            <w:r>
              <w:rPr>
                <w:rFonts w:hint="eastAsia" w:ascii="宋体"/>
              </w:rPr>
              <w:t>9</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3928"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40" w:type="dxa"/>
            <w:vMerge w:val="continue"/>
            <w:vAlign w:val="center"/>
          </w:tcPr>
          <w:p>
            <w:pPr>
              <w:spacing w:line="240" w:lineRule="exact"/>
              <w:rPr>
                <w:rFonts w:ascii="宋体"/>
              </w:rPr>
            </w:pPr>
          </w:p>
        </w:tc>
        <w:tc>
          <w:tcPr>
            <w:tcW w:w="772"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5" w:leftChars="50" w:right="105" w:rightChars="50"/>
              <w:jc w:val="center"/>
              <w:rPr>
                <w:rFonts w:ascii="宋体"/>
              </w:rPr>
            </w:pPr>
            <w:r>
              <w:rPr>
                <w:rFonts w:hint="eastAsia" w:ascii="宋体" w:hAnsi="宋体" w:cs="宋体"/>
              </w:rPr>
              <w:t>象满意度</w:t>
            </w:r>
          </w:p>
        </w:tc>
        <w:tc>
          <w:tcPr>
            <w:tcW w:w="496" w:type="dxa"/>
          </w:tcPr>
          <w:p>
            <w:pPr>
              <w:spacing w:line="240" w:lineRule="exact"/>
              <w:ind w:left="105" w:leftChars="50" w:right="105" w:rightChars="50"/>
              <w:rPr>
                <w:rFonts w:ascii="宋体"/>
              </w:rPr>
            </w:pPr>
            <w:r>
              <w:rPr>
                <w:rFonts w:hint="eastAsia" w:ascii="宋体"/>
              </w:rPr>
              <w:t>10</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3928"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spacing w:line="240" w:lineRule="exact"/>
              <w:rPr>
                <w:rFonts w:ascii="宋体"/>
              </w:rPr>
            </w:pPr>
            <w:r>
              <w:rPr>
                <w:rFonts w:hint="eastAsia" w:ascii="宋体" w:hAnsi="宋体" w:cs="宋体"/>
              </w:rPr>
              <w:t>总分</w:t>
            </w:r>
          </w:p>
        </w:tc>
        <w:tc>
          <w:tcPr>
            <w:tcW w:w="440" w:type="dxa"/>
            <w:vAlign w:val="center"/>
          </w:tcPr>
          <w:p>
            <w:pPr>
              <w:spacing w:line="240" w:lineRule="exact"/>
              <w:rPr>
                <w:rFonts w:ascii="宋体"/>
              </w:rPr>
            </w:pPr>
          </w:p>
        </w:tc>
        <w:tc>
          <w:tcPr>
            <w:tcW w:w="772" w:type="dxa"/>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496" w:type="dxa"/>
          </w:tcPr>
          <w:p>
            <w:pPr>
              <w:spacing w:line="240" w:lineRule="exact"/>
              <w:ind w:left="105" w:leftChars="50" w:right="105" w:rightChars="50"/>
              <w:rPr>
                <w:rFonts w:ascii="宋体"/>
              </w:rPr>
            </w:pPr>
            <w:r>
              <w:rPr>
                <w:rFonts w:hint="eastAsia" w:ascii="宋体"/>
              </w:rPr>
              <w:t>98</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p>
        </w:tc>
        <w:tc>
          <w:tcPr>
            <w:tcW w:w="3928" w:type="dxa"/>
            <w:tcMar>
              <w:top w:w="10" w:type="dxa"/>
              <w:left w:w="10" w:type="dxa"/>
              <w:bottom w:w="0" w:type="dxa"/>
              <w:right w:w="10" w:type="dxa"/>
            </w:tcMar>
            <w:vAlign w:val="center"/>
          </w:tcPr>
          <w:p>
            <w:pPr>
              <w:spacing w:line="240" w:lineRule="exact"/>
              <w:ind w:left="105" w:leftChars="50" w:right="105" w:rightChars="50"/>
              <w:rPr>
                <w:rFonts w:ascii="宋体"/>
              </w:rPr>
            </w:pPr>
          </w:p>
        </w:tc>
      </w:tr>
    </w:tbl>
    <w:p>
      <w:pPr>
        <w:jc w:val="left"/>
        <w:rPr>
          <w:rFonts w:hint="eastAsia" w:ascii="仿宋" w:hAnsi="仿宋" w:eastAsia="仿宋" w:cs="仿宋"/>
          <w:sz w:val="30"/>
          <w:szCs w:val="30"/>
          <w:lang w:val="en-US" w:eastAsia="zh-CN"/>
        </w:rPr>
        <w:sectPr>
          <w:pgSz w:w="11906" w:h="16838"/>
          <w:pgMar w:top="1440" w:right="1800" w:bottom="1440" w:left="1800" w:header="851" w:footer="992" w:gutter="0"/>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08" w:usb3="00000000" w:csb0="400001FF" w:csb1="FFFF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138A5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2023-06-27T03:19:27Z</dcterms:created>
  <dc:creator>admin-3</dc:creator>
  <cp:lastModifiedBy>admin-3</cp:lastModifiedBy>
  <dcterms:modified xsi:type="dcterms:W3CDTF">2023-06-27T03:19:57Z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E1AE15CF7AEB49199377AB3AE78F8661_12</vt:lpwstr>
  </property>
</Properties>
</file>