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lang w:val="en-US" w:eastAsia="zh-CN"/>
        </w:rPr>
        <w:t>益阳市赫山区</w:t>
      </w:r>
      <w:r>
        <w:rPr>
          <w:rFonts w:hint="eastAsia" w:ascii="黑体" w:hAnsi="黑体" w:eastAsia="黑体" w:cs="黑体"/>
          <w:b w:val="0"/>
          <w:bCs/>
          <w:color w:val="000000"/>
          <w:kern w:val="0"/>
          <w:sz w:val="36"/>
          <w:szCs w:val="36"/>
        </w:rPr>
        <w:t>教育局（本级）2021年度部门</w:t>
      </w:r>
    </w:p>
    <w:p>
      <w:pPr>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整体支出绩效评价报告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eastAsia="仿宋" w:cs="Times New Roman"/>
          <w:snapToGrid/>
          <w:color w:val="auto"/>
          <w:spacing w:val="0"/>
          <w:w w:val="100"/>
          <w:kern w:val="2"/>
          <w:position w:val="0"/>
          <w:sz w:val="32"/>
          <w:szCs w:val="32"/>
          <w:u w:val="none" w:color="auto"/>
          <w:vertAlign w:val="baseline"/>
          <w:lang w:val="en-US" w:eastAsia="zh-CN" w:bidi="ar-SA"/>
        </w:rPr>
      </w:pPr>
      <w:r>
        <w:rPr>
          <w:rFonts w:hint="eastAsia" w:ascii="仿宋" w:eastAsia="仿宋" w:cs="宋体"/>
          <w:snapToGrid/>
          <w:color w:val="auto"/>
          <w:spacing w:val="0"/>
          <w:w w:val="100"/>
          <w:kern w:val="0"/>
          <w:position w:val="0"/>
          <w:sz w:val="30"/>
          <w:szCs w:val="30"/>
          <w:u w:val="none" w:color="auto"/>
          <w:vertAlign w:val="baseline"/>
          <w:lang w:val="en-US" w:eastAsia="zh-CN" w:bidi="ar-SA"/>
        </w:rPr>
        <w:t>根据《益阳市赫山区人民政府关于全面推进预算绩效管理的实施意见》（益赫政发〔2016〕10号）、《益阳市赫山区财政办关于转发〈湖南省预算绩效管理工作规程（试行）的通知》（益赫财绩〔2017〕85号）等有关文件精神</w:t>
      </w:r>
      <w:r>
        <w:rPr>
          <w:rFonts w:hint="eastAsia" w:ascii="仿宋" w:eastAsia="仿宋" w:cs="Times New Roman"/>
          <w:snapToGrid/>
          <w:color w:val="auto"/>
          <w:spacing w:val="0"/>
          <w:w w:val="100"/>
          <w:kern w:val="2"/>
          <w:position w:val="0"/>
          <w:sz w:val="30"/>
          <w:szCs w:val="30"/>
          <w:u w:val="none" w:color="auto"/>
          <w:vertAlign w:val="baseline"/>
          <w:lang w:val="en-US" w:eastAsia="zh-CN" w:bidi="ar-SA"/>
        </w:rPr>
        <w:t>，本着独立、客观、公正、科学的原则，按照公认的绩效评价方法，我局积极组织，对2021年度本单位整体支出进行了绩效自评，现将具体绩效评价情况报告如下：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570" w:lineRule="exact"/>
        <w:ind w:left="0" w:right="0" w:firstLine="600" w:firstLineChars="200"/>
        <w:jc w:val="both"/>
        <w:textAlignment w:val="auto"/>
        <w:outlineLvl w:val="9"/>
        <w:rPr>
          <w:rFonts w:hint="eastAsia" w:ascii="黑体" w:eastAsia="黑体" w:cs="Times New Roman"/>
          <w:snapToGrid/>
          <w:color w:val="auto"/>
          <w:spacing w:val="0"/>
          <w:w w:val="100"/>
          <w:kern w:val="0"/>
          <w:position w:val="0"/>
          <w:sz w:val="30"/>
          <w:szCs w:val="30"/>
          <w:u w:val="none" w:color="auto"/>
          <w:vertAlign w:val="baseline"/>
          <w:lang w:val="en-US" w:eastAsia="zh-CN" w:bidi="ar-SA"/>
        </w:rPr>
      </w:pPr>
      <w:r>
        <w:rPr>
          <w:rFonts w:hint="eastAsia" w:ascii="黑体" w:eastAsia="黑体" w:cs="Times New Roman"/>
          <w:snapToGrid/>
          <w:color w:val="auto"/>
          <w:spacing w:val="0"/>
          <w:w w:val="100"/>
          <w:kern w:val="0"/>
          <w:position w:val="0"/>
          <w:sz w:val="30"/>
          <w:szCs w:val="30"/>
          <w:u w:val="none" w:color="auto"/>
          <w:vertAlign w:val="baseline"/>
          <w:lang w:val="en-US" w:eastAsia="zh-CN" w:bidi="ar-SA"/>
        </w:rPr>
        <w:t>一、基本情况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kern w:val="2"/>
          <w:sz w:val="30"/>
          <w:szCs w:val="30"/>
          <w:lang w:val="en-US" w:eastAsia="zh-CN" w:bidi="ar-SA"/>
        </w:rPr>
        <w:t>（一）</w:t>
      </w:r>
      <w:r>
        <w:rPr>
          <w:rFonts w:hint="eastAsia" w:ascii="仿宋" w:hAnsi="仿宋" w:eastAsia="仿宋" w:cs="仿宋"/>
          <w:b/>
          <w:bCs/>
          <w:sz w:val="30"/>
          <w:szCs w:val="30"/>
        </w:rPr>
        <w:t>部门职责</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贯彻执行教育工作法律法规和政策，拟订全区教育改革与发展规划并组织实施；</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负责全区各级各类教育的统筹规划和管理，会同有关部门制定各级各类学校的设置方案</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进行学校布局调整</w:t>
      </w:r>
      <w:r>
        <w:rPr>
          <w:rFonts w:hint="eastAsia" w:ascii="仿宋" w:hAnsi="仿宋" w:eastAsia="仿宋" w:cs="仿宋"/>
          <w:sz w:val="30"/>
          <w:szCs w:val="30"/>
        </w:rPr>
        <w:t>；</w:t>
      </w:r>
      <w:r>
        <w:rPr>
          <w:rFonts w:hint="eastAsia" w:ascii="仿宋" w:hAnsi="仿宋" w:eastAsia="仿宋" w:cs="仿宋"/>
          <w:sz w:val="30"/>
          <w:szCs w:val="30"/>
          <w:lang w:val="en-US" w:eastAsia="zh-CN"/>
        </w:rPr>
        <w:t>负责教育基本信息的统计、分析和发布。</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负责全区义务教育的宏观指导与管理，推进义务教育均衡发展，促进教育公平；指导全区普通高中教育、学前教育和特殊教育工作，推动素质教育全面实施；指导以就业为导向的职业教育的发展与改革；负责审批和管理全区民办教育工作</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贯彻落实中央和省、市有关普通高等学校、成人高等学校、中等专业学校、普通高中和职业高中的招生计划</w:t>
      </w:r>
      <w:r>
        <w:rPr>
          <w:rFonts w:hint="eastAsia" w:ascii="仿宋" w:hAnsi="仿宋" w:eastAsia="仿宋" w:cs="仿宋"/>
          <w:sz w:val="30"/>
          <w:szCs w:val="30"/>
          <w:lang w:eastAsia="zh-CN"/>
        </w:rPr>
        <w:t>。</w:t>
      </w:r>
      <w:r>
        <w:rPr>
          <w:rFonts w:hint="eastAsia" w:ascii="仿宋" w:hAnsi="仿宋" w:eastAsia="仿宋" w:cs="仿宋"/>
          <w:sz w:val="30"/>
          <w:szCs w:val="30"/>
        </w:rPr>
        <w:t>负责各类教育考试的组织实施</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指导全区各类学校的思想政治工作、德育教育、体育卫生与艺术教育以及国防教育工作，指导和协调教育系统的安全与稳定工作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负责组织、指导和管理全区校车交通安全工作。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依法管理全区教师工作；统筹规划全区教师队伍建设，协调管理全区教师人员编制；负责全区教师的职称评审、认定、聘任和岗位设置工作；负责教师资格采集认证和定期注册；负责初中及以下教师资格认定；负责全区教师培训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参与拟定全区教育经费筹措、教育拨款、教育基建投资政策和规划，统筹管理教育经费；负责统计和监测全区教育经费的投入和使用情况；管理全区资助经济困难学生工作；指导组织实施教育系统内部审计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8.统筹管理全区语言文字工作，制定全区语言文字规划并组织实施，指导推广普通话和规范字。</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9.组织、指导全区教育督导工作；负责全区教育、教学研究工作，负责全区各类教育教学质量评估工作。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10.完成区委、区政府、区委教育工作领导小组交办的其他工作任务</w:t>
      </w:r>
      <w:r>
        <w:rPr>
          <w:rFonts w:hint="eastAsia" w:ascii="仿宋" w:hAnsi="仿宋" w:eastAsia="仿宋" w:cs="仿宋"/>
          <w:sz w:val="30"/>
          <w:szCs w:val="30"/>
        </w:rPr>
        <w:t>。</w:t>
      </w:r>
    </w:p>
    <w:p>
      <w:pPr>
        <w:keepNext w:val="0"/>
        <w:keepLines w:val="0"/>
        <w:pageBreakBefore w:val="0"/>
        <w:widowControl/>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Cs/>
          <w:kern w:val="0"/>
          <w:sz w:val="30"/>
          <w:szCs w:val="30"/>
        </w:rPr>
      </w:pPr>
      <w:r>
        <w:rPr>
          <w:rFonts w:hint="eastAsia" w:ascii="仿宋" w:hAnsi="仿宋" w:eastAsia="仿宋" w:cs="仿宋"/>
          <w:b/>
          <w:bCs w:val="0"/>
          <w:kern w:val="0"/>
          <w:sz w:val="30"/>
          <w:szCs w:val="30"/>
        </w:rPr>
        <w:t>（</w:t>
      </w:r>
      <w:r>
        <w:rPr>
          <w:rFonts w:hint="eastAsia" w:ascii="仿宋" w:hAnsi="仿宋" w:eastAsia="仿宋" w:cs="仿宋"/>
          <w:b/>
          <w:bCs w:val="0"/>
          <w:kern w:val="0"/>
          <w:sz w:val="30"/>
          <w:szCs w:val="30"/>
          <w:lang w:val="en-US" w:eastAsia="zh-CN"/>
        </w:rPr>
        <w:t>二</w:t>
      </w:r>
      <w:r>
        <w:rPr>
          <w:rFonts w:hint="eastAsia" w:ascii="仿宋" w:hAnsi="仿宋" w:eastAsia="仿宋" w:cs="仿宋"/>
          <w:b/>
          <w:bCs w:val="0"/>
          <w:kern w:val="0"/>
          <w:sz w:val="30"/>
          <w:szCs w:val="30"/>
        </w:rPr>
        <w:t>）内设机构</w:t>
      </w:r>
      <w:r>
        <w:rPr>
          <w:rFonts w:hint="eastAsia" w:ascii="仿宋" w:hAnsi="仿宋" w:eastAsia="仿宋" w:cs="仿宋"/>
          <w:b/>
          <w:bCs w:val="0"/>
          <w:kern w:val="0"/>
          <w:sz w:val="30"/>
          <w:szCs w:val="30"/>
          <w:lang w:val="en-US" w:eastAsia="zh-CN"/>
        </w:rPr>
        <w:t>设置及人员编制情况</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pPr>
      <w:r>
        <w:rPr>
          <w:rFonts w:hint="eastAsia" w:ascii="仿宋" w:hAnsi="仿宋" w:eastAsia="仿宋" w:cs="仿宋"/>
          <w:bCs/>
          <w:kern w:val="0"/>
          <w:sz w:val="30"/>
          <w:szCs w:val="30"/>
        </w:rPr>
        <w:t>益阳市赫山区教育局</w:t>
      </w:r>
      <w:r>
        <w:rPr>
          <w:rFonts w:hint="eastAsia" w:ascii="仿宋" w:hAnsi="仿宋" w:eastAsia="仿宋" w:cs="仿宋"/>
          <w:bCs/>
          <w:kern w:val="0"/>
          <w:sz w:val="30"/>
          <w:szCs w:val="30"/>
          <w:lang w:eastAsia="zh-CN"/>
        </w:rPr>
        <w:t>（</w:t>
      </w:r>
      <w:r>
        <w:rPr>
          <w:rFonts w:hint="eastAsia" w:ascii="仿宋" w:hAnsi="仿宋" w:eastAsia="仿宋" w:cs="仿宋"/>
          <w:bCs/>
          <w:kern w:val="0"/>
          <w:sz w:val="30"/>
          <w:szCs w:val="30"/>
          <w:lang w:val="en-US" w:eastAsia="zh-CN"/>
        </w:rPr>
        <w:t>本级）</w:t>
      </w:r>
      <w:r>
        <w:rPr>
          <w:rFonts w:hint="eastAsia" w:ascii="仿宋" w:hAnsi="仿宋" w:eastAsia="仿宋" w:cs="仿宋"/>
          <w:bCs/>
          <w:kern w:val="0"/>
          <w:sz w:val="30"/>
          <w:szCs w:val="30"/>
        </w:rPr>
        <w:t>共有内设股室10个（办公室、人事股、基础教育股、职业教育与成人教育股、计划财务股、安全法制股、审计股、党建工作办公室、行政审批服务股、纪检监察室），挂扣股室8个（区委教育工作领导小组秘书组秘书室、学前教育股、民办教育管理办公室、教师工作站、基建管理站、招商办、校车安全管理办公室、阳光服务中心）</w:t>
      </w:r>
      <w:r>
        <w:rPr>
          <w:rFonts w:hint="eastAsia" w:ascii="仿宋" w:hAnsi="仿宋" w:eastAsia="仿宋" w:cs="仿宋"/>
          <w:bCs/>
          <w:kern w:val="0"/>
          <w:sz w:val="30"/>
          <w:szCs w:val="30"/>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lang w:eastAsia="zh-CN"/>
        </w:rPr>
        <w:t>下</w:t>
      </w:r>
      <w:r>
        <w:rPr>
          <w:rFonts w:hint="eastAsia" w:ascii="仿宋" w:hAnsi="仿宋" w:eastAsia="仿宋" w:cs="仿宋"/>
          <w:bCs/>
          <w:kern w:val="0"/>
          <w:sz w:val="30"/>
          <w:szCs w:val="30"/>
        </w:rPr>
        <w:t>设二级机构6个（招生考试中心、教育信息化中心、学生资助中心、教育后勤服务中心、教育集中支付中心、教育物资采购和国有资产管理中心）。</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lang w:eastAsia="zh-CN"/>
        </w:rPr>
        <w:t>本部门</w:t>
      </w:r>
      <w:r>
        <w:rPr>
          <w:rFonts w:hint="eastAsia" w:ascii="仿宋" w:hAnsi="仿宋" w:eastAsia="仿宋" w:cs="仿宋"/>
          <w:bCs/>
          <w:kern w:val="0"/>
          <w:sz w:val="30"/>
          <w:szCs w:val="30"/>
        </w:rPr>
        <w:t>现有在职</w:t>
      </w:r>
      <w:r>
        <w:rPr>
          <w:rFonts w:hint="eastAsia" w:ascii="仿宋" w:hAnsi="仿宋" w:eastAsia="仿宋" w:cs="仿宋"/>
          <w:bCs/>
          <w:kern w:val="0"/>
          <w:sz w:val="30"/>
          <w:szCs w:val="30"/>
          <w:lang w:eastAsia="zh-CN"/>
        </w:rPr>
        <w:t>干职工</w:t>
      </w:r>
      <w:r>
        <w:rPr>
          <w:rFonts w:hint="eastAsia" w:ascii="仿宋" w:hAnsi="仿宋" w:eastAsia="仿宋" w:cs="仿宋"/>
          <w:bCs/>
          <w:kern w:val="0"/>
          <w:sz w:val="30"/>
          <w:szCs w:val="30"/>
          <w:lang w:val="en-US" w:eastAsia="zh-CN"/>
        </w:rPr>
        <w:t>118</w:t>
      </w:r>
      <w:r>
        <w:rPr>
          <w:rFonts w:hint="eastAsia" w:ascii="仿宋" w:hAnsi="仿宋" w:eastAsia="仿宋" w:cs="仿宋"/>
          <w:bCs/>
          <w:kern w:val="0"/>
          <w:sz w:val="30"/>
          <w:szCs w:val="30"/>
        </w:rPr>
        <w:t>人（其中自收自支人员</w:t>
      </w: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人），</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Cs/>
          <w:kern w:val="0"/>
          <w:sz w:val="30"/>
          <w:szCs w:val="30"/>
        </w:rPr>
        <w:t>离退休教师</w:t>
      </w:r>
      <w:r>
        <w:rPr>
          <w:rFonts w:hint="eastAsia" w:ascii="仿宋" w:hAnsi="仿宋" w:eastAsia="仿宋" w:cs="仿宋"/>
          <w:bCs/>
          <w:kern w:val="0"/>
          <w:sz w:val="30"/>
          <w:szCs w:val="30"/>
          <w:lang w:val="en-US" w:eastAsia="zh-CN"/>
        </w:rPr>
        <w:t>66</w:t>
      </w:r>
      <w:r>
        <w:rPr>
          <w:rFonts w:hint="eastAsia" w:ascii="仿宋" w:hAnsi="仿宋" w:eastAsia="仿宋" w:cs="仿宋"/>
          <w:bCs/>
          <w:kern w:val="0"/>
          <w:sz w:val="30"/>
          <w:szCs w:val="30"/>
        </w:rPr>
        <w:t>人，共计</w:t>
      </w:r>
      <w:r>
        <w:rPr>
          <w:rFonts w:hint="eastAsia" w:ascii="仿宋" w:hAnsi="仿宋" w:eastAsia="仿宋" w:cs="仿宋"/>
          <w:bCs/>
          <w:kern w:val="0"/>
          <w:sz w:val="30"/>
          <w:szCs w:val="30"/>
          <w:lang w:val="en-US" w:eastAsia="zh-CN"/>
        </w:rPr>
        <w:t>184</w:t>
      </w:r>
      <w:r>
        <w:rPr>
          <w:rFonts w:hint="eastAsia" w:ascii="仿宋" w:hAnsi="仿宋" w:eastAsia="仿宋" w:cs="仿宋"/>
          <w:bCs/>
          <w:kern w:val="0"/>
          <w:sz w:val="30"/>
          <w:szCs w:val="30"/>
        </w:rPr>
        <w:t>人，财政负担享受遗属补助人数</w:t>
      </w:r>
      <w:r>
        <w:rPr>
          <w:rFonts w:hint="eastAsia" w:ascii="仿宋" w:hAnsi="仿宋" w:eastAsia="仿宋" w:cs="仿宋"/>
          <w:bCs/>
          <w:kern w:val="0"/>
          <w:sz w:val="30"/>
          <w:szCs w:val="30"/>
          <w:lang w:val="en-US" w:eastAsia="zh-CN"/>
        </w:rPr>
        <w:t>11</w:t>
      </w:r>
      <w:r>
        <w:rPr>
          <w:rFonts w:hint="eastAsia" w:ascii="仿宋" w:hAnsi="仿宋" w:eastAsia="仿宋" w:cs="仿宋"/>
          <w:bCs/>
          <w:kern w:val="0"/>
          <w:sz w:val="30"/>
          <w:szCs w:val="30"/>
        </w:rPr>
        <w:t>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（一）部门整体支出概况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益阳市赫山区教育局（本级）是赫山区人民政府主管全区教育事业的职能部门。2021年度益阳市赫山区教育局（本级）一般公共预算财政拨款支出总计786.09万元，其中：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default"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1）基本支出786.09万元，比上年增加103.96万元，增加15.24%，主要原因是人员经费和水电费都加。（注：①工资福利支出622.20万元、②商品和服务支出143.64万元、③对个人和家庭的补助支出6.00万元，其他支出14.25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（2）项目支出0万元。与上年执平。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（二）部门整体支出绩效目标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市委、市政府重点工作指标：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预决算公开：根据区财政局的统一部署及相关要求，我局已在赫山信息网站上进行了预算公开。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存量资金管理：我局已实行国库集中支付管理。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资产管理：建立了固定资产台帐，指定专人管理，及时登记，科学使用，实现了“一物一卡一条码”。固定资产的折旧、购入、调出、处置、报废、报损严格执行国家有关规定的审批程序办理。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“三公”经费控制：2021年，教育局系统“三公”经费支出3.06万元，其中：公务用车运行维护费0万元，公务接待费3.06万元，无出国出境费。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内部控制制度建设：2021年，我局制定了《赫山区教育局机关管理制度》、《机关财务管理制度》、《系统财务管理制度》《赫山区教育局物资采购制度》、《内部审计制度》等一系列内部控制制度，相关制度合法合规、完整，并得到有效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绩效目标完成情况：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（三）部门整体支出实施情况分析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我局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黑体" w:hAnsi="黑体" w:eastAsia="黑体" w:cs="黑体"/>
          <w:snapToGrid/>
          <w:color w:val="auto"/>
          <w:spacing w:val="0"/>
          <w:w w:val="100"/>
          <w:kern w:val="0"/>
          <w:position w:val="0"/>
          <w:sz w:val="30"/>
          <w:szCs w:val="30"/>
          <w:u w:val="none" w:color="auto"/>
          <w:vertAlign w:val="baseline"/>
          <w:lang w:val="en-US" w:eastAsia="zh-CN" w:bidi="ar-SA"/>
        </w:rPr>
      </w:pPr>
      <w:r>
        <w:rPr>
          <w:rFonts w:hint="eastAsia" w:ascii="黑体" w:hAnsi="黑体" w:eastAsia="黑体" w:cs="黑体"/>
          <w:snapToGrid/>
          <w:color w:val="auto"/>
          <w:spacing w:val="0"/>
          <w:w w:val="100"/>
          <w:kern w:val="0"/>
          <w:position w:val="0"/>
          <w:sz w:val="30"/>
          <w:szCs w:val="30"/>
          <w:u w:val="none" w:color="auto"/>
          <w:vertAlign w:val="baseline"/>
          <w:lang w:val="en-US" w:eastAsia="zh-CN" w:bidi="ar-SA"/>
        </w:rPr>
        <w:t>二、绩效评价工作情况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（一）绩效评价目的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本次绩效评价的目的是为了全面分析和综合评价本部门本级财政预算资金的使用管理情况，为切实提高财政资金使用效益，强化预算支出的责任和效率提供参考依据。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（二）绩效评价工作过程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1.前期准备。按照绩效自评工作要求，成立了以任长青局长为组长的绩效评价工作小组，于6月15日前完成现场评价工作。现场绩效评价工作主要有：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①核实数据。对2021年度部门整体支出数据的准确性、真实性进行核实，将2021年度和2020年度部门整体支出情况进行比较分析。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②查阅资料。查阅2021年度预算安排、非税收入、预算追加、资金管理、经费支出、资产管理等相关文件资料和财务凭证。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③实地查看。现场查看实物资产等。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④发放调查问卷。对部门履行职责情况的公众满意度进行调查。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⑤归纳汇总。对提供的材料及自评报告，结合现场评价情况进行综合分析、归纳汇总。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⑥评价组对各项评价指标进行分析讨论。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⑦形成绩效评价报告。</w:t>
      </w:r>
    </w:p>
    <w:p>
      <w:pPr>
        <w:keepNext w:val="0"/>
        <w:keepLines w:val="0"/>
        <w:pageBreakBefore w:val="0"/>
        <w:widowControl w:val="0"/>
        <w:suppressLineNumbers w:val="0"/>
        <w:suppressAutoHyphens w:val="0"/>
        <w:kinsoku/>
        <w:wordWrap/>
        <w:overflowPunct/>
        <w:topLinePunct w:val="0"/>
        <w:autoSpaceDN/>
        <w:bidi w:val="0"/>
        <w:spacing w:line="600" w:lineRule="exact"/>
        <w:ind w:left="0" w:firstLine="600" w:firstLineChars="200"/>
        <w:rPr>
          <w:rFonts w:hint="eastAsia" w:ascii="黑体" w:hAnsi="黑体" w:eastAsia="黑体" w:cs="黑体"/>
          <w:snapToGrid/>
          <w:color w:val="auto"/>
          <w:spacing w:val="0"/>
          <w:w w:val="100"/>
          <w:kern w:val="0"/>
          <w:position w:val="0"/>
          <w:sz w:val="30"/>
          <w:szCs w:val="30"/>
          <w:u w:val="none" w:color="auto"/>
          <w:vertAlign w:val="baseline"/>
          <w:lang w:val="en-US" w:eastAsia="zh-CN" w:bidi="ar-SA"/>
        </w:rPr>
      </w:pPr>
      <w:r>
        <w:rPr>
          <w:rFonts w:hint="eastAsia" w:ascii="黑体" w:hAnsi="黑体" w:eastAsia="黑体" w:cs="黑体"/>
          <w:color w:val="auto"/>
          <w:kern w:val="0"/>
          <w:sz w:val="30"/>
          <w:szCs w:val="30"/>
        </w:rPr>
        <w:t>三、主要绩效及评价结论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highlight w:val="none"/>
          <w:u w:val="none" w:color="auto"/>
          <w:vertAlign w:val="baseline"/>
          <w:lang w:val="en-US" w:eastAsia="zh-CN" w:bidi="ar-SA"/>
        </w:rPr>
        <w:t>（一）主要绩效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1.全面落实意识形态工作。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深入学习贯彻习近平新时代中国特色社会主义思想和党的十九届五中、六中全会精神和全省第十二次党代会精神，组织开展中心组理论集中学习12次。扎实开展党史学习教育，获全市教育系统“学党史、感党恩、听党话、跟党走”党史知识竞赛中一等奖。推进“双培”工程，新发展党员81名，骨干教师占85%。高规格举办庆祝建党100周年大型文艺汇演活动，邀请区“四大家”主要领导出席，表彰优秀共产党员和党务工作者45名、先进基层党组织5个。受理群众来信、来电、来访及网络舆情1152件次，实现办结率100%，满意率93.2%。建立健全教育系统信息工作队伍，在市级以上媒体发稿1169篇，区级及以上电视台播发新闻45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2.全面深化教育体制机制改革。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大力推进“一镇三优 一校一品”建设。重点支持每个乡镇建好一所初中、一所小学、一所幼儿园，促进新优质学校、品牌学校成长，努力缩小城乡教育差距，让乡镇孩子从幼儿园开始便能在家门口享受优质教育。目前，认定首批优质学校14所，确定优质品牌立项单位30个。在全市试点、示范开展义务教育学校招生入学“一件事一次办”改革，通过流程优化、信息共享，实现新生入学“统一申报、全程网办、一次办成”。成功申报成为“湖南省教育评价改革试点地区”，推进实施“督-导-评-改”协同化评价机制，形成“督导发现、研训指导、综合评价、改进反馈”评价路径，沧水铺镇芙蓉学校《基于项目式学习的乡村学校劳动教育课程建设》成功入选全国48个典型案例之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3.教育民生工程落到实处。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持续优化办学条件，新建衡龙桥镇学校教学综合楼，秀峰路学校综合楼、运动场和欧江岔镇牌口学校学生宿舍楼；加速推进箴言龙光桥学校改扩建工程和凤山小学、世通学校新建工程；全力推进沧水铺镇芙蓉学校建设。有力有序推动“双减”工作，召开全区“双减”等五项重点工作推进会议，创造性提出落实“双减”工作“赋能提质”十条措施，率先出台赫山区中小学作业设计布置与评价指导意见，重拳整治校外培训机构乱象，已注销75所有证有照的校外培训机构，关停84所无证有照、无证无照校外培训机构，公示全区192家校外培训机构白名单，学生“减负”工作初见成效。</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00" w:firstLineChars="200"/>
        <w:textAlignment w:val="auto"/>
        <w:rPr>
          <w:rFonts w:hint="eastAsia" w:ascii="仿宋" w:hAnsi="仿宋" w:eastAsia="仿宋" w:cs="仿宋"/>
          <w:b w:val="0"/>
          <w:bCs/>
          <w:color w:val="auto"/>
          <w:sz w:val="30"/>
          <w:szCs w:val="30"/>
          <w:lang w:val="en-US" w:eastAsia="zh-CN"/>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4.不断加强教育队伍建设。</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val="0"/>
          <w:bCs/>
          <w:color w:val="auto"/>
          <w:sz w:val="30"/>
          <w:szCs w:val="30"/>
        </w:rPr>
        <w:t>加大教师补充力度</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rPr>
        <w:t>通过公开招聘、区外选调、定向委培等途径，共补充教师</w:t>
      </w:r>
      <w:r>
        <w:rPr>
          <w:rFonts w:hint="eastAsia" w:ascii="仿宋" w:hAnsi="仿宋" w:eastAsia="仿宋" w:cs="仿宋"/>
          <w:b w:val="0"/>
          <w:bCs/>
          <w:color w:val="auto"/>
          <w:sz w:val="30"/>
          <w:szCs w:val="30"/>
          <w:lang w:val="en-US" w:eastAsia="zh-CN"/>
        </w:rPr>
        <w:t>289</w:t>
      </w:r>
      <w:r>
        <w:rPr>
          <w:rFonts w:hint="eastAsia" w:ascii="仿宋" w:hAnsi="仿宋" w:eastAsia="仿宋" w:cs="仿宋"/>
          <w:b w:val="0"/>
          <w:bCs/>
          <w:color w:val="auto"/>
          <w:sz w:val="30"/>
          <w:szCs w:val="30"/>
        </w:rPr>
        <w:t>人。</w:t>
      </w:r>
      <w:r>
        <w:rPr>
          <w:rFonts w:hint="eastAsia" w:ascii="仿宋" w:hAnsi="仿宋" w:eastAsia="仿宋" w:cs="仿宋"/>
          <w:color w:val="auto"/>
          <w:sz w:val="30"/>
          <w:szCs w:val="30"/>
          <w:highlight w:val="none"/>
          <w:lang w:val="en-US" w:eastAsia="zh-CN"/>
        </w:rPr>
        <w:t>推进教师专业化发展，组织遴选首席名师、卓越校（园）长、优秀教研员和骨干教师共100名，切实提升教师专业化水平。</w:t>
      </w:r>
      <w:r>
        <w:rPr>
          <w:rFonts w:hint="eastAsia" w:ascii="仿宋" w:hAnsi="仿宋" w:eastAsia="仿宋" w:cs="仿宋"/>
          <w:b w:val="0"/>
          <w:bCs/>
          <w:color w:val="auto"/>
          <w:sz w:val="30"/>
          <w:szCs w:val="30"/>
          <w:lang w:val="en-US" w:eastAsia="zh-CN"/>
        </w:rPr>
        <w:t>加强党风廉政和</w:t>
      </w:r>
      <w:r>
        <w:rPr>
          <w:rFonts w:hint="eastAsia" w:ascii="仿宋" w:hAnsi="仿宋" w:eastAsia="仿宋" w:cs="仿宋"/>
          <w:sz w:val="30"/>
          <w:szCs w:val="30"/>
        </w:rPr>
        <w:t>师德师风</w:t>
      </w:r>
      <w:r>
        <w:rPr>
          <w:rFonts w:hint="eastAsia" w:ascii="仿宋" w:hAnsi="仿宋" w:eastAsia="仿宋" w:cs="仿宋"/>
          <w:sz w:val="30"/>
          <w:szCs w:val="30"/>
          <w:lang w:eastAsia="zh-CN"/>
        </w:rPr>
        <w:t>建设，召开全系统党风廉政暨师德师风建设工作推进会议，举办全系统财务管理及纪检监察工作专题培训班</w:t>
      </w:r>
      <w:r>
        <w:rPr>
          <w:rFonts w:hint="eastAsia" w:ascii="仿宋" w:hAnsi="仿宋" w:eastAsia="仿宋" w:cs="仿宋"/>
          <w:sz w:val="30"/>
          <w:szCs w:val="30"/>
        </w:rPr>
        <w:t>，加大对教育乱收费、学校违规招生、教师违规补课等不正之风的整治力度，真正做到以学促改、以案为戒。</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00" w:firstLineChars="200"/>
        <w:textAlignment w:val="auto"/>
        <w:rPr>
          <w:rFonts w:hint="eastAsia" w:ascii="仿宋" w:hAnsi="仿宋" w:eastAsia="仿宋" w:cs="仿宋"/>
          <w:b w:val="0"/>
          <w:bCs/>
          <w:color w:val="auto"/>
          <w:sz w:val="30"/>
          <w:szCs w:val="30"/>
          <w:lang w:val="en-US" w:eastAsia="zh-CN"/>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5.不断提高教育办学水平</w:t>
      </w:r>
      <w:r>
        <w:rPr>
          <w:rFonts w:hint="eastAsia" w:ascii="仿宋" w:hAnsi="仿宋" w:eastAsia="仿宋" w:cs="仿宋"/>
          <w:b w:val="0"/>
          <w:bCs/>
          <w:color w:val="auto"/>
          <w:sz w:val="30"/>
          <w:szCs w:val="30"/>
          <w:lang w:val="en-US" w:eastAsia="zh-CN"/>
        </w:rPr>
        <w:t>。</w:t>
      </w:r>
    </w:p>
    <w:p>
      <w:pPr>
        <w:pStyle w:val="9"/>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bCs/>
          <w:kern w:val="2"/>
          <w:sz w:val="30"/>
          <w:szCs w:val="30"/>
          <w:lang w:val="en-US" w:eastAsia="zh-CN" w:bidi="ar-SA"/>
        </w:rPr>
        <w:t>教育教学质量不断提高，2021年中考全区九科总平均分、总合格率均列全市第二名，总优秀率列全市第一名；高考综合排名全市第二名；中、高考综合排名全市第一名，获全市教育教学质量综合考评优胜奖。</w:t>
      </w:r>
      <w:r>
        <w:rPr>
          <w:rFonts w:hint="eastAsia" w:ascii="仿宋" w:hAnsi="仿宋" w:eastAsia="仿宋" w:cs="仿宋"/>
          <w:bCs/>
          <w:kern w:val="2"/>
          <w:sz w:val="30"/>
          <w:szCs w:val="30"/>
          <w:lang w:val="en-US" w:eastAsia="zh-CN" w:bidi="ar"/>
        </w:rPr>
        <w:t>深入推进职业教育发展。</w:t>
      </w:r>
      <w:r>
        <w:rPr>
          <w:rFonts w:hint="eastAsia" w:ascii="仿宋" w:hAnsi="仿宋" w:eastAsia="仿宋" w:cs="仿宋"/>
          <w:sz w:val="30"/>
          <w:szCs w:val="30"/>
          <w:lang w:val="en-US" w:eastAsia="zh-CN"/>
        </w:rPr>
        <w:t>区职业教育中心建设项目</w:t>
      </w:r>
      <w:r>
        <w:rPr>
          <w:rFonts w:hint="eastAsia" w:ascii="仿宋" w:hAnsi="仿宋" w:eastAsia="仿宋" w:cs="仿宋"/>
          <w:bCs/>
          <w:kern w:val="2"/>
          <w:sz w:val="30"/>
          <w:szCs w:val="30"/>
          <w:lang w:eastAsia="zh-CN"/>
        </w:rPr>
        <w:t>已完成立项、选址、规划工作，并</w:t>
      </w:r>
      <w:r>
        <w:rPr>
          <w:rFonts w:hint="eastAsia" w:ascii="仿宋" w:hAnsi="仿宋" w:eastAsia="仿宋" w:cs="仿宋"/>
          <w:sz w:val="30"/>
          <w:szCs w:val="30"/>
          <w:lang w:val="en-US" w:eastAsia="zh-CN"/>
        </w:rPr>
        <w:t>纳入全省重点建设项目库、全</w:t>
      </w:r>
      <w:r>
        <w:rPr>
          <w:rFonts w:hint="eastAsia" w:ascii="仿宋" w:hAnsi="仿宋" w:eastAsia="仿宋" w:cs="仿宋"/>
          <w:sz w:val="30"/>
          <w:szCs w:val="30"/>
        </w:rPr>
        <w:t>省首批楚怡学校建设项目范围。</w:t>
      </w:r>
      <w:r>
        <w:rPr>
          <w:rFonts w:hint="eastAsia" w:ascii="仿宋" w:hAnsi="仿宋" w:eastAsia="仿宋" w:cs="仿宋"/>
          <w:bCs/>
          <w:kern w:val="2"/>
          <w:sz w:val="30"/>
          <w:szCs w:val="30"/>
          <w:lang w:val="en-US" w:eastAsia="zh-CN" w:bidi="ar"/>
        </w:rPr>
        <w:t>继续推进公办幼儿园学位建设，</w:t>
      </w:r>
      <w:r>
        <w:rPr>
          <w:rFonts w:hint="eastAsia" w:ascii="仿宋" w:hAnsi="仿宋" w:eastAsia="仿宋" w:cs="仿宋"/>
          <w:bCs/>
          <w:color w:val="auto"/>
          <w:kern w:val="2"/>
          <w:sz w:val="30"/>
          <w:szCs w:val="30"/>
          <w:lang w:val="en-US" w:eastAsia="zh-CN" w:bidi="ar-SA"/>
        </w:rPr>
        <w:t>通过“新建、改建、回收、移交、盘活”等多种方式，新增公办学位1140个，公办园在园幼儿占比达53.33%。</w:t>
      </w:r>
      <w:r>
        <w:rPr>
          <w:rFonts w:hint="eastAsia" w:ascii="仿宋" w:hAnsi="仿宋" w:eastAsia="仿宋" w:cs="仿宋"/>
          <w:bCs/>
          <w:kern w:val="2"/>
          <w:sz w:val="30"/>
          <w:szCs w:val="30"/>
          <w:lang w:val="en-US" w:eastAsia="zh-CN" w:bidi="ar"/>
        </w:rPr>
        <w:t>推动创新人才培养工作，在箴言中学试点探索多层次创新人才培养模式，建立个性化课程设置和评价体系，努力为创新型国家建设和高校培养符合时代要求的优秀后备人才。</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snapToGrid/>
          <w:color w:val="auto"/>
          <w:spacing w:val="0"/>
          <w:w w:val="100"/>
          <w:kern w:val="0"/>
          <w:position w:val="0"/>
          <w:sz w:val="30"/>
          <w:szCs w:val="30"/>
          <w:highlight w:val="none"/>
          <w:u w:val="none" w:color="auto"/>
          <w:vertAlign w:val="baseline"/>
          <w:lang w:val="en-US" w:eastAsia="zh-CN" w:bidi="ar-SA"/>
        </w:rPr>
        <w:t>6.全力保障教育安全。</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00" w:firstLineChars="200"/>
        <w:textAlignment w:val="auto"/>
        <w:rPr>
          <w:rFonts w:hint="eastAsia" w:ascii="仿宋" w:hAnsi="仿宋" w:eastAsia="仿宋" w:cs="仿宋"/>
          <w:b w:val="0"/>
          <w:bCs/>
          <w:color w:val="auto"/>
          <w:kern w:val="0"/>
          <w:sz w:val="30"/>
          <w:szCs w:val="30"/>
          <w:lang w:eastAsia="zh-CN"/>
        </w:rPr>
      </w:pPr>
      <w:r>
        <w:rPr>
          <w:rFonts w:hint="eastAsia" w:ascii="仿宋" w:hAnsi="仿宋" w:eastAsia="仿宋" w:cs="仿宋"/>
          <w:b w:val="0"/>
          <w:bCs/>
          <w:sz w:val="30"/>
          <w:szCs w:val="30"/>
          <w:lang w:eastAsia="zh-CN"/>
        </w:rPr>
        <w:t>进一步强化</w:t>
      </w:r>
      <w:r>
        <w:rPr>
          <w:rFonts w:hint="eastAsia" w:ascii="仿宋" w:hAnsi="仿宋" w:eastAsia="仿宋" w:cs="仿宋"/>
          <w:b w:val="0"/>
          <w:bCs/>
          <w:sz w:val="30"/>
          <w:szCs w:val="30"/>
        </w:rPr>
        <w:t>学校安全管理</w:t>
      </w:r>
      <w:r>
        <w:rPr>
          <w:rFonts w:hint="eastAsia" w:ascii="仿宋" w:hAnsi="仿宋" w:eastAsia="仿宋" w:cs="仿宋"/>
          <w:bCs/>
          <w:kern w:val="2"/>
          <w:sz w:val="30"/>
          <w:szCs w:val="30"/>
          <w:lang w:val="en-US" w:eastAsia="zh-CN"/>
        </w:rPr>
        <w:t>，以强化政治学习和警示教育为抓手，筑牢全系统党风廉政安全防线；以交通安全、食品卫生安全、消防安全、防溺水、防欺凌、治安安全、反恐防暴以及疾病防控等为重点，筑牢校园安全防线。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（二）评价结论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1.单位预算编制科学，民主理财、公开理财氛围浓厚，重大财务事项经由集体研究决策，财务制度健全。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2.预算执行方面。区教育局经费开支严格按预算执行，基本支出的日常财务管理工作由机关财务实行统一核算和统一管理，经费开支按用途使用合理，做到专帐专管,专款专用，不铺张浪费，开源节流。“三公”经费方面，公务接待费用明显下降，2021年度区教育局没有一起出国出境考察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3.预算管理方面。我局制定了切实有效的内部管理制度和经费支出控制方案，有较强的内控风险管理意识、各项经费支出得到了有效控制。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四、存在的问题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因部分工作是年中或年末根据省市相关要求开展，未纳入年初预算，另外还有部分不可预见经费的追加，无法纳入预算，导致预算执行存在偏差。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outlineLvl w:val="9"/>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b/>
          <w:bCs/>
          <w:snapToGrid/>
          <w:color w:val="auto"/>
          <w:spacing w:val="0"/>
          <w:w w:val="100"/>
          <w:kern w:val="0"/>
          <w:position w:val="0"/>
          <w:sz w:val="30"/>
          <w:szCs w:val="30"/>
          <w:u w:val="none" w:color="auto"/>
          <w:vertAlign w:val="baseline"/>
          <w:lang w:val="en-US" w:eastAsia="zh-CN" w:bidi="ar-SA"/>
        </w:rPr>
        <w:t>五、有关建议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科学合理编制预算，严格执行预算,避免年中大幅追加以及超预算。同时严格预算执行，提高资金使用效率。进一步完善、明确和细化各项费用支出管理制度，严格控制招待费和各项费用支出。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outlineLvl w:val="9"/>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r>
        <w:rPr>
          <w:rFonts w:hint="eastAsia" w:ascii="仿宋" w:hAnsi="仿宋" w:eastAsia="仿宋" w:cs="仿宋"/>
          <w:snapToGrid/>
          <w:color w:val="auto"/>
          <w:spacing w:val="0"/>
          <w:w w:val="100"/>
          <w:kern w:val="0"/>
          <w:position w:val="0"/>
          <w:sz w:val="30"/>
          <w:szCs w:val="30"/>
          <w:u w:val="none" w:color="auto"/>
          <w:vertAlign w:val="baseline"/>
          <w:lang w:val="en-US" w:eastAsia="zh-CN" w:bidi="ar-SA"/>
        </w:rPr>
        <w:t>附件：2021年度部门整体支出绩效自评指标计分表</w:t>
      </w:r>
    </w:p>
    <w:p>
      <w:pPr>
        <w:rPr>
          <w:rFonts w:hint="default"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ascii="仿宋" w:hAnsi="仿宋" w:eastAsia="仿宋" w:cs="仿宋"/>
          <w:snapToGrid/>
          <w:color w:val="auto"/>
          <w:spacing w:val="0"/>
          <w:w w:val="100"/>
          <w:kern w:val="0"/>
          <w:position w:val="0"/>
          <w:sz w:val="30"/>
          <w:szCs w:val="30"/>
          <w:u w:val="none" w:color="auto"/>
          <w:vertAlign w:val="baseline"/>
          <w:lang w:val="en-US" w:eastAsia="zh-CN" w:bidi="ar-SA"/>
        </w:rPr>
      </w:pPr>
    </w:p>
    <w:p>
      <w:pPr>
        <w:pStyle w:val="2"/>
        <w:rPr>
          <w:rFonts w:hint="eastAsia"/>
          <w:lang w:val="en-US" w:eastAsia="zh-CN"/>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480" w:lineRule="exact"/>
        <w:ind w:left="0" w:right="0" w:firstLine="0"/>
        <w:jc w:val="center"/>
        <w:textAlignment w:val="auto"/>
        <w:outlineLvl w:val="9"/>
        <w:rPr>
          <w:rFonts w:hint="eastAsia" w:ascii="方正小标宋简体" w:eastAsia="方正小标宋简体" w:cs="Times New Roman"/>
          <w:snapToGrid/>
          <w:color w:val="auto"/>
          <w:spacing w:val="0"/>
          <w:w w:val="100"/>
          <w:kern w:val="2"/>
          <w:position w:val="0"/>
          <w:sz w:val="32"/>
          <w:szCs w:val="32"/>
          <w:u w:val="none" w:color="auto"/>
          <w:vertAlign w:val="baseline"/>
          <w:lang w:val="en-US" w:eastAsia="zh-CN" w:bidi="ar-SA"/>
        </w:rPr>
      </w:pPr>
      <w:r>
        <w:rPr>
          <w:rFonts w:hint="eastAsia" w:ascii="方正小标宋简体" w:eastAsia="方正小标宋简体" w:cs="方正小标宋简体"/>
          <w:snapToGrid/>
          <w:color w:val="auto"/>
          <w:spacing w:val="0"/>
          <w:w w:val="100"/>
          <w:kern w:val="2"/>
          <w:position w:val="0"/>
          <w:sz w:val="32"/>
          <w:szCs w:val="32"/>
          <w:u w:val="none" w:color="auto"/>
          <w:vertAlign w:val="baseline"/>
          <w:lang w:val="en-US" w:eastAsia="zh-CN" w:bidi="ar-SA"/>
        </w:rPr>
        <w:t>2021年度部门整体支出绩效自评指标计分表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80" w:lineRule="exact"/>
        <w:ind w:left="0" w:right="0" w:firstLine="0"/>
        <w:jc w:val="both"/>
        <w:textAlignment w:val="auto"/>
        <w:outlineLvl w:val="9"/>
        <w:rPr>
          <w:rFonts w:hint="eastAsia" w:ascii="仿宋_GB2312" w:hAnsi="仿宋_GB2312" w:eastAsia="宋体" w:cs="Times New Roman"/>
          <w:snapToGrid/>
          <w:color w:val="auto"/>
          <w:spacing w:val="0"/>
          <w:w w:val="100"/>
          <w:kern w:val="2"/>
          <w:position w:val="0"/>
          <w:sz w:val="21"/>
          <w:szCs w:val="21"/>
          <w:u w:val="none" w:color="auto"/>
          <w:vertAlign w:val="baseline"/>
          <w:lang w:val="en-US" w:eastAsia="zh-CN" w:bidi="ar-SA"/>
        </w:rPr>
      </w:pPr>
    </w:p>
    <w:tbl>
      <w:tblPr>
        <w:tblStyle w:val="6"/>
        <w:tblW w:w="936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一级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指标</w:t>
            </w:r>
          </w:p>
        </w:tc>
        <w:tc>
          <w:tcPr>
            <w:tcW w:w="57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二级指标</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三级指标</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自评分</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指标解释</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投   入（20分）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设定（5分）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绩效目标合理性（2分）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部门所设立的整体绩效目标依据是否充分，是否符合客观实际，用以反映和考核部门整体绩效目标与部门履职、年度工作任务的相符性情况。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clear" w:pos="0"/>
              </w:tabs>
              <w:suppressAutoHyphens w:val="0"/>
              <w:kinsoku/>
              <w:wordWrap/>
              <w:overflowPunct/>
              <w:topLinePunct w:val="0"/>
              <w:autoSpaceDE/>
              <w:autoSpaceDN/>
              <w:adjustRightInd/>
              <w:snapToGrid/>
              <w:spacing w:before="0" w:beforeAutospacing="0" w:after="0" w:afterAutospacing="0" w:line="240" w:lineRule="exact"/>
              <w:ind w:left="360" w:right="0" w:firstLine="0" w:firstLineChars="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绩效指标明确性（3分）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3</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部门依据整体绩效目标所设定的绩效指标是否清晰、细化、可衡量，用以反映和考核部门整体绩效目标的明细化情况。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配置（15分）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在职人员控制率（5分）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部门本年度实际在职人员数与编制数的比率，用以反映和考核部门对人员成本的控制程度。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“三公经费”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变动率（5分）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部门本年度“三公经费”预算数与上年度“三公经费”预算数的变动比率，用以反映和考核部门对控制重点行政成本的努力程度。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重点支出安排率（5分）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部门本年度预算安排的重点项目支出与部门项目总支出的比率，用以反映和考核部门对履行主要职责或完成重点任务的保障程度。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过             程（30分）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（20分）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预算完成率（4分）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部门本年度预算完成数与预算数的比率，用以反映和考核部门预算完成程度。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2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预算调整率（2分）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部门本年度预算调整数与预算数的比率，用以反映和考核部门预算的调整程度。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2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支付进度率（2分）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4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部门实际支付进度与既定支付进度的比率，用以反映和考核部门预算执行的及时性和均衡性程度。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2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113"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过             程（30分）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（20分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结转结余控制率（4分）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部门本年度结转结余总额与上年结转结余总额增减比例，用以反映和考核部门对存量资金的实际控制程度。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公用经费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控制率（2分）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部门本年度实际支出的公用经费总额与预算安排的公用经费总额的比率，用以反映和考核部门对机构运转成本的实际控制程度。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“三公经费”控制率（2分）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部门本年度“三公经费”实际支出数与预算安排数的比率，用以反映和考核部门对“三公经费”的实际控制程度。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政府采购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执行率（4分）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部门本年度实际政府采购金额与年初政府采购预算的比率，用以反映和考核部门政府采购预算执行情况。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健全性（2分）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部门为加强预算管理、规范财务行为而制定的管理制度是否健全完整，用以反映和考核部门预算管理制度对完成主要职责或促进事业发展的保障情况。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资金使用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合规性（1分）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部门使用预算资金是否符合相关的预算财务管理制度的规定，用以反映和考核部门预算资金的规范运行情况。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clear" w:pos="0"/>
              </w:tabs>
              <w:suppressAutoHyphens w:val="0"/>
              <w:kinsoku/>
              <w:wordWrap/>
              <w:overflowPunct/>
              <w:topLinePunct w:val="0"/>
              <w:autoSpaceDE/>
              <w:autoSpaceDN/>
              <w:adjustRightInd/>
              <w:snapToGrid/>
              <w:spacing w:before="0" w:beforeAutospacing="0" w:after="0" w:afterAutospacing="0" w:line="260" w:lineRule="exact"/>
              <w:ind w:left="360" w:right="0" w:firstLine="0" w:firstLineChars="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预决算信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息公开性（1分）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部门是否按照政府信息公开有关规定公开相关预决算信息，用以反映和考核部门预决算管理的公开透明情况。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基础信息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完善性（1分）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部门基础信息是否完善，用以反映和考核基础信息对预算管理工作的支撑情况。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rPr>
                <w:color w:val="auto"/>
              </w:rPr>
            </w:pPr>
          </w:p>
        </w:tc>
        <w:tc>
          <w:tcPr>
            <w:tcW w:w="57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健全性（2分）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部门为加强资产管理、规范资产管理行为而制定的管理制度是否健全完整，用以反映和考核部门资产管理制度对完成主要职责或促进社会发展的保障情况。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113"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过             程（30分）</w:t>
            </w:r>
          </w:p>
        </w:tc>
        <w:tc>
          <w:tcPr>
            <w:tcW w:w="57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资产管理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安全性（2分）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1"/>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1"/>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部门的资产是否保存完整、使用合规、配置合理、处置规范、收入及时足额上缴，用以反映和考核部门资产安全运行情况。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固定资产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利用率（1分）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部门实际在用固定资产总额与所有固定资产总额的比率，用以反映和考核部门固定资产使用效率程度。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产   出（30分）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履行</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实际完成率（8分）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8</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部门履行职责而实际完成工作数与计划工作数的比率，用以反映和考核部门履职工作任务目标的实现程度。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完成及时率（4分）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部门在规定时限内及时完成的实际工作数与计划工作数的比率,用以反映和考核部门履职时效目标的实现程度。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完成及时率=（及时完成实际工作数/计划工作数）×100%。1-4季度各得1分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质量达标率（8分）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8</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达到质量标准（绩效标准值）的实际工作数与计划工作数的比率,用以反映和考核部门履职质量目标的实现程度。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重点工作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办结率（10分）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10</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部门年度重点工作实际完成数与交办或下达数的比率，用以反映部门对重点工作的办理落实程度。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效   果（20分）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履职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效益（20分）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经济效益（5分）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部门履行职责对经济发展所带来的直接或间接影响。</w:t>
            </w:r>
          </w:p>
        </w:tc>
        <w:tc>
          <w:tcPr>
            <w:tcW w:w="4122"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0"/>
                <w:position w:val="0"/>
                <w:sz w:val="21"/>
                <w:szCs w:val="21"/>
                <w:u w:val="none" w:color="auto"/>
                <w:vertAlign w:val="baseline"/>
                <w:lang w:val="en-US" w:eastAsia="zh-CN" w:bidi="ar-SA"/>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社会效益（5分）</w:t>
            </w:r>
          </w:p>
        </w:tc>
        <w:tc>
          <w:tcPr>
            <w:tcW w:w="4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部门履行职责对社会发展所带来的直接或间接影响。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生态效益（5分）</w:t>
            </w:r>
          </w:p>
        </w:tc>
        <w:tc>
          <w:tcPr>
            <w:tcW w:w="4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部门履行职责对生态环境所带来的直接或间接影响。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社会公众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或服务对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象满意度（5分）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2"/>
                <w:position w:val="0"/>
                <w:sz w:val="21"/>
                <w:szCs w:val="21"/>
                <w:u w:val="none" w:color="auto"/>
                <w:vertAlign w:val="baseline"/>
                <w:lang w:val="en-US" w:eastAsia="zh-CN" w:bidi="ar-SA"/>
              </w:rPr>
              <w:t>社会公众或部门的服务对象对部门履职效果的满意程度。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宋体"/>
                <w:snapToGrid/>
                <w:color w:val="auto"/>
                <w:spacing w:val="0"/>
                <w:w w:val="100"/>
                <w:kern w:val="0"/>
                <w:position w:val="0"/>
                <w:sz w:val="21"/>
                <w:szCs w:val="21"/>
                <w:u w:val="none" w:color="auto"/>
                <w:vertAlign w:val="baseline"/>
                <w:lang w:val="en-US" w:eastAsia="zh-CN" w:bidi="ar-SA"/>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总分</w:t>
            </w: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center"/>
              <w:textAlignment w:val="auto"/>
              <w:outlineLvl w:val="9"/>
              <w:rPr>
                <w:rFonts w:hint="eastAsia" w:ascii="宋体" w:eastAsia="宋体" w:cs="Times New Roman"/>
                <w:snapToGrid/>
                <w:color w:val="auto"/>
                <w:spacing w:val="0"/>
                <w:w w:val="100"/>
                <w:kern w:val="2"/>
                <w:position w:val="0"/>
                <w:sz w:val="21"/>
                <w:szCs w:val="21"/>
                <w:u w:val="none" w:color="auto"/>
                <w:vertAlign w:val="baseline"/>
                <w:lang w:val="en-US" w:eastAsia="zh-CN" w:bidi="ar-SA"/>
              </w:rPr>
            </w:pPr>
            <w:r>
              <w:rPr>
                <w:rFonts w:hint="eastAsia" w:ascii="宋体" w:eastAsia="宋体" w:cs="Times New Roman"/>
                <w:snapToGrid/>
                <w:color w:val="auto"/>
                <w:spacing w:val="0"/>
                <w:w w:val="100"/>
                <w:kern w:val="2"/>
                <w:position w:val="0"/>
                <w:sz w:val="21"/>
                <w:szCs w:val="21"/>
                <w:u w:val="none" w:color="auto"/>
                <w:vertAlign w:val="baseline"/>
                <w:lang w:val="en-US" w:eastAsia="zh-CN" w:bidi="ar-SA"/>
              </w:rPr>
              <w:t>99</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宋体"/>
                <w:snapToGrid/>
                <w:color w:val="auto"/>
                <w:spacing w:val="0"/>
                <w:w w:val="100"/>
                <w:kern w:val="2"/>
                <w:position w:val="0"/>
                <w:sz w:val="21"/>
                <w:szCs w:val="21"/>
                <w:u w:val="none" w:color="auto"/>
                <w:vertAlign w:val="baseline"/>
                <w:lang w:val="en-US" w:eastAsia="zh-CN" w:bidi="ar-SA"/>
              </w:rPr>
            </w:pP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60" w:lineRule="exact"/>
              <w:ind w:left="0" w:right="0" w:firstLine="0"/>
              <w:jc w:val="both"/>
              <w:textAlignment w:val="auto"/>
              <w:outlineLvl w:val="9"/>
              <w:rPr>
                <w:rFonts w:hint="eastAsia" w:ascii="宋体" w:eastAsia="宋体" w:cs="宋体"/>
                <w:snapToGrid/>
                <w:color w:val="auto"/>
                <w:spacing w:val="0"/>
                <w:w w:val="100"/>
                <w:kern w:val="0"/>
                <w:position w:val="0"/>
                <w:sz w:val="21"/>
                <w:szCs w:val="21"/>
                <w:u w:val="none" w:color="auto"/>
                <w:vertAlign w:val="baseline"/>
                <w:lang w:val="en-US" w:eastAsia="zh-CN" w:bidi="ar-SA"/>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480" w:lineRule="exact"/>
        <w:ind w:left="0" w:right="0" w:firstLine="0"/>
        <w:jc w:val="center"/>
        <w:textAlignment w:val="auto"/>
        <w:outlineLvl w:val="9"/>
        <w:rPr>
          <w:rFonts w:hint="eastAsia" w:ascii="方正小标宋简体" w:eastAsia="方正小标宋简体" w:cs="方正小标宋简体"/>
          <w:snapToGrid/>
          <w:color w:val="auto"/>
          <w:spacing w:val="0"/>
          <w:w w:val="100"/>
          <w:kern w:val="0"/>
          <w:position w:val="0"/>
          <w:sz w:val="44"/>
          <w:szCs w:val="44"/>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480" w:lineRule="exact"/>
        <w:ind w:left="0" w:right="0" w:firstLine="0"/>
        <w:jc w:val="center"/>
        <w:textAlignment w:val="auto"/>
        <w:outlineLvl w:val="9"/>
        <w:rPr>
          <w:rFonts w:hint="eastAsia" w:ascii="方正小标宋简体" w:eastAsia="方正小标宋简体" w:cs="方正小标宋简体"/>
          <w:snapToGrid/>
          <w:color w:val="auto"/>
          <w:spacing w:val="0"/>
          <w:w w:val="100"/>
          <w:kern w:val="0"/>
          <w:position w:val="0"/>
          <w:sz w:val="44"/>
          <w:szCs w:val="44"/>
          <w:u w:val="none" w:color="auto"/>
          <w:vertAlign w:val="baseli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480" w:lineRule="exact"/>
        <w:ind w:left="0" w:right="0" w:firstLine="0"/>
        <w:jc w:val="center"/>
        <w:textAlignment w:val="auto"/>
        <w:outlineLvl w:val="9"/>
        <w:rPr>
          <w:rFonts w:hint="eastAsia" w:ascii="方正小标宋简体" w:eastAsia="方正小标宋简体" w:cs="方正小标宋简体"/>
          <w:snapToGrid/>
          <w:color w:val="auto"/>
          <w:spacing w:val="0"/>
          <w:w w:val="100"/>
          <w:kern w:val="0"/>
          <w:position w:val="0"/>
          <w:sz w:val="44"/>
          <w:szCs w:val="44"/>
          <w:u w:val="none" w:color="auto"/>
          <w:vertAlign w:val="baselin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8"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04CBA"/>
    <w:multiLevelType w:val="multilevel"/>
    <w:tmpl w:val="41604CBA"/>
    <w:lvl w:ilvl="0" w:tentative="0">
      <w:start w:val="1"/>
      <w:numFmt w:val="decimalEnclosedCircle"/>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87D092F"/>
    <w:multiLevelType w:val="multilevel"/>
    <w:tmpl w:val="587D092F"/>
    <w:lvl w:ilvl="0" w:tentative="0">
      <w:start w:val="1"/>
      <w:numFmt w:val="decimalEnclosedCircle"/>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2D0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宋体" w:cs="Times New Roman"/>
      <w:szCs w:val="22"/>
    </w:rPr>
  </w:style>
  <w:style w:type="paragraph" w:styleId="3">
    <w:name w:val="index 5"/>
    <w:basedOn w:val="1"/>
    <w:next w:val="1"/>
    <w:unhideWhenUsed/>
    <w:qFormat/>
    <w:uiPriority w:val="99"/>
    <w:pPr>
      <w:ind w:left="1680"/>
    </w:pPr>
    <w:rPr>
      <w:rFonts w:ascii="Times New Roman" w:hAnsi="Times New Roman" w:eastAsia="宋体" w:cs="Times New Roman"/>
      <w:sz w:val="24"/>
    </w:rPr>
  </w:style>
  <w:style w:type="paragraph" w:styleId="4">
    <w:name w:val="annotation text"/>
    <w:basedOn w:val="1"/>
    <w:semiHidden/>
    <w:unhideWhenUsed/>
    <w:qFormat/>
    <w:uiPriority w:val="99"/>
    <w:pPr>
      <w:jc w:val="left"/>
    </w:pPr>
  </w:style>
  <w:style w:type="paragraph" w:styleId="5">
    <w:name w:val="Normal (Web)"/>
    <w:basedOn w:val="1"/>
    <w:next w:val="3"/>
    <w:qFormat/>
    <w:uiPriority w:val="0"/>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34"/>
    <w:pPr>
      <w:ind w:firstLine="420" w:firstLineChars="200"/>
    </w:pPr>
  </w:style>
  <w:style w:type="paragraph" w:customStyle="1" w:styleId="9">
    <w:name w:val="TOC1"/>
    <w:basedOn w:val="1"/>
    <w:next w:val="1"/>
    <w:qFormat/>
    <w:uiPriority w:val="0"/>
    <w:pPr>
      <w:jc w:val="both"/>
      <w:textAlignment w:val="baseline"/>
    </w:pPr>
    <w:rPr>
      <w:rFonts w:ascii="Calibri" w:hAnsi="Calibri" w:eastAsia="宋体"/>
      <w:kern w:val="2"/>
      <w:sz w:val="21"/>
      <w:szCs w:val="22"/>
      <w:lang w:val="en-US" w:eastAsia="zh-CN" w:bidi="ar-SA"/>
    </w:rPr>
  </w:style>
  <w:style w:type="paragraph" w:customStyle="1" w:styleId="10">
    <w:name w:val="浅色列表1"/>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2023-07-06T04:02:21Z</dcterms:created>
  <dc:creator>admin-3</dc:creator>
  <cp:lastModifiedBy>admin-3</cp:lastModifiedBy>
  <dcterms:modified xsi:type="dcterms:W3CDTF">2023-07-06T04:03:24Z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C3741272159443DB9690D566AA8CD546_12</vt:lpwstr>
  </property>
</Properties>
</file>