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益阳市赫山区教育局</w:t>
      </w:r>
      <w:r>
        <w:rPr>
          <w:rFonts w:hint="eastAsia" w:ascii="黑体" w:hAnsi="黑体" w:eastAsia="黑体" w:cs="黑体"/>
          <w:sz w:val="36"/>
          <w:szCs w:val="36"/>
        </w:rPr>
        <w:t>20</w:t>
      </w:r>
      <w:r>
        <w:rPr>
          <w:rFonts w:hint="eastAsia" w:ascii="黑体" w:hAnsi="黑体" w:eastAsia="黑体" w:cs="黑体"/>
          <w:sz w:val="36"/>
          <w:szCs w:val="36"/>
          <w:lang w:val="en-US" w:eastAsia="zh-CN"/>
        </w:rPr>
        <w:t>21</w:t>
      </w:r>
      <w:r>
        <w:rPr>
          <w:rFonts w:hint="eastAsia" w:ascii="黑体" w:hAnsi="黑体" w:eastAsia="黑体" w:cs="黑体"/>
          <w:sz w:val="36"/>
          <w:szCs w:val="36"/>
        </w:rPr>
        <w:t>年度</w:t>
      </w:r>
      <w:r>
        <w:rPr>
          <w:rFonts w:hint="eastAsia" w:ascii="黑体" w:hAnsi="黑体" w:eastAsia="黑体" w:cs="黑体"/>
          <w:sz w:val="36"/>
          <w:szCs w:val="36"/>
          <w:lang w:val="en-US" w:eastAsia="zh-CN"/>
        </w:rPr>
        <w:t>省</w:t>
      </w:r>
      <w:r>
        <w:rPr>
          <w:rFonts w:hint="eastAsia" w:ascii="黑体" w:hAnsi="黑体" w:eastAsia="黑体" w:cs="黑体"/>
          <w:sz w:val="36"/>
          <w:szCs w:val="36"/>
          <w:lang w:eastAsia="zh-CN"/>
        </w:rPr>
        <w:t>级</w:t>
      </w:r>
      <w:r>
        <w:rPr>
          <w:rFonts w:hint="eastAsia" w:ascii="黑体" w:hAnsi="黑体" w:eastAsia="黑体" w:cs="黑体"/>
          <w:sz w:val="36"/>
          <w:szCs w:val="36"/>
          <w:lang w:val="en-US" w:eastAsia="zh-CN"/>
        </w:rPr>
        <w:t>学生资助</w:t>
      </w:r>
    </w:p>
    <w:p>
      <w:pPr>
        <w:snapToGrid w:val="0"/>
        <w:spacing w:line="570" w:lineRule="exact"/>
        <w:jc w:val="center"/>
        <w:rPr>
          <w:rFonts w:hint="eastAsia" w:ascii="黑体" w:hAnsi="黑体" w:eastAsia="黑体" w:cs="黑体"/>
          <w:sz w:val="36"/>
          <w:szCs w:val="36"/>
        </w:rPr>
      </w:pPr>
      <w:r>
        <w:rPr>
          <w:rFonts w:hint="eastAsia" w:ascii="黑体" w:hAnsi="黑体" w:eastAsia="黑体" w:cs="黑体"/>
          <w:sz w:val="36"/>
          <w:szCs w:val="36"/>
          <w:lang w:val="en-US" w:eastAsia="zh-CN"/>
        </w:rPr>
        <w:t>项目支出</w:t>
      </w:r>
      <w:r>
        <w:rPr>
          <w:rFonts w:hint="eastAsia" w:ascii="黑体" w:hAnsi="黑体" w:eastAsia="黑体" w:cs="黑体"/>
          <w:sz w:val="36"/>
          <w:szCs w:val="36"/>
        </w:rPr>
        <w:t>绩效自评报告</w:t>
      </w:r>
      <w:bookmarkStart w:id="0" w:name="_GoBack"/>
      <w:bookmarkEnd w:id="0"/>
    </w:p>
    <w:p>
      <w:pPr>
        <w:spacing w:line="570" w:lineRule="exact"/>
        <w:rPr>
          <w:rFonts w:eastAsia="华文中宋"/>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eastAsia="zh-CN"/>
        </w:rPr>
        <w:t>一、</w:t>
      </w:r>
      <w:r>
        <w:rPr>
          <w:rFonts w:hint="eastAsia" w:ascii="黑体" w:hAnsi="黑体" w:eastAsia="黑体" w:cs="黑体"/>
          <w:sz w:val="30"/>
          <w:szCs w:val="30"/>
        </w:rPr>
        <w:t>绩效目标分解下达情况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（一）教育局计财股及时根据上级指标文件对</w:t>
      </w:r>
      <w:r>
        <w:rPr>
          <w:rFonts w:hint="eastAsia" w:ascii="仿宋" w:hAnsi="仿宋" w:eastAsia="仿宋" w:cs="仿宋"/>
          <w:sz w:val="30"/>
          <w:szCs w:val="30"/>
          <w:lang w:val="en-US" w:eastAsia="zh-CN"/>
        </w:rPr>
        <w:t>2021年度学生资助资金支付预算进行分解，确定2021年度全区各学生资助项目指标预算金额为3557.98万元，含省级资金1678.1万元、其他资金1879.88万元。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（二</w:t>
      </w:r>
      <w:r>
        <w:rPr>
          <w:rFonts w:hint="eastAsia" w:ascii="仿宋" w:hAnsi="仿宋" w:eastAsia="仿宋" w:cs="仿宋"/>
          <w:sz w:val="30"/>
          <w:szCs w:val="30"/>
          <w:lang w:eastAsia="zh-CN"/>
        </w:rPr>
        <w:t>）由教育局学生资助中心具体负责实施。不断</w:t>
      </w:r>
      <w:r>
        <w:rPr>
          <w:rFonts w:hint="eastAsia" w:ascii="仿宋" w:hAnsi="仿宋" w:eastAsia="仿宋" w:cs="仿宋"/>
          <w:sz w:val="30"/>
          <w:szCs w:val="30"/>
        </w:rPr>
        <w:t>加强</w:t>
      </w:r>
      <w:r>
        <w:rPr>
          <w:rFonts w:hint="eastAsia" w:ascii="仿宋" w:hAnsi="仿宋" w:eastAsia="仿宋" w:cs="仿宋"/>
          <w:sz w:val="30"/>
          <w:szCs w:val="30"/>
          <w:lang w:eastAsia="zh-CN"/>
        </w:rPr>
        <w:t>资助</w:t>
      </w:r>
      <w:r>
        <w:rPr>
          <w:rFonts w:hint="eastAsia" w:ascii="仿宋" w:hAnsi="仿宋" w:eastAsia="仿宋" w:cs="仿宋"/>
          <w:sz w:val="30"/>
          <w:szCs w:val="30"/>
        </w:rPr>
        <w:t>政策宣传，</w:t>
      </w:r>
      <w:r>
        <w:rPr>
          <w:rFonts w:hint="eastAsia" w:ascii="仿宋" w:hAnsi="仿宋" w:eastAsia="仿宋" w:cs="仿宋"/>
          <w:sz w:val="30"/>
          <w:szCs w:val="30"/>
          <w:lang w:eastAsia="zh-CN"/>
        </w:rPr>
        <w:t>认真执行上级资助文件，严格</w:t>
      </w:r>
      <w:r>
        <w:rPr>
          <w:rFonts w:hint="eastAsia" w:ascii="仿宋" w:hAnsi="仿宋" w:eastAsia="仿宋" w:cs="仿宋"/>
          <w:sz w:val="30"/>
          <w:szCs w:val="30"/>
        </w:rPr>
        <w:t>落实</w:t>
      </w:r>
      <w:r>
        <w:rPr>
          <w:rFonts w:hint="eastAsia" w:ascii="仿宋" w:hAnsi="仿宋" w:eastAsia="仿宋" w:cs="仿宋"/>
          <w:sz w:val="30"/>
          <w:szCs w:val="30"/>
          <w:lang w:eastAsia="zh-CN"/>
        </w:rPr>
        <w:t>好普通高中国家助学金资助发放工作</w:t>
      </w:r>
      <w:r>
        <w:rPr>
          <w:rFonts w:hint="eastAsia" w:ascii="仿宋" w:hAnsi="仿宋" w:eastAsia="仿宋" w:cs="仿宋"/>
          <w:sz w:val="30"/>
          <w:szCs w:val="30"/>
        </w:rPr>
        <w:t>。</w:t>
      </w:r>
      <w:r>
        <w:rPr>
          <w:rFonts w:hint="eastAsia" w:ascii="仿宋" w:hAnsi="仿宋" w:eastAsia="仿宋" w:cs="仿宋"/>
          <w:sz w:val="30"/>
          <w:szCs w:val="30"/>
          <w:lang w:eastAsia="zh-CN"/>
        </w:rPr>
        <w:t>落实</w:t>
      </w:r>
      <w:r>
        <w:rPr>
          <w:rFonts w:hint="eastAsia" w:ascii="仿宋" w:hAnsi="仿宋" w:eastAsia="仿宋" w:cs="仿宋"/>
          <w:sz w:val="30"/>
          <w:szCs w:val="30"/>
        </w:rPr>
        <w:t>对家庭经济困难</w:t>
      </w:r>
      <w:r>
        <w:rPr>
          <w:rFonts w:hint="eastAsia" w:ascii="仿宋" w:hAnsi="仿宋" w:eastAsia="仿宋" w:cs="仿宋"/>
          <w:sz w:val="30"/>
          <w:szCs w:val="30"/>
          <w:lang w:eastAsia="zh-CN"/>
        </w:rPr>
        <w:t>普通高中</w:t>
      </w:r>
      <w:r>
        <w:rPr>
          <w:rFonts w:hint="eastAsia" w:ascii="仿宋" w:hAnsi="仿宋" w:eastAsia="仿宋" w:cs="仿宋"/>
          <w:sz w:val="30"/>
          <w:szCs w:val="30"/>
        </w:rPr>
        <w:t>学生应助尽助，及时足额发放</w:t>
      </w:r>
      <w:r>
        <w:rPr>
          <w:rFonts w:hint="eastAsia" w:ascii="仿宋" w:hAnsi="仿宋" w:eastAsia="仿宋" w:cs="仿宋"/>
          <w:sz w:val="30"/>
          <w:szCs w:val="30"/>
          <w:lang w:eastAsia="zh-CN"/>
        </w:rPr>
        <w:t>国家助学金</w:t>
      </w:r>
      <w:r>
        <w:rPr>
          <w:rFonts w:hint="eastAsia" w:ascii="仿宋" w:hAnsi="仿宋" w:eastAsia="仿宋" w:cs="仿宋"/>
          <w:sz w:val="30"/>
          <w:szCs w:val="30"/>
        </w:rPr>
        <w:t>。</w:t>
      </w:r>
      <w:r>
        <w:rPr>
          <w:rFonts w:hint="eastAsia" w:ascii="仿宋" w:hAnsi="仿宋" w:eastAsia="仿宋" w:cs="仿宋"/>
          <w:sz w:val="30"/>
          <w:szCs w:val="30"/>
          <w:lang w:eastAsia="zh-CN"/>
        </w:rPr>
        <w:t>实现</w:t>
      </w:r>
      <w:r>
        <w:rPr>
          <w:rFonts w:hint="eastAsia" w:ascii="仿宋" w:hAnsi="仿宋" w:eastAsia="仿宋" w:cs="仿宋"/>
          <w:sz w:val="30"/>
          <w:szCs w:val="30"/>
        </w:rPr>
        <w:t>对建档立卡等家庭经济困难</w:t>
      </w:r>
      <w:r>
        <w:rPr>
          <w:rFonts w:hint="eastAsia" w:ascii="仿宋" w:hAnsi="仿宋" w:eastAsia="仿宋" w:cs="仿宋"/>
          <w:sz w:val="30"/>
          <w:szCs w:val="30"/>
          <w:lang w:eastAsia="zh-CN"/>
        </w:rPr>
        <w:t>学生资助全覆盖。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二、绩效目标完成情况分析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资金到位情况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普通高中国家助学金，省级资金到位327万元（其中中央直达资助金231万元、省级96万元）、其他配套资金（其中中央22.83万元、省级7.29万元、市级35.71万元、区级53.57万元）到位119.4万元，共计446.4万元。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普通高中建档立卡学生免学费，省级资金到位84万元（其中中央直达资金64万元、省级20万元）、其他配套资金（其中中央2.87万元、省级0.65万元、市级8.92万元、区级13.38万元）到位25.82万元，共计109.82万元。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普通高中建档立卡学生免费教科书，省级资金到位44.1万元，共计44.1万元。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中职免学费，省级资金到位984万元（其中中央直达资金633万元、省级351万元）、其他配套资金（其中中央191.88万元、省级61.44万元、市级164.98万元、区级247.46万元）到位665.76万元，共计1649.76万元。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职国家助学金，省级资金到位239万元（其中中央直达资金176万元、省级63万元）、其他配套资金（其中中央105.4万元、省级30.8万元、市级37.52万元、区级56.28万元）到位230万元，共计469万元。全部资金均及时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资金执行情况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发放普通高中国家助学金435.8万元，资助家庭经济困难学生3933人次，其中建档立卡等家庭经济困难学生1298人次。</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发放普通高中建档立卡学生免学费109.22万元，资助建档立卡等家庭经济困难学生1298人次。</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发放普通高中建档立卡学生免费教科书109.22万元，资助建档立卡等家庭经济困难学生1298人次。</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落实中职免学费1831.08万元，惠及中职学生15259人次，其中建档立卡等家庭经济困难学生2201人次。</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发放中职国家助学金465.7万元，资助家庭经济困难学生4657人次，其中建档立卡等家庭经济困难学生1685人次。</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3.资金管理情况</w:t>
      </w:r>
      <w:r>
        <w:rPr>
          <w:rFonts w:hint="eastAsia" w:ascii="仿宋" w:hAnsi="仿宋" w:eastAsia="仿宋" w:cs="仿宋"/>
          <w:sz w:val="30"/>
          <w:szCs w:val="30"/>
          <w:lang w:eastAsia="zh-CN"/>
        </w:rPr>
        <w:t>：</w:t>
      </w:r>
      <w:r>
        <w:rPr>
          <w:rFonts w:hint="eastAsia" w:ascii="仿宋" w:hAnsi="仿宋" w:eastAsia="仿宋" w:cs="仿宋"/>
          <w:color w:val="000000"/>
          <w:sz w:val="30"/>
          <w:szCs w:val="30"/>
          <w:lang w:eastAsia="zh-CN"/>
        </w:rPr>
        <w:t>严格规范操作程序，加强资金管理，对学生资助资金专款专用，并通过财政一卡通系统或邮政银行打卡发放，严防虚报、冒领、套取补助资金情况的发生，确保资金安全。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（二）绩效目标完成情况分析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1.产出指标完成情况分析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数量指标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2021年度，全区</w:t>
      </w:r>
      <w:r>
        <w:rPr>
          <w:rFonts w:hint="eastAsia" w:ascii="仿宋" w:hAnsi="仿宋" w:eastAsia="仿宋" w:cs="仿宋"/>
          <w:sz w:val="30"/>
          <w:szCs w:val="30"/>
          <w:lang w:eastAsia="zh-CN"/>
        </w:rPr>
        <w:t>共落实各类学生资助资金</w:t>
      </w:r>
      <w:r>
        <w:rPr>
          <w:rFonts w:hint="eastAsia" w:ascii="仿宋" w:hAnsi="仿宋" w:eastAsia="仿宋" w:cs="仿宋"/>
          <w:sz w:val="30"/>
          <w:szCs w:val="30"/>
          <w:lang w:val="en-US" w:eastAsia="zh-CN"/>
        </w:rPr>
        <w:t>3655.619629</w:t>
      </w:r>
      <w:r>
        <w:rPr>
          <w:rFonts w:hint="eastAsia" w:ascii="仿宋" w:hAnsi="仿宋" w:eastAsia="仿宋" w:cs="仿宋"/>
          <w:sz w:val="30"/>
          <w:szCs w:val="30"/>
          <w:lang w:eastAsia="zh-CN"/>
        </w:rPr>
        <w:t>万元</w:t>
      </w:r>
      <w:r>
        <w:rPr>
          <w:rFonts w:hint="eastAsia" w:ascii="仿宋" w:hAnsi="仿宋" w:eastAsia="仿宋" w:cs="仿宋"/>
          <w:sz w:val="30"/>
          <w:szCs w:val="30"/>
          <w:lang w:val="en-US" w:eastAsia="zh-CN"/>
        </w:rPr>
        <w:t>，资助家庭经济困难学生46237人次，其中建档立卡等家庭经济困难学生17938人次，</w:t>
      </w:r>
      <w:r>
        <w:rPr>
          <w:rFonts w:hint="eastAsia" w:ascii="仿宋" w:hAnsi="仿宋" w:eastAsia="仿宋" w:cs="仿宋"/>
          <w:sz w:val="30"/>
          <w:szCs w:val="30"/>
          <w:lang w:eastAsia="zh-CN"/>
        </w:rPr>
        <w:t>实现了</w:t>
      </w:r>
      <w:r>
        <w:rPr>
          <w:rFonts w:hint="eastAsia" w:ascii="仿宋" w:hAnsi="仿宋" w:eastAsia="仿宋" w:cs="仿宋"/>
          <w:sz w:val="30"/>
          <w:szCs w:val="30"/>
        </w:rPr>
        <w:t>对家庭经济困难</w:t>
      </w:r>
      <w:r>
        <w:rPr>
          <w:rFonts w:hint="eastAsia" w:ascii="仿宋" w:hAnsi="仿宋" w:eastAsia="仿宋" w:cs="仿宋"/>
          <w:sz w:val="30"/>
          <w:szCs w:val="30"/>
          <w:lang w:eastAsia="zh-CN"/>
        </w:rPr>
        <w:t>学生应助尽助</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质量指标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全面落实了精准资助，实现了全区建档立卡等家庭经济困难学生资助政策全覆盖，所有建档立卡等家庭经济困难学生全部纳入资助范围并优先享受最高档资助。</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时效指标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严格确保资助发放时限，确保了所有资助项目及时发放，春季学期资助在</w:t>
      </w:r>
      <w:r>
        <w:rPr>
          <w:rFonts w:hint="eastAsia" w:ascii="仿宋" w:hAnsi="仿宋" w:eastAsia="仿宋" w:cs="仿宋"/>
          <w:sz w:val="30"/>
          <w:szCs w:val="30"/>
          <w:lang w:val="en-US" w:eastAsia="zh-CN"/>
        </w:rPr>
        <w:t>5月底前完成发放，秋季学期资助在11月底前完成发放。</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2.效益指标完成情况分析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通过发放普通高中国家助学金，使全区所有普通高中家庭经济困难学生家庭均受益，产生了良好的社会效益。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3.满意度指标完成情况分析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通过严格规范的资助管理、热情周到的服务，全区学生资助工作得以顺利开展，得到了学生家长的好评，学生满意率达到</w:t>
      </w:r>
      <w:r>
        <w:rPr>
          <w:rFonts w:hint="eastAsia" w:ascii="仿宋" w:hAnsi="仿宋" w:eastAsia="仿宋" w:cs="仿宋"/>
          <w:sz w:val="30"/>
          <w:szCs w:val="30"/>
          <w:lang w:val="en-US" w:eastAsia="zh-CN"/>
        </w:rPr>
        <w:t>100%，家长满意率超过99%。</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sectPr>
          <w:pgSz w:w="11906" w:h="16838"/>
          <w:pgMar w:top="1134" w:right="1531" w:bottom="1134" w:left="1531" w:header="851" w:footer="992" w:gutter="0"/>
          <w:cols w:space="0" w:num="1"/>
          <w:rtlGutter w:val="0"/>
          <w:docGrid w:type="lines" w:linePitch="312" w:charSpace="0"/>
        </w:sectPr>
      </w:pPr>
      <w:r>
        <w:rPr>
          <w:rFonts w:hint="eastAsia" w:ascii="仿宋" w:hAnsi="仿宋" w:eastAsia="仿宋" w:cs="仿宋"/>
          <w:sz w:val="30"/>
          <w:szCs w:val="30"/>
          <w:lang w:val="en-US" w:eastAsia="zh-CN"/>
        </w:rPr>
        <w:t>附件：2021年度项目支出绩效自评指标计分表</w:t>
      </w:r>
    </w:p>
    <w:p>
      <w:pPr>
        <w:spacing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2021年度项目支出绩效自评指标计分表</w:t>
      </w:r>
    </w:p>
    <w:tbl>
      <w:tblPr>
        <w:tblStyle w:val="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40"/>
        <w:gridCol w:w="798"/>
        <w:gridCol w:w="640"/>
        <w:gridCol w:w="2600"/>
        <w:gridCol w:w="4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40"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798"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640" w:type="dxa"/>
            <w:vAlign w:val="center"/>
          </w:tcPr>
          <w:p>
            <w:pPr>
              <w:spacing w:line="240" w:lineRule="exact"/>
              <w:jc w:val="center"/>
              <w:rPr>
                <w:rFonts w:ascii="宋体"/>
                <w:b/>
                <w:bCs/>
              </w:rPr>
            </w:pPr>
            <w:r>
              <w:rPr>
                <w:rFonts w:hint="eastAsia" w:ascii="宋体" w:hAnsi="宋体" w:cs="宋体"/>
                <w:b/>
                <w:bCs/>
              </w:rPr>
              <w:t>自评分</w:t>
            </w:r>
          </w:p>
        </w:tc>
        <w:tc>
          <w:tcPr>
            <w:tcW w:w="2600"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69"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6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6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6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6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6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69"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6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6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6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40" w:type="dxa"/>
            <w:vMerge w:val="continue"/>
            <w:vAlign w:val="center"/>
          </w:tcPr>
          <w:p>
            <w:pPr>
              <w:spacing w:line="240" w:lineRule="exact"/>
              <w:rPr>
                <w:rFonts w:ascii="宋体"/>
              </w:rPr>
            </w:pP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6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6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6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6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9.5</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6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6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6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6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6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40" w:type="dxa"/>
            <w:vAlign w:val="center"/>
          </w:tcPr>
          <w:p>
            <w:pPr>
              <w:spacing w:line="240" w:lineRule="exact"/>
              <w:rPr>
                <w:rFonts w:ascii="宋体"/>
              </w:rPr>
            </w:pPr>
          </w:p>
        </w:tc>
        <w:tc>
          <w:tcPr>
            <w:tcW w:w="798"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6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99.5</w:t>
            </w:r>
          </w:p>
        </w:tc>
        <w:tc>
          <w:tcPr>
            <w:tcW w:w="2600"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4169" w:type="dxa"/>
            <w:tcMar>
              <w:top w:w="10" w:type="dxa"/>
              <w:left w:w="10" w:type="dxa"/>
              <w:bottom w:w="0" w:type="dxa"/>
              <w:right w:w="10" w:type="dxa"/>
            </w:tcMar>
            <w:vAlign w:val="center"/>
          </w:tcPr>
          <w:p>
            <w:pPr>
              <w:spacing w:line="240" w:lineRule="exact"/>
              <w:ind w:left="105" w:leftChars="50" w:right="105" w:rightChars="50"/>
              <w:rPr>
                <w:rFonts w:ascii="宋体"/>
              </w:rPr>
            </w:pPr>
          </w:p>
        </w:tc>
      </w:tr>
    </w:tbl>
    <w:p>
      <w:pPr>
        <w:pStyle w:val="2"/>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8"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0E15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2023-06-27T03:12:15Z</dcterms:created>
  <dc:creator>admin-3</dc:creator>
  <cp:lastModifiedBy>admin-3</cp:lastModifiedBy>
  <dcterms:modified xsi:type="dcterms:W3CDTF">2023-06-27T03:12:48Z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F49A00430DC148919337B567C6F787E8_12</vt:lpwstr>
  </property>
</Properties>
</file>