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益阳市</w:t>
      </w:r>
      <w:r>
        <w:rPr>
          <w:rFonts w:hint="eastAsia"/>
          <w:b/>
          <w:bCs/>
          <w:sz w:val="44"/>
          <w:szCs w:val="44"/>
          <w:lang w:val="en-US" w:eastAsia="zh-CN"/>
        </w:rPr>
        <w:t>赫山区龙洲小学2021年度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教学楼维修改造项目资金绩效评价报告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numPr>
          <w:ilvl w:val="0"/>
          <w:numId w:val="1"/>
        </w:numPr>
        <w:ind w:left="0" w:leftChars="0" w:firstLineChars="0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项目基本情况</w:t>
      </w:r>
    </w:p>
    <w:p>
      <w:pPr>
        <w:numPr>
          <w:ilvl w:val="0"/>
          <w:numId w:val="0"/>
        </w:num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  <w:t>益阳市赫山区龙洲小学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eastAsia="zh-CN"/>
        </w:rPr>
        <w:t>现有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  <w:t>学生3069人，在职在编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eastAsia="zh-CN"/>
        </w:rPr>
        <w:t>教职工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  <w:t>121人。</w:t>
      </w:r>
      <w:r>
        <w:rPr>
          <w:rFonts w:hint="eastAsia" w:ascii="宋体" w:hAnsi="宋体" w:eastAsia="宋体" w:cs="宋体"/>
          <w:color w:val="333333"/>
          <w:kern w:val="0"/>
          <w:sz w:val="30"/>
          <w:szCs w:val="30"/>
          <w:shd w:val="clear" w:color="auto" w:fill="FFFFFF"/>
        </w:rPr>
        <w:t>为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eastAsia="zh-CN"/>
        </w:rPr>
        <w:t>进一步改善我校办学条件，加强教育专项资金的使用管理，提高资金使用效益，我们明确了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  <w:t>2021年度项目资金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eastAsia="zh-CN"/>
        </w:rPr>
        <w:t>项目单位总负责人为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  <w:t>益阳市赫山区龙洲小学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eastAsia="zh-CN"/>
        </w:rPr>
        <w:t>支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  <w:t>部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eastAsia="zh-CN"/>
        </w:rPr>
        <w:t>书记、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  <w:t>校长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eastAsia="zh-CN"/>
        </w:rPr>
        <w:t>：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  <w:t>徐海丹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eastAsia="zh-CN"/>
        </w:rPr>
        <w:t>。</w:t>
      </w:r>
    </w:p>
    <w:p>
      <w:pPr>
        <w:numPr>
          <w:ilvl w:val="0"/>
          <w:numId w:val="1"/>
        </w:numPr>
        <w:ind w:left="0" w:leftChars="0" w:firstLineChars="0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项目资金情况</w:t>
      </w:r>
    </w:p>
    <w:p>
      <w:pPr>
        <w:numPr>
          <w:ilvl w:val="0"/>
          <w:numId w:val="0"/>
        </w:numPr>
        <w:ind w:firstLine="600" w:firstLineChars="200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2021年度项目资金总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eastAsia="zh-CN"/>
        </w:rPr>
        <w:t>额为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51.34万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  <w:t>元，实施时间为2021年度。</w:t>
      </w:r>
    </w:p>
    <w:p>
      <w:pPr>
        <w:widowControl/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项目实施情况</w:t>
      </w:r>
    </w:p>
    <w:p>
      <w:pPr>
        <w:numPr>
          <w:ilvl w:val="0"/>
          <w:numId w:val="0"/>
        </w:numPr>
        <w:ind w:firstLine="600" w:firstLineChars="200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在赫山区教育局的组织领导下，</w:t>
      </w:r>
      <w:r>
        <w:rPr>
          <w:rFonts w:hint="eastAsia" w:ascii="宋体" w:hAnsi="宋体" w:eastAsia="宋体" w:cs="宋体"/>
          <w:sz w:val="30"/>
          <w:szCs w:val="30"/>
        </w:rPr>
        <w:t>根据《中小学校财务制度》（财教〔2012〕489号）、《行政事业单位内部控制规范（试行）的通知》（财会〔2012〕21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号</w:t>
      </w:r>
      <w:r>
        <w:rPr>
          <w:rFonts w:hint="eastAsia" w:ascii="宋体" w:hAnsi="宋体" w:eastAsia="宋体" w:cs="宋体"/>
          <w:sz w:val="30"/>
          <w:szCs w:val="30"/>
        </w:rPr>
        <w:t>）</w:t>
      </w:r>
      <w:r>
        <w:rPr>
          <w:rFonts w:hint="eastAsia" w:ascii="宋体" w:hAnsi="宋体" w:cs="宋体"/>
          <w:sz w:val="30"/>
          <w:szCs w:val="30"/>
          <w:lang w:eastAsia="zh-CN"/>
        </w:rPr>
        <w:t>等相关文件精神，</w:t>
      </w:r>
      <w:r>
        <w:rPr>
          <w:rFonts w:hint="eastAsia"/>
          <w:b w:val="0"/>
          <w:bCs w:val="0"/>
          <w:sz w:val="30"/>
          <w:szCs w:val="30"/>
          <w:lang w:val="en-US" w:eastAsia="zh-CN"/>
        </w:rPr>
        <w:t>我校为加强2021年度教育项目资金的使用管理，使教育项目资金能最大限度地发挥其作用，让适龄儿童享受更优质的义务教育，进一步改善学校办学条件，办好让群众满意的家门口的学校，我们根据学校的实际情况开展了一系列工作：</w:t>
      </w:r>
    </w:p>
    <w:p>
      <w:pPr>
        <w:numPr>
          <w:ilvl w:val="0"/>
          <w:numId w:val="0"/>
        </w:numPr>
        <w:ind w:firstLine="600" w:firstLineChars="200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1、专门制定了学校《专项资金使用方案》和《财务管理制度》，实行专人负责制；</w:t>
      </w:r>
    </w:p>
    <w:p>
      <w:pPr>
        <w:numPr>
          <w:ilvl w:val="0"/>
          <w:numId w:val="0"/>
        </w:numPr>
        <w:ind w:firstLine="600" w:firstLineChars="200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2、开源节流，做到资金统一规划，合理分配资金，强化资金管理，资金管理使用实施动态监控，过程跟踪；</w:t>
      </w:r>
    </w:p>
    <w:p>
      <w:pPr>
        <w:numPr>
          <w:ilvl w:val="0"/>
          <w:numId w:val="0"/>
        </w:numPr>
        <w:ind w:firstLine="600" w:firstLineChars="200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3、依法依规集中支付，资金专款专用，分类记账，会计核算规范；</w:t>
      </w:r>
    </w:p>
    <w:p>
      <w:pPr>
        <w:numPr>
          <w:ilvl w:val="0"/>
          <w:numId w:val="0"/>
        </w:numPr>
        <w:ind w:firstLine="600" w:firstLineChars="200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 xml:space="preserve">4、建立健全学校内部控制制度,执行严格的财务审批制度,项目资金使用规划均通过校代会集体研究组织实施。                </w:t>
      </w:r>
    </w:p>
    <w:p>
      <w:pPr>
        <w:numPr>
          <w:ilvl w:val="0"/>
          <w:numId w:val="0"/>
        </w:numPr>
        <w:ind w:firstLine="600" w:firstLineChars="2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我校2021年度教育强市项目资金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eastAsia="zh-CN"/>
        </w:rPr>
        <w:t>使用情况如下：</w:t>
      </w:r>
    </w:p>
    <w:p>
      <w:pPr>
        <w:numPr>
          <w:ilvl w:val="0"/>
          <w:numId w:val="0"/>
        </w:numPr>
        <w:ind w:firstLine="600" w:firstLineChars="200"/>
        <w:rPr>
          <w:rFonts w:hint="default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益阳市赫山区龙洲小学教学楼维修改造等工程。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  <w:t>以上共计51.34万元</w:t>
      </w:r>
    </w:p>
    <w:p>
      <w:pPr>
        <w:numPr>
          <w:ilvl w:val="0"/>
          <w:numId w:val="1"/>
        </w:numPr>
        <w:ind w:left="0" w:leftChars="0" w:firstLineChars="0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项目的产出成果及效益情况分析</w:t>
      </w:r>
    </w:p>
    <w:p>
      <w:pPr>
        <w:numPr>
          <w:ilvl w:val="0"/>
          <w:numId w:val="0"/>
        </w:numPr>
        <w:ind w:firstLine="600" w:firstLineChars="2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我校2021年度项目资金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eastAsia="zh-CN"/>
        </w:rPr>
        <w:t>绩效目标已基本完成，具体如下：</w:t>
      </w:r>
    </w:p>
    <w:p>
      <w:pPr>
        <w:numPr>
          <w:ilvl w:val="0"/>
          <w:numId w:val="2"/>
        </w:numPr>
        <w:ind w:firstLine="600" w:firstLineChars="200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  <w:t>规范性：</w:t>
      </w:r>
      <w:r>
        <w:rPr>
          <w:rFonts w:hint="eastAsia"/>
          <w:b w:val="0"/>
          <w:bCs w:val="0"/>
          <w:sz w:val="30"/>
          <w:szCs w:val="30"/>
          <w:lang w:val="en-US" w:eastAsia="zh-CN"/>
        </w:rPr>
        <w:t>严格按学校《专项资金使用方案》，做到专款专用，确保把有限的资金用在刀刃上；</w:t>
      </w:r>
    </w:p>
    <w:p>
      <w:pPr>
        <w:numPr>
          <w:ilvl w:val="0"/>
          <w:numId w:val="2"/>
        </w:numPr>
        <w:ind w:firstLine="600" w:firstLineChars="200"/>
        <w:rPr>
          <w:rFonts w:hint="default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合理性：我们对教育强市项目资金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eastAsia="zh-CN"/>
        </w:rPr>
        <w:t>进行合理分配，</w:t>
      </w:r>
      <w:r>
        <w:rPr>
          <w:rFonts w:hint="eastAsia"/>
          <w:b w:val="0"/>
          <w:bCs w:val="0"/>
          <w:sz w:val="30"/>
          <w:szCs w:val="30"/>
          <w:lang w:val="en-US" w:eastAsia="zh-CN"/>
        </w:rPr>
        <w:t>坚持以服务教育教学为中心，以保障正常开展各项日常教育教学活动为重点，为学校正常运转提供强有力的保障和后勤支持；</w:t>
      </w:r>
    </w:p>
    <w:p>
      <w:pPr>
        <w:numPr>
          <w:ilvl w:val="0"/>
          <w:numId w:val="0"/>
        </w:numPr>
        <w:ind w:firstLine="600" w:firstLineChars="200"/>
        <w:rPr>
          <w:rFonts w:hint="default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3、成效性：解决了学校的很多安全隐患，学校各类教育教学活动得以有序开展，办学水平不断提升，办学条件不断改善，“一镇三优，一校一品”建设工作不断推进，成为赫山区“新优质学校”首批立项单位，办好让人民群众满意的家门口的学校这个目标基本达成。</w:t>
      </w:r>
    </w:p>
    <w:p>
      <w:pPr>
        <w:numPr>
          <w:ilvl w:val="0"/>
          <w:numId w:val="1"/>
        </w:numPr>
        <w:ind w:left="0" w:leftChars="0" w:firstLineChars="0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项目存在的问题</w:t>
      </w:r>
    </w:p>
    <w:p>
      <w:pPr>
        <w:numPr>
          <w:ilvl w:val="0"/>
          <w:numId w:val="3"/>
        </w:numPr>
        <w:ind w:leftChars="0" w:firstLine="600" w:firstLineChars="200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学校《专项资金使用方案》仍需进一步健全，内部控制制度仍待进一步完善；</w:t>
      </w:r>
    </w:p>
    <w:p>
      <w:pPr>
        <w:numPr>
          <w:ilvl w:val="0"/>
          <w:numId w:val="3"/>
        </w:numPr>
        <w:ind w:leftChars="0" w:firstLine="600" w:firstLineChars="200"/>
        <w:rPr>
          <w:rFonts w:hint="default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如何把有限的资金用在刀刃上、使资金发挥最大效益仍需我们进一步探索和思考。</w:t>
      </w:r>
    </w:p>
    <w:p>
      <w:pPr>
        <w:numPr>
          <w:ilvl w:val="0"/>
          <w:numId w:val="1"/>
        </w:numPr>
        <w:ind w:left="0" w:leftChars="0" w:firstLineChars="0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项目综合自评情况</w:t>
      </w:r>
    </w:p>
    <w:p>
      <w:pPr>
        <w:numPr>
          <w:ilvl w:val="0"/>
          <w:numId w:val="0"/>
        </w:numPr>
        <w:ind w:leftChars="0" w:firstLine="600" w:firstLineChars="2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</w:pPr>
      <w:bookmarkStart w:id="0" w:name="_GoBack"/>
      <w:r>
        <w:rPr>
          <w:rFonts w:hint="eastAsia"/>
          <w:b w:val="0"/>
          <w:bCs w:val="0"/>
          <w:sz w:val="30"/>
          <w:szCs w:val="30"/>
          <w:lang w:val="en-US" w:eastAsia="zh-CN"/>
        </w:rPr>
        <w:t>我校2021年度项目资金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eastAsia="zh-CN"/>
        </w:rPr>
        <w:t>绩效评价综合自评为良好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  <w:t>。</w:t>
      </w:r>
      <w:bookmarkEnd w:id="0"/>
    </w:p>
    <w:p>
      <w:pPr>
        <w:numPr>
          <w:ilvl w:val="0"/>
          <w:numId w:val="0"/>
        </w:numPr>
        <w:ind w:leftChars="0" w:firstLine="600" w:firstLineChars="200"/>
        <w:rPr>
          <w:rFonts w:hint="eastAsia" w:eastAsia="宋体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eastAsia" w:eastAsia="宋体" w:cs="Times New Roman"/>
          <w:b w:val="0"/>
          <w:bCs w:val="0"/>
          <w:sz w:val="30"/>
          <w:szCs w:val="30"/>
          <w:lang w:val="en-US" w:eastAsia="zh-CN"/>
        </w:rPr>
        <w:t>附件：2021年项目支出绩效自评指标计分表</w:t>
      </w:r>
    </w:p>
    <w:p>
      <w:pPr>
        <w:numPr>
          <w:ilvl w:val="0"/>
          <w:numId w:val="0"/>
        </w:numPr>
        <w:ind w:leftChars="0" w:firstLine="600" w:firstLineChars="200"/>
        <w:rPr>
          <w:rFonts w:hint="default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ind w:leftChars="0" w:firstLine="600" w:firstLineChars="2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ind w:leftChars="0" w:firstLine="600" w:firstLineChars="2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ind w:leftChars="0" w:firstLine="600" w:firstLineChars="2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ind w:firstLine="3900" w:firstLineChars="1300"/>
        <w:rPr>
          <w:rFonts w:hint="default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  <w:t>益阳市赫山区龙洲小学</w:t>
      </w:r>
    </w:p>
    <w:p>
      <w:pPr>
        <w:numPr>
          <w:ilvl w:val="0"/>
          <w:numId w:val="0"/>
        </w:numPr>
        <w:ind w:firstLine="4800" w:firstLineChars="16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  <w:t>2022年2月16日</w:t>
      </w:r>
    </w:p>
    <w:p>
      <w:pPr>
        <w:spacing w:line="480" w:lineRule="exact"/>
        <w:jc w:val="center"/>
        <w:rPr>
          <w:rFonts w:hint="eastAsia" w:ascii="方正小标宋简体" w:eastAsia="方正小标宋简体" w:cs="方正小标宋简体"/>
          <w:kern w:val="0"/>
          <w:sz w:val="32"/>
          <w:szCs w:val="32"/>
          <w:lang w:bidi="ar-SA"/>
        </w:rPr>
      </w:pPr>
    </w:p>
    <w:p>
      <w:pPr>
        <w:spacing w:line="480" w:lineRule="exact"/>
        <w:jc w:val="center"/>
        <w:rPr>
          <w:rFonts w:hint="eastAsia" w:ascii="方正小标宋简体" w:eastAsia="方正小标宋简体" w:cs="方正小标宋简体"/>
          <w:kern w:val="0"/>
          <w:sz w:val="32"/>
          <w:szCs w:val="32"/>
          <w:lang w:bidi="ar-SA"/>
        </w:rPr>
      </w:pPr>
    </w:p>
    <w:p>
      <w:pPr>
        <w:spacing w:line="480" w:lineRule="exact"/>
        <w:jc w:val="center"/>
        <w:rPr>
          <w:rFonts w:hint="eastAsia" w:ascii="方正小标宋简体" w:eastAsia="方正小标宋简体" w:cs="方正小标宋简体"/>
          <w:kern w:val="0"/>
          <w:sz w:val="32"/>
          <w:szCs w:val="32"/>
          <w:lang w:bidi="ar-SA"/>
        </w:rPr>
      </w:pPr>
    </w:p>
    <w:p>
      <w:pPr>
        <w:spacing w:line="480" w:lineRule="exact"/>
        <w:jc w:val="center"/>
        <w:rPr>
          <w:rFonts w:hint="eastAsia" w:ascii="方正小标宋简体" w:eastAsia="方正小标宋简体" w:cs="方正小标宋简体"/>
          <w:kern w:val="0"/>
          <w:sz w:val="32"/>
          <w:szCs w:val="32"/>
          <w:lang w:bidi="ar-SA"/>
        </w:rPr>
      </w:pPr>
    </w:p>
    <w:p>
      <w:pPr>
        <w:spacing w:line="480" w:lineRule="exact"/>
        <w:jc w:val="center"/>
        <w:rPr>
          <w:rFonts w:hint="eastAsia" w:ascii="方正小标宋简体" w:eastAsia="方正小标宋简体" w:cs="方正小标宋简体"/>
          <w:kern w:val="0"/>
          <w:sz w:val="32"/>
          <w:szCs w:val="32"/>
          <w:lang w:bidi="ar-SA"/>
        </w:rPr>
      </w:pPr>
    </w:p>
    <w:p>
      <w:pPr>
        <w:spacing w:line="480" w:lineRule="exact"/>
        <w:jc w:val="center"/>
        <w:rPr>
          <w:rFonts w:hint="eastAsia" w:ascii="方正小标宋简体" w:eastAsia="方正小标宋简体" w:cs="方正小标宋简体"/>
          <w:kern w:val="0"/>
          <w:sz w:val="32"/>
          <w:szCs w:val="32"/>
          <w:lang w:bidi="ar-SA"/>
        </w:rPr>
      </w:pPr>
    </w:p>
    <w:p>
      <w:pPr>
        <w:spacing w:line="480" w:lineRule="exact"/>
        <w:jc w:val="center"/>
        <w:rPr>
          <w:rFonts w:hint="eastAsia" w:ascii="方正小标宋简体" w:eastAsia="方正小标宋简体" w:cs="方正小标宋简体"/>
          <w:kern w:val="0"/>
          <w:sz w:val="32"/>
          <w:szCs w:val="32"/>
          <w:lang w:bidi="ar-SA"/>
        </w:rPr>
      </w:pPr>
    </w:p>
    <w:p>
      <w:pPr>
        <w:spacing w:line="480" w:lineRule="exact"/>
        <w:jc w:val="center"/>
        <w:rPr>
          <w:rFonts w:hint="eastAsia" w:ascii="方正小标宋简体" w:eastAsia="方正小标宋简体" w:cs="方正小标宋简体"/>
          <w:kern w:val="0"/>
          <w:sz w:val="32"/>
          <w:szCs w:val="32"/>
          <w:lang w:bidi="ar-SA"/>
        </w:rPr>
      </w:pPr>
    </w:p>
    <w:p>
      <w:pPr>
        <w:spacing w:line="480" w:lineRule="exact"/>
        <w:jc w:val="center"/>
        <w:rPr>
          <w:rFonts w:hint="eastAsia" w:ascii="方正小标宋简体" w:eastAsia="方正小标宋简体" w:cs="方正小标宋简体"/>
          <w:kern w:val="0"/>
          <w:sz w:val="32"/>
          <w:szCs w:val="32"/>
          <w:lang w:bidi="ar-SA"/>
        </w:rPr>
      </w:pPr>
    </w:p>
    <w:p>
      <w:pPr>
        <w:spacing w:line="480" w:lineRule="exact"/>
        <w:jc w:val="center"/>
        <w:rPr>
          <w:rFonts w:hint="eastAsia" w:ascii="方正小标宋简体" w:eastAsia="方正小标宋简体" w:cs="方正小标宋简体"/>
          <w:kern w:val="0"/>
          <w:sz w:val="32"/>
          <w:szCs w:val="32"/>
          <w:lang w:bidi="ar-SA"/>
        </w:rPr>
      </w:pPr>
    </w:p>
    <w:p>
      <w:pPr>
        <w:spacing w:line="480" w:lineRule="exact"/>
        <w:jc w:val="center"/>
        <w:rPr>
          <w:rFonts w:hint="eastAsia" w:ascii="方正小标宋简体" w:eastAsia="方正小标宋简体" w:cs="方正小标宋简体"/>
          <w:kern w:val="0"/>
          <w:sz w:val="32"/>
          <w:szCs w:val="32"/>
          <w:lang w:bidi="ar-SA"/>
        </w:rPr>
      </w:pPr>
    </w:p>
    <w:p>
      <w:pPr>
        <w:spacing w:line="480" w:lineRule="exact"/>
        <w:jc w:val="center"/>
        <w:rPr>
          <w:rFonts w:hint="eastAsia" w:ascii="方正小标宋简体" w:eastAsia="方正小标宋简体" w:cs="方正小标宋简体"/>
          <w:kern w:val="0"/>
          <w:sz w:val="32"/>
          <w:szCs w:val="32"/>
          <w:lang w:bidi="ar-SA"/>
        </w:rPr>
      </w:pPr>
    </w:p>
    <w:p>
      <w:pPr>
        <w:spacing w:line="480" w:lineRule="exact"/>
        <w:jc w:val="center"/>
        <w:rPr>
          <w:rFonts w:hint="eastAsia" w:ascii="方正小标宋简体" w:eastAsia="方正小标宋简体" w:cs="方正小标宋简体"/>
          <w:kern w:val="0"/>
          <w:sz w:val="32"/>
          <w:szCs w:val="32"/>
          <w:lang w:bidi="ar-SA"/>
        </w:rPr>
      </w:pPr>
    </w:p>
    <w:p>
      <w:pPr>
        <w:spacing w:line="480" w:lineRule="exact"/>
        <w:jc w:val="center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bidi="ar-SA"/>
        </w:rPr>
        <w:t>202</w:t>
      </w:r>
      <w:r>
        <w:rPr>
          <w:rFonts w:hint="eastAsia" w:ascii="黑体" w:hAnsi="黑体" w:eastAsia="黑体" w:cs="黑体"/>
          <w:kern w:val="0"/>
          <w:sz w:val="30"/>
          <w:szCs w:val="30"/>
          <w:lang w:val="en-US" w:eastAsia="zh-CN" w:bidi="ar-SA"/>
        </w:rPr>
        <w:t>1</w:t>
      </w:r>
      <w:r>
        <w:rPr>
          <w:rFonts w:hint="eastAsia" w:ascii="黑体" w:hAnsi="黑体" w:eastAsia="黑体" w:cs="黑体"/>
          <w:kern w:val="0"/>
          <w:sz w:val="30"/>
          <w:szCs w:val="30"/>
          <w:lang w:bidi="ar-SA"/>
        </w:rPr>
        <w:t>年项目支出绩效自评指标计分表</w:t>
      </w:r>
    </w:p>
    <w:p>
      <w:pPr>
        <w:spacing w:line="80" w:lineRule="exact"/>
        <w:rPr>
          <w:rFonts w:hint="eastAsia" w:ascii="黑体" w:eastAsia="黑体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39"/>
        <w:gridCol w:w="811"/>
        <w:gridCol w:w="1065"/>
        <w:gridCol w:w="639"/>
        <w:gridCol w:w="2769"/>
        <w:gridCol w:w="2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tblHeader/>
          <w:jc w:val="center"/>
        </w:trPr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一级指标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二级</w:t>
            </w:r>
          </w:p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指标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三级</w:t>
            </w:r>
          </w:p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指标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自评分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具体指标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评价标准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6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项目</w:t>
            </w:r>
          </w:p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决策（20分）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项目</w:t>
            </w:r>
          </w:p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目标（4分）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目标</w:t>
            </w:r>
          </w:p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内容（4分）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设立了项目绩效目标；目标明确；目标细化；目标量化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cs="宋体" w:eastAsiaTheme="minorEastAsia"/>
                <w:kern w:val="0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设有目标（1分）</w:t>
            </w:r>
          </w:p>
          <w:p>
            <w:pPr>
              <w:spacing w:line="240" w:lineRule="exact"/>
              <w:jc w:val="left"/>
              <w:rPr>
                <w:rFonts w:hint="eastAsia" w:ascii="宋体" w:cs="宋体" w:eastAsiaTheme="minorEastAsia"/>
                <w:kern w:val="0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目标明确（1分）</w:t>
            </w:r>
          </w:p>
          <w:p>
            <w:pPr>
              <w:spacing w:line="240" w:lineRule="exact"/>
              <w:jc w:val="left"/>
              <w:rPr>
                <w:rFonts w:hint="eastAsia" w:ascii="宋体" w:cs="宋体" w:eastAsiaTheme="minorEastAsia"/>
                <w:kern w:val="0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目标细化（1分）</w:t>
            </w:r>
          </w:p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目标量化（1分）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决策过程（8分）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决策</w:t>
            </w:r>
          </w:p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依据（4分）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符合法律法规（1分）符合经济社会发展规划（1分）</w:t>
            </w:r>
          </w:p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部门年度工作计划（1分）</w:t>
            </w:r>
          </w:p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针对某一实际问题和需求（1分）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决策</w:t>
            </w:r>
          </w:p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程序（4分）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项目符合申报条件；申报、批复程序符合相关管理办法；项目调整履行了相应手续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符合申报条件（2分）项目申报、批复程序符合管理办法（1分）</w:t>
            </w:r>
          </w:p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项目调整履行了相应手续（1分）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资金分配（8分）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分配</w:t>
            </w:r>
          </w:p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办法（3分）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有相应的资金管理办法（1分）</w:t>
            </w:r>
          </w:p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办法健全、规范（1分）</w:t>
            </w:r>
          </w:p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因素全面合理（1分）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0" w:hRule="atLeast"/>
          <w:jc w:val="center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分配</w:t>
            </w:r>
          </w:p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结果（5分）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资金分配符合相关管理办法；分配结果公平合理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符合分配办法（2分）</w:t>
            </w:r>
          </w:p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分配公平合理（3分）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" w:hRule="atLeast"/>
          <w:jc w:val="center"/>
        </w:trPr>
        <w:tc>
          <w:tcPr>
            <w:tcW w:w="6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项目</w:t>
            </w:r>
          </w:p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管理（25分）</w:t>
            </w:r>
          </w:p>
        </w:tc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资金到位（5分）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到位率（3分）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实际到位/计划到位*100%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根据项目资金的实际到位率计算得分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到位</w:t>
            </w:r>
          </w:p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时效（2分）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资金及时到位；若未及时到位，是否影响项目进度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到位及时（2分）</w:t>
            </w:r>
          </w:p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不及时但未影响项目进度（1分）</w:t>
            </w:r>
          </w:p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不及时并影响项目进度（0.5分）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资金管理（10分）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资金</w:t>
            </w:r>
          </w:p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使用（7分）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cs="宋体" w:eastAsiaTheme="minorEastAsia"/>
                <w:kern w:val="0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虚列套取扣4-7分</w:t>
            </w:r>
          </w:p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依据不合规扣2分</w:t>
            </w:r>
          </w:p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截留、挤占、挪用扣3-6分</w:t>
            </w:r>
          </w:p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超标准开支扣2-5分</w:t>
            </w:r>
          </w:p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超预算扣2-5分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财务</w:t>
            </w:r>
          </w:p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管理（3分）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资金管理、费用支出等制度健全；制度执行严格；会计核算规范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财务制度健全（1分）严格执行制度（1分）会计核算规范（1分）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6" w:hRule="atLeast"/>
          <w:jc w:val="center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组织</w:t>
            </w:r>
          </w:p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实施（10分）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组织</w:t>
            </w:r>
          </w:p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机构（1分）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机构健全、分工明确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200" w:hanging="200" w:hangingChars="100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机构健全、分工明确（1分）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项目</w:t>
            </w:r>
          </w:p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实施（3分）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项目按计划开工；按计划进度开展；按计划完工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按计划开工（1分）按计划开展（1分）按计划完工（1分）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管理</w:t>
            </w:r>
          </w:p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制度（6分）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项目管理制度健全；严格执行相关管理制度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管理制度健全（2分）</w:t>
            </w:r>
          </w:p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制度执行严格（4分）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6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</w:p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</w:p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</w:p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项目</w:t>
            </w:r>
          </w:p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绩效（55分）</w:t>
            </w:r>
          </w:p>
        </w:tc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</w:p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</w:p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项目</w:t>
            </w:r>
          </w:p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产出（15分）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产出</w:t>
            </w:r>
          </w:p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数量（5分）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根据该项目实际，标识具体明确的产出数量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对照绩效目标，按实际产出数量率计算得分（5分）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产出</w:t>
            </w:r>
          </w:p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质量（4分）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根据该项目实际，标识具体明确的产出质量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对照绩效目标，按实际产出质量率计算得分（4分）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产出</w:t>
            </w:r>
          </w:p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时效（3分）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根据该项目实际，标识具体明确的产出时效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对照绩效目标，按实际产出时效率计算得分（3分）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产出</w:t>
            </w:r>
          </w:p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成本（3分）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根据该项目实际，标识具体明确的产出成本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对照绩效目标，按实际产出成本率计算得分（3分）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/>
                <w:kern w:val="0"/>
                <w:sz w:val="20"/>
                <w:szCs w:val="20"/>
              </w:rPr>
            </w:pPr>
          </w:p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项目</w:t>
            </w:r>
          </w:p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效果（40分）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经济</w:t>
            </w:r>
          </w:p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效益（8分）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根据项目实际，标识所产生的直接或间接的经济效益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对照绩效目标，按经济效益实现程度计算得分（8分）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社会</w:t>
            </w:r>
          </w:p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效益（8分）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根据项目实际，标识所产生的社会效益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对照绩效目标，按社会效益实现程度计算得分（8分）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环境</w:t>
            </w:r>
          </w:p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效益（8分）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根据项目实际，标识对环境所产生的积极或消极影响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对照绩效目标，按对环境所产生的实际影响程度计算得分（8分）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可持续影响（8分）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项目产出能持续运用；项目运行所依赖的政策制度能持续执行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项目产出能持续运用（4分）</w:t>
            </w:r>
          </w:p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所依赖的政策制度能持续执行（4分）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服务</w:t>
            </w:r>
          </w:p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对象满意度（8分）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项目预期服务对象对项目实施的满意程度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按收集到的项目服务对象的满意率计算得分（8分）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总分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default" w:ascii="宋体" w:cs="宋体"/>
                <w:kern w:val="0"/>
                <w:sz w:val="20"/>
                <w:szCs w:val="20"/>
                <w:lang w:val="en-US" w:bidi="ar-SA"/>
              </w:rPr>
              <w:t>100</w:t>
            </w: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　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　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9</w:t>
            </w:r>
            <w:r>
              <w:rPr>
                <w:rFonts w:hint="eastAsia" w:ascii="宋体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　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　</w:t>
            </w:r>
          </w:p>
        </w:tc>
      </w:tr>
    </w:tbl>
    <w:p>
      <w:pPr>
        <w:widowControl w:val="0"/>
        <w:spacing w:line="120" w:lineRule="exact"/>
        <w:ind w:firstLine="640" w:firstLineChars="200"/>
        <w:rPr>
          <w:rFonts w:hint="eastAsia" w:ascii="黑体" w:eastAsia="黑体"/>
          <w:sz w:val="32"/>
          <w:szCs w:val="32"/>
          <w:highlight w:val="white"/>
        </w:rPr>
      </w:pPr>
    </w:p>
    <w:p>
      <w:pPr>
        <w:ind w:firstLine="640" w:firstLineChars="200"/>
        <w:jc w:val="left"/>
        <w:rPr>
          <w:rFonts w:cs="黑体" w:asciiTheme="minorEastAsia" w:hAnsiTheme="minorEastAsia"/>
          <w:color w:val="000000"/>
          <w:kern w:val="0"/>
          <w:sz w:val="32"/>
          <w:szCs w:val="32"/>
        </w:rPr>
      </w:pPr>
    </w:p>
    <w:p>
      <w:pPr>
        <w:numPr>
          <w:ilvl w:val="0"/>
          <w:numId w:val="0"/>
        </w:numPr>
        <w:ind w:firstLine="4800" w:firstLineChars="1600"/>
        <w:rPr>
          <w:rFonts w:hint="default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33A21B"/>
    <w:multiLevelType w:val="singleLevel"/>
    <w:tmpl w:val="B633A21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E57D0E4"/>
    <w:multiLevelType w:val="singleLevel"/>
    <w:tmpl w:val="0E57D0E4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599A201"/>
    <w:multiLevelType w:val="singleLevel"/>
    <w:tmpl w:val="7599A201"/>
    <w:lvl w:ilvl="0" w:tentative="0">
      <w:start w:val="1"/>
      <w:numFmt w:val="chineseCounting"/>
      <w:suff w:val="nothing"/>
      <w:lvlText w:val="%1、"/>
      <w:lvlJc w:val="left"/>
      <w:pPr>
        <w:ind w:left="42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wMWI3N2NjZmIwMzYwOTRiMjY0NmRlZmM2ODQyYjMifQ=="/>
  </w:docVars>
  <w:rsids>
    <w:rsidRoot w:val="00000000"/>
    <w:rsid w:val="024E3BD7"/>
    <w:rsid w:val="08AB0810"/>
    <w:rsid w:val="096945A3"/>
    <w:rsid w:val="0E3C54FE"/>
    <w:rsid w:val="14D07E07"/>
    <w:rsid w:val="17D62CC3"/>
    <w:rsid w:val="1CB80956"/>
    <w:rsid w:val="21F77769"/>
    <w:rsid w:val="27CB1307"/>
    <w:rsid w:val="29717864"/>
    <w:rsid w:val="2B375913"/>
    <w:rsid w:val="38E321A8"/>
    <w:rsid w:val="3CF4567A"/>
    <w:rsid w:val="458F68E1"/>
    <w:rsid w:val="4B04544B"/>
    <w:rsid w:val="4C3D568A"/>
    <w:rsid w:val="4DC52882"/>
    <w:rsid w:val="509E73C9"/>
    <w:rsid w:val="541D79D9"/>
    <w:rsid w:val="553475B4"/>
    <w:rsid w:val="5AC153F4"/>
    <w:rsid w:val="5CA67752"/>
    <w:rsid w:val="5CD132FA"/>
    <w:rsid w:val="5E9B193F"/>
    <w:rsid w:val="5F631FFF"/>
    <w:rsid w:val="650F6997"/>
    <w:rsid w:val="68A568E5"/>
    <w:rsid w:val="6B9705A8"/>
    <w:rsid w:val="6C8669DD"/>
    <w:rsid w:val="73013B3E"/>
    <w:rsid w:val="734D2F4F"/>
    <w:rsid w:val="7A84433B"/>
    <w:rsid w:val="7E8176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962</Words>
  <Characters>1012</Characters>
  <Lines>0</Lines>
  <Paragraphs>0</Paragraphs>
  <TotalTime>0</TotalTime>
  <ScaleCrop>false</ScaleCrop>
  <LinksUpToDate>false</LinksUpToDate>
  <CharactersWithSpaces>1028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2022-10-27T04:41:00Z</dcterms:created>
  <dc:creator>Administrator</dc:creator>
  <cp:lastModifiedBy>Administrator</cp:lastModifiedBy>
  <cp:lastPrinted>2023-05-19T02:28:00Z</cp:lastPrinted>
  <dcterms:modified xsi:type="dcterms:W3CDTF">2023-10-05T03:32:40Z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8C02C60A703940D5B552C3160ACBA10B_13</vt:lpwstr>
  </property>
</Properties>
</file>