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979" w:rsidRDefault="0081035B">
      <w:pPr>
        <w:widowControl/>
        <w:spacing w:line="600" w:lineRule="exact"/>
        <w:ind w:firstLineChars="200" w:firstLine="720"/>
        <w:jc w:val="center"/>
        <w:rPr>
          <w:rFonts w:ascii="黑体" w:eastAsia="黑体" w:hAnsi="黑体" w:cs="黑体"/>
          <w:color w:val="000000"/>
          <w:kern w:val="0"/>
          <w:sz w:val="36"/>
          <w:szCs w:val="36"/>
        </w:rPr>
      </w:pPr>
      <w:r>
        <w:rPr>
          <w:rFonts w:ascii="黑体" w:eastAsia="黑体" w:hAnsi="黑体" w:cs="黑体" w:hint="eastAsia"/>
          <w:color w:val="000000"/>
          <w:kern w:val="0"/>
          <w:sz w:val="36"/>
          <w:szCs w:val="36"/>
        </w:rPr>
        <w:t>赫山区紫竹学校部门</w:t>
      </w:r>
      <w:r>
        <w:rPr>
          <w:rFonts w:ascii="黑体" w:eastAsia="黑体" w:hAnsi="黑体" w:cs="黑体" w:hint="eastAsia"/>
          <w:color w:val="000000"/>
          <w:kern w:val="0"/>
          <w:sz w:val="36"/>
          <w:szCs w:val="36"/>
        </w:rPr>
        <w:t>2021</w:t>
      </w:r>
      <w:r>
        <w:rPr>
          <w:rFonts w:ascii="黑体" w:eastAsia="黑体" w:hAnsi="黑体" w:cs="黑体" w:hint="eastAsia"/>
          <w:color w:val="000000"/>
          <w:kern w:val="0"/>
          <w:sz w:val="36"/>
          <w:szCs w:val="36"/>
        </w:rPr>
        <w:t>年度</w:t>
      </w:r>
    </w:p>
    <w:p w:rsidR="004E2979" w:rsidRDefault="0081035B">
      <w:pPr>
        <w:widowControl/>
        <w:spacing w:line="600" w:lineRule="exact"/>
        <w:ind w:firstLineChars="200" w:firstLine="720"/>
        <w:jc w:val="center"/>
        <w:rPr>
          <w:rFonts w:ascii="黑体" w:eastAsia="黑体" w:hAnsi="黑体" w:cs="黑体"/>
          <w:color w:val="000000"/>
          <w:kern w:val="0"/>
          <w:sz w:val="36"/>
          <w:szCs w:val="36"/>
        </w:rPr>
      </w:pPr>
      <w:r>
        <w:rPr>
          <w:rFonts w:ascii="黑体" w:eastAsia="黑体" w:hAnsi="黑体" w:cs="黑体" w:hint="eastAsia"/>
          <w:color w:val="000000"/>
          <w:kern w:val="0"/>
          <w:sz w:val="36"/>
          <w:szCs w:val="36"/>
        </w:rPr>
        <w:t>整体支出绩效评价报告</w:t>
      </w:r>
    </w:p>
    <w:p w:rsidR="004E2979" w:rsidRDefault="004E2979">
      <w:pPr>
        <w:widowControl/>
        <w:spacing w:line="600" w:lineRule="exact"/>
        <w:ind w:firstLineChars="200" w:firstLine="600"/>
        <w:jc w:val="left"/>
        <w:rPr>
          <w:rFonts w:ascii="仿宋" w:eastAsia="仿宋" w:hAnsi="仿宋" w:cs="仿宋"/>
          <w:color w:val="000000"/>
          <w:kern w:val="0"/>
          <w:sz w:val="30"/>
          <w:szCs w:val="30"/>
        </w:rPr>
      </w:pP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根据《益阳市赫山区人民政府关于全面推进预算绩效管理的实施意见》（益赫政发〔</w:t>
      </w:r>
      <w:r>
        <w:rPr>
          <w:rFonts w:ascii="仿宋" w:eastAsia="仿宋" w:hAnsi="仿宋" w:cs="仿宋" w:hint="eastAsia"/>
          <w:color w:val="000000"/>
          <w:kern w:val="0"/>
          <w:sz w:val="30"/>
          <w:szCs w:val="30"/>
        </w:rPr>
        <w:t>2016</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 xml:space="preserve">10 </w:t>
      </w:r>
      <w:r>
        <w:rPr>
          <w:rFonts w:ascii="仿宋" w:eastAsia="仿宋" w:hAnsi="仿宋" w:cs="仿宋" w:hint="eastAsia"/>
          <w:color w:val="000000"/>
          <w:kern w:val="0"/>
          <w:sz w:val="30"/>
          <w:szCs w:val="30"/>
        </w:rPr>
        <w:t>号）、《益阳市赫山区财政办关于转发〈湖南省预算绩效管理工作规程（试行）的通知》（益赫财绩〔</w:t>
      </w:r>
      <w:r>
        <w:rPr>
          <w:rFonts w:ascii="仿宋" w:eastAsia="仿宋" w:hAnsi="仿宋" w:cs="仿宋" w:hint="eastAsia"/>
          <w:color w:val="000000"/>
          <w:kern w:val="0"/>
          <w:sz w:val="30"/>
          <w:szCs w:val="30"/>
        </w:rPr>
        <w:t>2017</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 xml:space="preserve">85 </w:t>
      </w:r>
      <w:r>
        <w:rPr>
          <w:rFonts w:ascii="仿宋" w:eastAsia="仿宋" w:hAnsi="仿宋" w:cs="仿宋" w:hint="eastAsia"/>
          <w:color w:val="000000"/>
          <w:kern w:val="0"/>
          <w:sz w:val="30"/>
          <w:szCs w:val="30"/>
        </w:rPr>
        <w:t>号）等有关文件精</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神，本着独立、客观、公正、科学的原则，按照公认的绩效评价方</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法，我局积极组织，对</w:t>
      </w:r>
      <w:r>
        <w:rPr>
          <w:rFonts w:ascii="仿宋" w:eastAsia="仿宋" w:hAnsi="仿宋" w:cs="仿宋" w:hint="eastAsia"/>
          <w:color w:val="000000"/>
          <w:kern w:val="0"/>
          <w:sz w:val="30"/>
          <w:szCs w:val="30"/>
        </w:rPr>
        <w:t xml:space="preserve"> 2021 </w:t>
      </w:r>
      <w:r>
        <w:rPr>
          <w:rFonts w:ascii="仿宋" w:eastAsia="仿宋" w:hAnsi="仿宋" w:cs="仿宋" w:hint="eastAsia"/>
          <w:color w:val="000000"/>
          <w:kern w:val="0"/>
          <w:sz w:val="30"/>
          <w:szCs w:val="30"/>
        </w:rPr>
        <w:t>年度本单位整体支出进行了绩效自评，</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现将具体绩效评价情况报告如下：</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pPr>
      <w:r>
        <w:rPr>
          <w:rFonts w:ascii="黑体" w:eastAsia="黑体" w:hAnsi="黑体" w:cs="黑体" w:hint="eastAsia"/>
          <w:color w:val="000000"/>
          <w:kern w:val="0"/>
          <w:sz w:val="30"/>
          <w:szCs w:val="30"/>
        </w:rPr>
        <w:t>一、基本情况</w:t>
      </w:r>
      <w:r>
        <w:rPr>
          <w:rFonts w:ascii="黑体" w:eastAsia="黑体" w:hAnsi="黑体" w:cs="黑体" w:hint="eastAsia"/>
          <w:color w:val="000000"/>
          <w:kern w:val="0"/>
          <w:sz w:val="30"/>
          <w:szCs w:val="30"/>
        </w:rPr>
        <w:t xml:space="preserve"> </w:t>
      </w:r>
    </w:p>
    <w:p w:rsidR="004E2979" w:rsidRDefault="0081035B">
      <w:pPr>
        <w:widowControl/>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w:t>
      </w:r>
      <w:r>
        <w:rPr>
          <w:rFonts w:ascii="仿宋" w:eastAsia="仿宋" w:hAnsi="仿宋" w:cs="仿宋" w:hint="eastAsia"/>
          <w:b/>
          <w:bCs/>
          <w:color w:val="000000"/>
          <w:kern w:val="0"/>
          <w:sz w:val="30"/>
          <w:szCs w:val="30"/>
        </w:rPr>
        <w:t>一）</w:t>
      </w:r>
      <w:r>
        <w:rPr>
          <w:rFonts w:ascii="仿宋" w:eastAsia="仿宋" w:hAnsi="仿宋" w:cs="仿宋" w:hint="eastAsia"/>
          <w:b/>
          <w:bCs/>
          <w:color w:val="000000"/>
          <w:kern w:val="0"/>
          <w:sz w:val="30"/>
          <w:szCs w:val="30"/>
        </w:rPr>
        <w:t>部门职责</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益阳市赫山区紫竹学校的主要职责是组织教育教学、科学研究活动，保证教育教学质量。维护教职工利益，保障教职工合法权益，以教职工和学生的人生幸福和生命质量作为重点。</w:t>
      </w:r>
    </w:p>
    <w:p w:rsidR="004E2979" w:rsidRDefault="0081035B">
      <w:pPr>
        <w:widowControl/>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w:t>
      </w:r>
      <w:r>
        <w:rPr>
          <w:rFonts w:ascii="仿宋" w:eastAsia="仿宋" w:hAnsi="仿宋" w:cs="仿宋" w:hint="eastAsia"/>
          <w:b/>
          <w:bCs/>
          <w:color w:val="000000"/>
          <w:kern w:val="0"/>
          <w:sz w:val="30"/>
          <w:szCs w:val="30"/>
        </w:rPr>
        <w:t>二</w:t>
      </w:r>
      <w:r>
        <w:rPr>
          <w:rFonts w:ascii="仿宋" w:eastAsia="仿宋" w:hAnsi="仿宋" w:cs="仿宋" w:hint="eastAsia"/>
          <w:b/>
          <w:bCs/>
          <w:color w:val="000000"/>
          <w:kern w:val="0"/>
          <w:sz w:val="30"/>
          <w:szCs w:val="30"/>
        </w:rPr>
        <w:t>）机构设置情况</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湖南省益阳市赫山区紫竹学校内设机构包括：校长</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书记办公室，学校办公室，教导处，总务处，少工委，政教处，安保处，工会。</w:t>
      </w:r>
    </w:p>
    <w:p w:rsidR="004E2979" w:rsidRDefault="0081035B">
      <w:pPr>
        <w:widowControl/>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（三）人员编制</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现有在职教师</w:t>
      </w:r>
      <w:r>
        <w:rPr>
          <w:rFonts w:ascii="仿宋" w:eastAsia="仿宋" w:hAnsi="仿宋" w:cs="仿宋" w:hint="eastAsia"/>
          <w:color w:val="000000"/>
          <w:kern w:val="0"/>
          <w:sz w:val="30"/>
          <w:szCs w:val="30"/>
        </w:rPr>
        <w:t xml:space="preserve"> 105</w:t>
      </w:r>
      <w:r>
        <w:rPr>
          <w:rFonts w:ascii="仿宋" w:eastAsia="仿宋" w:hAnsi="仿宋" w:cs="仿宋" w:hint="eastAsia"/>
          <w:color w:val="000000"/>
          <w:kern w:val="0"/>
          <w:sz w:val="30"/>
          <w:szCs w:val="30"/>
        </w:rPr>
        <w:t>人，离退休教师</w:t>
      </w:r>
      <w:r>
        <w:rPr>
          <w:rFonts w:ascii="仿宋" w:eastAsia="仿宋" w:hAnsi="仿宋" w:cs="仿宋" w:hint="eastAsia"/>
          <w:color w:val="000000"/>
          <w:kern w:val="0"/>
          <w:sz w:val="30"/>
          <w:szCs w:val="30"/>
        </w:rPr>
        <w:t xml:space="preserve"> 0 </w:t>
      </w:r>
      <w:r>
        <w:rPr>
          <w:rFonts w:ascii="仿宋" w:eastAsia="仿宋" w:hAnsi="仿宋" w:cs="仿宋" w:hint="eastAsia"/>
          <w:color w:val="000000"/>
          <w:kern w:val="0"/>
          <w:sz w:val="30"/>
          <w:szCs w:val="30"/>
        </w:rPr>
        <w:t>人，共计</w:t>
      </w:r>
      <w:r>
        <w:rPr>
          <w:rFonts w:ascii="仿宋" w:eastAsia="仿宋" w:hAnsi="仿宋" w:cs="仿宋" w:hint="eastAsia"/>
          <w:color w:val="000000"/>
          <w:kern w:val="0"/>
          <w:sz w:val="30"/>
          <w:szCs w:val="30"/>
        </w:rPr>
        <w:t xml:space="preserve"> 105 </w:t>
      </w:r>
      <w:r>
        <w:rPr>
          <w:rFonts w:ascii="仿宋" w:eastAsia="仿宋" w:hAnsi="仿宋" w:cs="仿宋" w:hint="eastAsia"/>
          <w:color w:val="000000"/>
          <w:kern w:val="0"/>
          <w:sz w:val="30"/>
          <w:szCs w:val="30"/>
        </w:rPr>
        <w:t>人。</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w:t>
      </w:r>
      <w:r>
        <w:rPr>
          <w:rFonts w:ascii="仿宋" w:eastAsia="仿宋" w:hAnsi="仿宋" w:cs="仿宋" w:hint="eastAsia"/>
          <w:b/>
          <w:bCs/>
          <w:color w:val="000000"/>
          <w:kern w:val="0"/>
          <w:sz w:val="30"/>
          <w:szCs w:val="30"/>
        </w:rPr>
        <w:t>四</w:t>
      </w:r>
      <w:r>
        <w:rPr>
          <w:rFonts w:ascii="仿宋" w:eastAsia="仿宋" w:hAnsi="仿宋" w:cs="仿宋" w:hint="eastAsia"/>
          <w:b/>
          <w:bCs/>
          <w:color w:val="000000"/>
          <w:kern w:val="0"/>
          <w:sz w:val="30"/>
          <w:szCs w:val="30"/>
        </w:rPr>
        <w:t>）部门整体支出概况</w:t>
      </w:r>
      <w:r>
        <w:rPr>
          <w:rFonts w:ascii="仿宋" w:eastAsia="仿宋" w:hAnsi="仿宋" w:cs="仿宋" w:hint="eastAsia"/>
          <w:b/>
          <w:bCs/>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益阳市赫山区紫竹学校是隶属于于益阳市赫山区教育局的基</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础教育的一所常规小学，是全额补助事业单位。</w:t>
      </w:r>
      <w:r>
        <w:rPr>
          <w:rFonts w:ascii="仿宋" w:eastAsia="仿宋" w:hAnsi="仿宋" w:cs="仿宋" w:hint="eastAsia"/>
          <w:color w:val="000000"/>
          <w:kern w:val="0"/>
          <w:sz w:val="30"/>
          <w:szCs w:val="30"/>
        </w:rPr>
        <w:t>20</w:t>
      </w:r>
      <w:r>
        <w:rPr>
          <w:rFonts w:ascii="仿宋" w:eastAsia="仿宋" w:hAnsi="仿宋" w:cs="仿宋" w:hint="eastAsia"/>
          <w:color w:val="000000"/>
          <w:kern w:val="0"/>
          <w:sz w:val="30"/>
          <w:szCs w:val="30"/>
        </w:rPr>
        <w:t xml:space="preserve">21 </w:t>
      </w:r>
      <w:r>
        <w:rPr>
          <w:rFonts w:ascii="仿宋" w:eastAsia="仿宋" w:hAnsi="仿宋" w:cs="仿宋" w:hint="eastAsia"/>
          <w:color w:val="000000"/>
          <w:kern w:val="0"/>
          <w:sz w:val="30"/>
          <w:szCs w:val="30"/>
        </w:rPr>
        <w:t>年度益阳市赫山区紫</w:t>
      </w:r>
      <w:r>
        <w:rPr>
          <w:rFonts w:ascii="仿宋" w:eastAsia="仿宋" w:hAnsi="仿宋" w:cs="仿宋" w:hint="eastAsia"/>
          <w:color w:val="000000"/>
          <w:kern w:val="0"/>
          <w:sz w:val="30"/>
          <w:szCs w:val="30"/>
        </w:rPr>
        <w:lastRenderedPageBreak/>
        <w:t>竹学校一般公共预算财政拨款支出总计</w:t>
      </w:r>
      <w:r>
        <w:rPr>
          <w:rFonts w:ascii="仿宋" w:eastAsia="仿宋" w:hAnsi="仿宋" w:cs="仿宋" w:hint="eastAsia"/>
          <w:color w:val="000000"/>
          <w:kern w:val="0"/>
          <w:sz w:val="30"/>
          <w:szCs w:val="30"/>
        </w:rPr>
        <w:t>1264.19</w:t>
      </w:r>
      <w:r>
        <w:rPr>
          <w:rFonts w:ascii="仿宋" w:eastAsia="仿宋" w:hAnsi="仿宋" w:cs="仿宋" w:hint="eastAsia"/>
          <w:color w:val="000000"/>
          <w:kern w:val="0"/>
          <w:sz w:val="30"/>
          <w:szCs w:val="30"/>
        </w:rPr>
        <w:t>万元，其中：</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基本支出</w:t>
      </w:r>
      <w:r>
        <w:rPr>
          <w:rFonts w:ascii="仿宋" w:eastAsia="仿宋" w:hAnsi="仿宋" w:cs="仿宋" w:hint="eastAsia"/>
          <w:color w:val="000000"/>
          <w:kern w:val="0"/>
          <w:sz w:val="30"/>
          <w:szCs w:val="30"/>
        </w:rPr>
        <w:t xml:space="preserve"> 1264.19 </w:t>
      </w:r>
      <w:r>
        <w:rPr>
          <w:rFonts w:ascii="仿宋" w:eastAsia="仿宋" w:hAnsi="仿宋" w:cs="仿宋" w:hint="eastAsia"/>
          <w:color w:val="000000"/>
          <w:kern w:val="0"/>
          <w:sz w:val="30"/>
          <w:szCs w:val="30"/>
        </w:rPr>
        <w:t>万元〔注：①人员经费</w:t>
      </w:r>
      <w:r>
        <w:rPr>
          <w:rFonts w:ascii="仿宋" w:eastAsia="仿宋" w:hAnsi="仿宋" w:cs="仿宋" w:hint="eastAsia"/>
          <w:color w:val="000000"/>
          <w:kern w:val="0"/>
          <w:sz w:val="30"/>
          <w:szCs w:val="30"/>
        </w:rPr>
        <w:t>1008.96</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②公用经费</w:t>
      </w:r>
      <w:r>
        <w:rPr>
          <w:rFonts w:ascii="仿宋" w:eastAsia="仿宋" w:hAnsi="仿宋" w:cs="仿宋" w:hint="eastAsia"/>
          <w:color w:val="000000"/>
          <w:kern w:val="0"/>
          <w:sz w:val="30"/>
          <w:szCs w:val="30"/>
        </w:rPr>
        <w:t>255.23</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2020</w:t>
      </w:r>
      <w:r>
        <w:rPr>
          <w:rFonts w:ascii="仿宋" w:eastAsia="仿宋" w:hAnsi="仿宋" w:cs="仿宋" w:hint="eastAsia"/>
          <w:color w:val="000000"/>
          <w:kern w:val="0"/>
          <w:sz w:val="30"/>
          <w:szCs w:val="30"/>
        </w:rPr>
        <w:t>年</w:t>
      </w:r>
      <w:r>
        <w:rPr>
          <w:rFonts w:ascii="仿宋" w:eastAsia="仿宋" w:hAnsi="仿宋" w:cs="仿宋" w:hint="eastAsia"/>
          <w:color w:val="000000"/>
          <w:kern w:val="0"/>
          <w:sz w:val="30"/>
          <w:szCs w:val="30"/>
        </w:rPr>
        <w:t>一般公共预算财政拨款支出</w:t>
      </w:r>
      <w:r>
        <w:rPr>
          <w:rFonts w:ascii="仿宋" w:eastAsia="仿宋" w:hAnsi="仿宋" w:cs="仿宋" w:hint="eastAsia"/>
          <w:color w:val="000000"/>
          <w:kern w:val="0"/>
          <w:sz w:val="30"/>
          <w:szCs w:val="30"/>
        </w:rPr>
        <w:t>922.75</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其中：</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基本支出</w:t>
      </w:r>
      <w:r>
        <w:rPr>
          <w:rFonts w:ascii="仿宋" w:eastAsia="仿宋" w:hAnsi="仿宋" w:cs="仿宋" w:hint="eastAsia"/>
          <w:color w:val="000000"/>
          <w:kern w:val="0"/>
          <w:sz w:val="30"/>
          <w:szCs w:val="30"/>
        </w:rPr>
        <w:t>897.56</w:t>
      </w:r>
      <w:r>
        <w:rPr>
          <w:rFonts w:ascii="仿宋" w:eastAsia="仿宋" w:hAnsi="仿宋" w:cs="仿宋" w:hint="eastAsia"/>
          <w:color w:val="000000"/>
          <w:kern w:val="0"/>
          <w:sz w:val="30"/>
          <w:szCs w:val="30"/>
        </w:rPr>
        <w:t>万元、项目支出</w:t>
      </w:r>
      <w:r>
        <w:rPr>
          <w:rFonts w:ascii="仿宋" w:eastAsia="仿宋" w:hAnsi="仿宋" w:cs="仿宋" w:hint="eastAsia"/>
          <w:color w:val="000000"/>
          <w:kern w:val="0"/>
          <w:sz w:val="30"/>
          <w:szCs w:val="30"/>
        </w:rPr>
        <w:tab/>
      </w:r>
      <w:r>
        <w:rPr>
          <w:rFonts w:ascii="仿宋" w:eastAsia="仿宋" w:hAnsi="仿宋" w:cs="仿宋" w:hint="eastAsia"/>
          <w:color w:val="000000"/>
          <w:kern w:val="0"/>
          <w:sz w:val="30"/>
          <w:szCs w:val="30"/>
        </w:rPr>
        <w:t>25.19</w:t>
      </w:r>
      <w:r>
        <w:rPr>
          <w:rFonts w:ascii="仿宋" w:eastAsia="仿宋" w:hAnsi="仿宋" w:cs="仿宋" w:hint="eastAsia"/>
          <w:color w:val="000000"/>
          <w:kern w:val="0"/>
          <w:sz w:val="30"/>
          <w:szCs w:val="30"/>
        </w:rPr>
        <w:t>万元</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与上年相比，财政拨款支出增加</w:t>
      </w:r>
      <w:r>
        <w:rPr>
          <w:rFonts w:ascii="仿宋" w:eastAsia="仿宋" w:hAnsi="仿宋" w:cs="仿宋" w:hint="eastAsia"/>
          <w:color w:val="000000"/>
          <w:kern w:val="0"/>
          <w:sz w:val="30"/>
          <w:szCs w:val="30"/>
        </w:rPr>
        <w:t>341.44</w:t>
      </w:r>
      <w:r>
        <w:rPr>
          <w:rFonts w:ascii="仿宋" w:eastAsia="仿宋" w:hAnsi="仿宋" w:cs="仿宋" w:hint="eastAsia"/>
          <w:color w:val="000000"/>
          <w:kern w:val="0"/>
          <w:sz w:val="30"/>
          <w:szCs w:val="30"/>
        </w:rPr>
        <w:t>万元，增长</w:t>
      </w:r>
      <w:r>
        <w:rPr>
          <w:rFonts w:ascii="仿宋" w:eastAsia="仿宋" w:hAnsi="仿宋" w:cs="仿宋" w:hint="eastAsia"/>
          <w:color w:val="000000"/>
          <w:kern w:val="0"/>
          <w:sz w:val="30"/>
          <w:szCs w:val="30"/>
        </w:rPr>
        <w:t>37.00%</w:t>
      </w:r>
      <w:r>
        <w:rPr>
          <w:rFonts w:ascii="仿宋" w:eastAsia="仿宋" w:hAnsi="仿宋" w:cs="仿宋" w:hint="eastAsia"/>
          <w:color w:val="000000"/>
          <w:kern w:val="0"/>
          <w:sz w:val="30"/>
          <w:szCs w:val="30"/>
        </w:rPr>
        <w:t>，主要原因是：新建学校师生人数增加，生均公用经费支出及职工工资福利支出的增加。</w:t>
      </w:r>
    </w:p>
    <w:p w:rsidR="004E2979" w:rsidRDefault="0081035B">
      <w:pPr>
        <w:widowControl/>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w:t>
      </w:r>
      <w:r>
        <w:rPr>
          <w:rFonts w:ascii="仿宋" w:eastAsia="仿宋" w:hAnsi="仿宋" w:cs="仿宋" w:hint="eastAsia"/>
          <w:b/>
          <w:bCs/>
          <w:color w:val="000000"/>
          <w:kern w:val="0"/>
          <w:sz w:val="30"/>
          <w:szCs w:val="30"/>
        </w:rPr>
        <w:t>五</w:t>
      </w:r>
      <w:r>
        <w:rPr>
          <w:rFonts w:ascii="仿宋" w:eastAsia="仿宋" w:hAnsi="仿宋" w:cs="仿宋" w:hint="eastAsia"/>
          <w:b/>
          <w:bCs/>
          <w:color w:val="000000"/>
          <w:kern w:val="0"/>
          <w:sz w:val="30"/>
          <w:szCs w:val="30"/>
        </w:rPr>
        <w:t>）部门整体支出绩效目标</w:t>
      </w:r>
      <w:r>
        <w:rPr>
          <w:rFonts w:ascii="仿宋" w:eastAsia="仿宋" w:hAnsi="仿宋" w:cs="仿宋" w:hint="eastAsia"/>
          <w:b/>
          <w:bCs/>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预决算公开：根据区财政局的统一部署及相关要求，我局已在</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赫山信息网站上进行了预（决）算公开。</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存量资金管理：我局已实行国库集中支付管理。</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资产管理：建立了固定资产台帐，指定专人管理，及时登记，</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科学使用，实现了“一物一卡一条码”。固定资产的折旧、购入、</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调出、处置、报废、报损严格执行国家有关规定的审批程序办理。</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“三公”经费控制：</w:t>
      </w:r>
      <w:r>
        <w:rPr>
          <w:rFonts w:ascii="仿宋" w:eastAsia="仿宋" w:hAnsi="仿宋" w:cs="仿宋" w:hint="eastAsia"/>
          <w:color w:val="000000"/>
          <w:kern w:val="0"/>
          <w:sz w:val="30"/>
          <w:szCs w:val="30"/>
        </w:rPr>
        <w:t xml:space="preserve">2021 </w:t>
      </w:r>
      <w:r>
        <w:rPr>
          <w:rFonts w:ascii="仿宋" w:eastAsia="仿宋" w:hAnsi="仿宋" w:cs="仿宋" w:hint="eastAsia"/>
          <w:color w:val="000000"/>
          <w:kern w:val="0"/>
          <w:sz w:val="30"/>
          <w:szCs w:val="30"/>
        </w:rPr>
        <w:t>年，我局机关“三公”经费支出</w:t>
      </w:r>
      <w:r>
        <w:rPr>
          <w:rFonts w:ascii="仿宋" w:eastAsia="仿宋" w:hAnsi="仿宋" w:cs="仿宋" w:hint="eastAsia"/>
          <w:color w:val="000000"/>
          <w:kern w:val="0"/>
          <w:sz w:val="30"/>
          <w:szCs w:val="30"/>
        </w:rPr>
        <w:t xml:space="preserve"> 0 </w:t>
      </w:r>
      <w:r>
        <w:rPr>
          <w:rFonts w:ascii="仿宋" w:eastAsia="仿宋" w:hAnsi="仿宋" w:cs="仿宋" w:hint="eastAsia"/>
          <w:color w:val="000000"/>
          <w:kern w:val="0"/>
          <w:sz w:val="30"/>
          <w:szCs w:val="30"/>
        </w:rPr>
        <w:t>万元，其中：公务用车运行维护费</w:t>
      </w:r>
      <w:r>
        <w:rPr>
          <w:rFonts w:ascii="仿宋" w:eastAsia="仿宋" w:hAnsi="仿宋" w:cs="仿宋" w:hint="eastAsia"/>
          <w:color w:val="000000"/>
          <w:kern w:val="0"/>
          <w:sz w:val="30"/>
          <w:szCs w:val="30"/>
        </w:rPr>
        <w:t xml:space="preserve"> 0 </w:t>
      </w:r>
      <w:r>
        <w:rPr>
          <w:rFonts w:ascii="仿宋" w:eastAsia="仿宋" w:hAnsi="仿宋" w:cs="仿宋" w:hint="eastAsia"/>
          <w:color w:val="000000"/>
          <w:kern w:val="0"/>
          <w:sz w:val="30"/>
          <w:szCs w:val="30"/>
        </w:rPr>
        <w:t>万元，公务接待费</w:t>
      </w:r>
      <w:r>
        <w:rPr>
          <w:rFonts w:ascii="仿宋" w:eastAsia="仿宋" w:hAnsi="仿宋" w:cs="仿宋" w:hint="eastAsia"/>
          <w:color w:val="000000"/>
          <w:kern w:val="0"/>
          <w:sz w:val="30"/>
          <w:szCs w:val="30"/>
        </w:rPr>
        <w:t xml:space="preserve"> 0 </w:t>
      </w:r>
      <w:r>
        <w:rPr>
          <w:rFonts w:ascii="仿宋" w:eastAsia="仿宋" w:hAnsi="仿宋" w:cs="仿宋" w:hint="eastAsia"/>
          <w:color w:val="000000"/>
          <w:kern w:val="0"/>
          <w:sz w:val="30"/>
          <w:szCs w:val="30"/>
        </w:rPr>
        <w:t>万元，无</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出国出境费。</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内部控制制度建设：</w:t>
      </w:r>
      <w:r>
        <w:rPr>
          <w:rFonts w:ascii="仿宋" w:eastAsia="仿宋" w:hAnsi="仿宋" w:cs="仿宋" w:hint="eastAsia"/>
          <w:color w:val="000000"/>
          <w:kern w:val="0"/>
          <w:sz w:val="30"/>
          <w:szCs w:val="30"/>
        </w:rPr>
        <w:t xml:space="preserve">2021 </w:t>
      </w:r>
      <w:r>
        <w:rPr>
          <w:rFonts w:ascii="仿宋" w:eastAsia="仿宋" w:hAnsi="仿宋" w:cs="仿宋" w:hint="eastAsia"/>
          <w:color w:val="000000"/>
          <w:kern w:val="0"/>
          <w:sz w:val="30"/>
          <w:szCs w:val="30"/>
        </w:rPr>
        <w:t>年，我局制定了《紫竹学校内控管</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理制度》、《紫竹学校财务管理制度》、《紫竹学校物资采购制度》、《内部审计制度》等一系列内部控制制度，相关制度合法合规、完整，并得到有效执行。</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lastRenderedPageBreak/>
        <w:t>（</w:t>
      </w:r>
      <w:r>
        <w:rPr>
          <w:rFonts w:ascii="仿宋" w:eastAsia="仿宋" w:hAnsi="仿宋" w:cs="仿宋" w:hint="eastAsia"/>
          <w:b/>
          <w:bCs/>
          <w:color w:val="000000"/>
          <w:kern w:val="0"/>
          <w:sz w:val="30"/>
          <w:szCs w:val="30"/>
        </w:rPr>
        <w:t>六</w:t>
      </w:r>
      <w:r>
        <w:rPr>
          <w:rFonts w:ascii="仿宋" w:eastAsia="仿宋" w:hAnsi="仿宋" w:cs="仿宋" w:hint="eastAsia"/>
          <w:b/>
          <w:bCs/>
          <w:color w:val="000000"/>
          <w:kern w:val="0"/>
          <w:sz w:val="30"/>
          <w:szCs w:val="30"/>
        </w:rPr>
        <w:t>）部门整体支出实施情况分析</w:t>
      </w:r>
      <w:r>
        <w:rPr>
          <w:rFonts w:ascii="仿宋" w:eastAsia="仿宋" w:hAnsi="仿宋" w:cs="仿宋" w:hint="eastAsia"/>
          <w:b/>
          <w:bCs/>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我局在部门整体支出中，严格按照年初预算安排，严格遵守资</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w:t>
      </w:r>
      <w:r>
        <w:rPr>
          <w:rFonts w:ascii="仿宋" w:eastAsia="仿宋" w:hAnsi="仿宋" w:cs="仿宋" w:hint="eastAsia"/>
          <w:color w:val="000000"/>
          <w:kern w:val="0"/>
          <w:sz w:val="30"/>
          <w:szCs w:val="30"/>
        </w:rPr>
        <w:t>支付制度，严格完善相关资料手续、审核审批程序，保证了各项资金使用的合理合规，充分发挥了各项资金的效益性。</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二、绩效评价工作情况</w:t>
      </w:r>
      <w:r>
        <w:rPr>
          <w:rFonts w:ascii="黑体" w:eastAsia="黑体" w:hAnsi="黑体" w:cs="黑体" w:hint="eastAsia"/>
          <w:color w:val="000000"/>
          <w:kern w:val="0"/>
          <w:sz w:val="30"/>
          <w:szCs w:val="30"/>
        </w:rPr>
        <w:t xml:space="preserve"> </w:t>
      </w:r>
    </w:p>
    <w:p w:rsidR="004E2979" w:rsidRDefault="0081035B">
      <w:pPr>
        <w:widowControl/>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（一）绩效评价目的</w:t>
      </w:r>
      <w:r>
        <w:rPr>
          <w:rFonts w:ascii="仿宋" w:eastAsia="仿宋" w:hAnsi="仿宋" w:cs="仿宋" w:hint="eastAsia"/>
          <w:b/>
          <w:bCs/>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本次绩效评价的目的是为了全面分析和综合评价我单位本级</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财政预算资金的使用管理情况，为切实提高财政资金使用效益，强</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化预算支出的责任和效率提供参考依据。</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（二）绩效评价工作过程</w:t>
      </w:r>
      <w:r>
        <w:rPr>
          <w:rFonts w:ascii="仿宋" w:eastAsia="仿宋" w:hAnsi="仿宋" w:cs="仿宋" w:hint="eastAsia"/>
          <w:b/>
          <w:bCs/>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前期准备。按照绩效自评工作要求，成立了以张洁潭校长为</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组长的绩效评价工作小组，于</w:t>
      </w:r>
      <w:r>
        <w:rPr>
          <w:rFonts w:ascii="仿宋" w:eastAsia="仿宋" w:hAnsi="仿宋" w:cs="仿宋" w:hint="eastAsia"/>
          <w:color w:val="000000"/>
          <w:kern w:val="0"/>
          <w:sz w:val="30"/>
          <w:szCs w:val="30"/>
        </w:rPr>
        <w:t xml:space="preserve"> 6 </w:t>
      </w:r>
      <w:r>
        <w:rPr>
          <w:rFonts w:ascii="仿宋" w:eastAsia="仿宋" w:hAnsi="仿宋" w:cs="仿宋" w:hint="eastAsia"/>
          <w:color w:val="000000"/>
          <w:kern w:val="0"/>
          <w:sz w:val="30"/>
          <w:szCs w:val="30"/>
        </w:rPr>
        <w:t>月</w:t>
      </w:r>
      <w:r>
        <w:rPr>
          <w:rFonts w:ascii="仿宋" w:eastAsia="仿宋" w:hAnsi="仿宋" w:cs="仿宋" w:hint="eastAsia"/>
          <w:color w:val="000000"/>
          <w:kern w:val="0"/>
          <w:sz w:val="30"/>
          <w:szCs w:val="30"/>
        </w:rPr>
        <w:t xml:space="preserve"> 15 </w:t>
      </w:r>
      <w:r>
        <w:rPr>
          <w:rFonts w:ascii="仿宋" w:eastAsia="仿宋" w:hAnsi="仿宋" w:cs="仿宋" w:hint="eastAsia"/>
          <w:color w:val="000000"/>
          <w:kern w:val="0"/>
          <w:sz w:val="30"/>
          <w:szCs w:val="30"/>
        </w:rPr>
        <w:t>日前完成现场评价工作。</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核实数据。对</w:t>
      </w:r>
      <w:r>
        <w:rPr>
          <w:rFonts w:ascii="仿宋" w:eastAsia="仿宋" w:hAnsi="仿宋" w:cs="仿宋" w:hint="eastAsia"/>
          <w:color w:val="000000"/>
          <w:kern w:val="0"/>
          <w:sz w:val="30"/>
          <w:szCs w:val="30"/>
        </w:rPr>
        <w:t xml:space="preserve"> 2021 </w:t>
      </w:r>
      <w:r>
        <w:rPr>
          <w:rFonts w:ascii="仿宋" w:eastAsia="仿宋" w:hAnsi="仿宋" w:cs="仿宋" w:hint="eastAsia"/>
          <w:color w:val="000000"/>
          <w:kern w:val="0"/>
          <w:sz w:val="30"/>
          <w:szCs w:val="30"/>
        </w:rPr>
        <w:t>年度部门整体支出数据的准</w:t>
      </w:r>
      <w:r>
        <w:rPr>
          <w:rFonts w:ascii="仿宋" w:eastAsia="仿宋" w:hAnsi="仿宋" w:cs="仿宋" w:hint="eastAsia"/>
          <w:color w:val="000000"/>
          <w:kern w:val="0"/>
          <w:sz w:val="30"/>
          <w:szCs w:val="30"/>
        </w:rPr>
        <w:t>确性、真实</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性进行核实，将</w:t>
      </w:r>
      <w:r>
        <w:rPr>
          <w:rFonts w:ascii="仿宋" w:eastAsia="仿宋" w:hAnsi="仿宋" w:cs="仿宋" w:hint="eastAsia"/>
          <w:color w:val="000000"/>
          <w:kern w:val="0"/>
          <w:sz w:val="30"/>
          <w:szCs w:val="30"/>
        </w:rPr>
        <w:t xml:space="preserve"> 2022</w:t>
      </w:r>
      <w:r>
        <w:rPr>
          <w:rFonts w:ascii="仿宋" w:eastAsia="仿宋" w:hAnsi="仿宋" w:cs="仿宋" w:hint="eastAsia"/>
          <w:color w:val="000000"/>
          <w:kern w:val="0"/>
          <w:sz w:val="30"/>
          <w:szCs w:val="30"/>
        </w:rPr>
        <w:t>年度和</w:t>
      </w:r>
      <w:r>
        <w:rPr>
          <w:rFonts w:ascii="仿宋" w:eastAsia="仿宋" w:hAnsi="仿宋" w:cs="仿宋" w:hint="eastAsia"/>
          <w:color w:val="000000"/>
          <w:kern w:val="0"/>
          <w:sz w:val="30"/>
          <w:szCs w:val="30"/>
        </w:rPr>
        <w:t xml:space="preserve"> 2020 </w:t>
      </w:r>
      <w:r>
        <w:rPr>
          <w:rFonts w:ascii="仿宋" w:eastAsia="仿宋" w:hAnsi="仿宋" w:cs="仿宋" w:hint="eastAsia"/>
          <w:color w:val="000000"/>
          <w:kern w:val="0"/>
          <w:sz w:val="30"/>
          <w:szCs w:val="30"/>
        </w:rPr>
        <w:t>年度部门整体支出情况进行比较</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分析。</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查阅资料。查阅</w:t>
      </w:r>
      <w:r>
        <w:rPr>
          <w:rFonts w:ascii="仿宋" w:eastAsia="仿宋" w:hAnsi="仿宋" w:cs="仿宋" w:hint="eastAsia"/>
          <w:color w:val="000000"/>
          <w:kern w:val="0"/>
          <w:sz w:val="30"/>
          <w:szCs w:val="30"/>
        </w:rPr>
        <w:t xml:space="preserve"> 2021 </w:t>
      </w:r>
      <w:r>
        <w:rPr>
          <w:rFonts w:ascii="仿宋" w:eastAsia="仿宋" w:hAnsi="仿宋" w:cs="仿宋" w:hint="eastAsia"/>
          <w:color w:val="000000"/>
          <w:kern w:val="0"/>
          <w:sz w:val="30"/>
          <w:szCs w:val="30"/>
        </w:rPr>
        <w:t>年度预算安排、非税收入、预算追加、</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资金管理、经费支出、资产管理等相关文件资料和财务凭证。</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实地查看。现场查看实物资产等。</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5.</w:t>
      </w:r>
      <w:r>
        <w:rPr>
          <w:rFonts w:ascii="仿宋" w:eastAsia="仿宋" w:hAnsi="仿宋" w:cs="仿宋" w:hint="eastAsia"/>
          <w:color w:val="000000"/>
          <w:kern w:val="0"/>
          <w:sz w:val="30"/>
          <w:szCs w:val="30"/>
        </w:rPr>
        <w:t>发放调查问卷。对部门履行职责情况的公众满意度进行调</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查。</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归纳汇总。对提供的材料及自评报告，结合现场评价情况进</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行综合分析、归纳汇总。</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7.</w:t>
      </w:r>
      <w:r>
        <w:rPr>
          <w:rFonts w:ascii="仿宋" w:eastAsia="仿宋" w:hAnsi="仿宋" w:cs="仿宋" w:hint="eastAsia"/>
          <w:color w:val="000000"/>
          <w:kern w:val="0"/>
          <w:sz w:val="30"/>
          <w:szCs w:val="30"/>
        </w:rPr>
        <w:t>评价组对各项评价指标进行分析讨论。</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8.</w:t>
      </w:r>
      <w:r>
        <w:rPr>
          <w:rFonts w:ascii="仿宋" w:eastAsia="仿宋" w:hAnsi="仿宋" w:cs="仿宋" w:hint="eastAsia"/>
          <w:color w:val="000000"/>
          <w:kern w:val="0"/>
          <w:sz w:val="30"/>
          <w:szCs w:val="30"/>
        </w:rPr>
        <w:t>形成绩效评价报告。</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三、主要绩效及评价结论</w:t>
      </w:r>
      <w:r>
        <w:rPr>
          <w:rFonts w:ascii="黑体" w:eastAsia="黑体" w:hAnsi="黑体" w:cs="黑体" w:hint="eastAsia"/>
          <w:color w:val="000000"/>
          <w:kern w:val="0"/>
          <w:sz w:val="30"/>
          <w:szCs w:val="30"/>
        </w:rPr>
        <w:t xml:space="preserve"> </w:t>
      </w:r>
    </w:p>
    <w:p w:rsidR="004E2979" w:rsidRDefault="0081035B">
      <w:pPr>
        <w:widowControl/>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（一）合理规划、整合资金，不断改善办学条件</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2021 </w:t>
      </w:r>
      <w:r>
        <w:rPr>
          <w:rFonts w:ascii="仿宋" w:eastAsia="仿宋" w:hAnsi="仿宋" w:cs="仿宋" w:hint="eastAsia"/>
          <w:color w:val="000000"/>
          <w:kern w:val="0"/>
          <w:sz w:val="30"/>
          <w:szCs w:val="30"/>
        </w:rPr>
        <w:t>年以</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来总计投入</w:t>
      </w:r>
      <w:r>
        <w:rPr>
          <w:rFonts w:ascii="仿宋" w:eastAsia="仿宋" w:hAnsi="仿宋" w:cs="仿宋" w:hint="eastAsia"/>
          <w:color w:val="000000"/>
          <w:kern w:val="0"/>
          <w:sz w:val="30"/>
          <w:szCs w:val="30"/>
        </w:rPr>
        <w:t xml:space="preserve"> 3.00</w:t>
      </w:r>
      <w:r>
        <w:rPr>
          <w:rFonts w:ascii="仿宋" w:eastAsia="仿宋" w:hAnsi="仿宋" w:cs="仿宋" w:hint="eastAsia"/>
          <w:color w:val="000000"/>
          <w:kern w:val="0"/>
          <w:sz w:val="30"/>
          <w:szCs w:val="30"/>
        </w:rPr>
        <w:t>万元，用于校园维修改造（校园文化、教师办公</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室设备添置、功能室装修改造）。</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（二）评价结论</w:t>
      </w:r>
      <w:r>
        <w:rPr>
          <w:rFonts w:ascii="仿宋" w:eastAsia="仿宋" w:hAnsi="仿宋" w:cs="仿宋" w:hint="eastAsia"/>
          <w:b/>
          <w:bCs/>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单位预算编制科学，民主理财、公开理财氛围浓厚，重大财</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务事项经由集体研究决策，财务制度健全。</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预算执行方面。我校经费开支严格按预算执行，基本支出的</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日常财务管理工作由学校财务实行统一核算和统一管理，经费开支</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按用途使用合理，做到专帐专管</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专款专用，不铺张浪费，开源节</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流。</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预算管理方面。我校制定了切实有效的内部管理制度</w:t>
      </w:r>
      <w:r>
        <w:rPr>
          <w:rFonts w:ascii="仿宋" w:eastAsia="仿宋" w:hAnsi="仿宋" w:cs="仿宋" w:hint="eastAsia"/>
          <w:color w:val="000000"/>
          <w:kern w:val="0"/>
          <w:sz w:val="30"/>
          <w:szCs w:val="30"/>
        </w:rPr>
        <w:t>和经费</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支出控制方案，有较强的内控风险管理意识、各项经费支出得到了</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有效控制。</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四、存在的问题</w:t>
      </w:r>
      <w:r>
        <w:rPr>
          <w:rFonts w:ascii="黑体" w:eastAsia="黑体" w:hAnsi="黑体" w:cs="黑体"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（一）因部分工作是年中或年末根据省市相关要求开展，未纳</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入年初预算，另外还有部分不可预见经费的追加，无法纳入预算，导致预算执行存在偏差。</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（二）固定资产管理有待进一步规范。有些学校固定资产管理无专人负责，有些房屋建筑物尚未办理房屋产权证。</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五、有关建议</w:t>
      </w:r>
      <w:r>
        <w:rPr>
          <w:rFonts w:ascii="黑体" w:eastAsia="黑体" w:hAnsi="黑体" w:cs="黑体"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（一）科学合理编制预算，严格执行预算</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避免年中大幅追加以及超预算。同时严格预算执行，提高资金使用效率。进一步完善、明确和细化各项费用支出管理制度，严格控制招待费和各项费用支出。</w:t>
      </w:r>
      <w:r>
        <w:rPr>
          <w:rFonts w:ascii="仿宋" w:eastAsia="仿宋" w:hAnsi="仿宋" w:cs="仿宋" w:hint="eastAsia"/>
          <w:color w:val="000000"/>
          <w:kern w:val="0"/>
          <w:sz w:val="30"/>
          <w:szCs w:val="30"/>
        </w:rPr>
        <w:t xml:space="preserve"> </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（二）加强固定资产的管理，配置专管部门和专管人员，对固定资产进行一次全面清查盘点，建立固定资产卡片，切实做到账卡相符、账物相符。</w:t>
      </w:r>
    </w:p>
    <w:p w:rsidR="004E2979" w:rsidRDefault="0081035B">
      <w:pPr>
        <w:widowControl/>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附件：</w:t>
      </w:r>
      <w:r>
        <w:rPr>
          <w:rFonts w:ascii="仿宋" w:eastAsia="仿宋" w:hAnsi="仿宋" w:cs="仿宋" w:hint="eastAsia"/>
          <w:color w:val="000000"/>
          <w:kern w:val="0"/>
          <w:sz w:val="30"/>
          <w:szCs w:val="30"/>
        </w:rPr>
        <w:t xml:space="preserve">2020 </w:t>
      </w:r>
      <w:r>
        <w:rPr>
          <w:rFonts w:ascii="仿宋" w:eastAsia="仿宋" w:hAnsi="仿宋" w:cs="仿宋" w:hint="eastAsia"/>
          <w:color w:val="000000"/>
          <w:kern w:val="0"/>
          <w:sz w:val="30"/>
          <w:szCs w:val="30"/>
        </w:rPr>
        <w:t>年度部门整体支出绩效自评指标计分表</w:t>
      </w:r>
    </w:p>
    <w:p w:rsidR="004E2979" w:rsidRDefault="004E2979">
      <w:pPr>
        <w:widowControl/>
        <w:spacing w:line="600" w:lineRule="exact"/>
        <w:ind w:firstLineChars="200" w:firstLine="600"/>
        <w:jc w:val="left"/>
        <w:rPr>
          <w:rFonts w:ascii="仿宋" w:eastAsia="仿宋" w:hAnsi="仿宋" w:cs="仿宋"/>
          <w:color w:val="000000"/>
          <w:kern w:val="0"/>
          <w:sz w:val="30"/>
          <w:szCs w:val="30"/>
        </w:rPr>
      </w:pPr>
    </w:p>
    <w:p w:rsidR="004E2979" w:rsidRDefault="004E2979">
      <w:pPr>
        <w:widowControl/>
        <w:ind w:firstLineChars="200" w:firstLine="620"/>
        <w:jc w:val="left"/>
        <w:rPr>
          <w:rFonts w:ascii="仿宋_GB2312" w:eastAsia="仿宋_GB2312" w:hAnsi="宋体" w:cs="仿宋_GB2312"/>
          <w:color w:val="000000"/>
          <w:kern w:val="0"/>
          <w:sz w:val="31"/>
          <w:szCs w:val="31"/>
        </w:rPr>
      </w:pPr>
    </w:p>
    <w:p w:rsidR="004E2979" w:rsidRDefault="004E2979">
      <w:pPr>
        <w:widowControl/>
        <w:ind w:firstLineChars="200" w:firstLine="620"/>
        <w:jc w:val="left"/>
        <w:rPr>
          <w:rFonts w:ascii="仿宋_GB2312" w:eastAsia="仿宋_GB2312" w:hAnsi="宋体" w:cs="仿宋_GB2312"/>
          <w:color w:val="000000"/>
          <w:kern w:val="0"/>
          <w:sz w:val="31"/>
          <w:szCs w:val="31"/>
        </w:rPr>
      </w:pPr>
    </w:p>
    <w:p w:rsidR="004E2979" w:rsidRDefault="004E2979">
      <w:pPr>
        <w:widowControl/>
        <w:ind w:firstLineChars="200" w:firstLine="620"/>
        <w:jc w:val="left"/>
        <w:rPr>
          <w:rFonts w:ascii="仿宋_GB2312" w:eastAsia="仿宋_GB2312" w:hAnsi="宋体" w:cs="仿宋_GB2312"/>
          <w:color w:val="000000"/>
          <w:kern w:val="0"/>
          <w:sz w:val="31"/>
          <w:szCs w:val="31"/>
        </w:rPr>
      </w:pPr>
    </w:p>
    <w:p w:rsidR="004E2979" w:rsidRDefault="004E2979">
      <w:pPr>
        <w:widowControl/>
        <w:ind w:firstLineChars="200" w:firstLine="620"/>
        <w:jc w:val="left"/>
        <w:rPr>
          <w:rFonts w:ascii="仿宋_GB2312" w:eastAsia="仿宋_GB2312" w:hAnsi="宋体" w:cs="仿宋_GB2312"/>
          <w:color w:val="000000"/>
          <w:kern w:val="0"/>
          <w:sz w:val="31"/>
          <w:szCs w:val="31"/>
        </w:rPr>
      </w:pPr>
    </w:p>
    <w:p w:rsidR="004E2979" w:rsidRDefault="004E2979">
      <w:pPr>
        <w:widowControl/>
        <w:ind w:firstLineChars="200" w:firstLine="620"/>
        <w:jc w:val="left"/>
        <w:rPr>
          <w:rFonts w:ascii="仿宋_GB2312" w:eastAsia="仿宋_GB2312" w:hAnsi="宋体" w:cs="仿宋_GB2312"/>
          <w:color w:val="000000"/>
          <w:kern w:val="0"/>
          <w:sz w:val="31"/>
          <w:szCs w:val="31"/>
        </w:rPr>
      </w:pPr>
    </w:p>
    <w:p w:rsidR="004E2979" w:rsidRDefault="004E2979">
      <w:pPr>
        <w:widowControl/>
        <w:ind w:firstLineChars="200" w:firstLine="620"/>
        <w:jc w:val="left"/>
        <w:rPr>
          <w:rFonts w:ascii="仿宋_GB2312" w:eastAsia="仿宋_GB2312" w:hAnsi="宋体" w:cs="仿宋_GB2312"/>
          <w:color w:val="000000"/>
          <w:kern w:val="0"/>
          <w:sz w:val="31"/>
          <w:szCs w:val="31"/>
        </w:rPr>
      </w:pPr>
    </w:p>
    <w:p w:rsidR="004E2979" w:rsidRDefault="004E2979">
      <w:pPr>
        <w:widowControl/>
        <w:ind w:firstLineChars="200" w:firstLine="620"/>
        <w:jc w:val="left"/>
        <w:rPr>
          <w:rFonts w:ascii="仿宋_GB2312" w:eastAsia="仿宋_GB2312" w:hAnsi="宋体" w:cs="仿宋_GB2312"/>
          <w:color w:val="000000"/>
          <w:kern w:val="0"/>
          <w:sz w:val="31"/>
          <w:szCs w:val="31"/>
        </w:rPr>
      </w:pPr>
    </w:p>
    <w:p w:rsidR="004E2979" w:rsidRDefault="004E2979">
      <w:pPr>
        <w:widowControl/>
        <w:ind w:firstLineChars="200" w:firstLine="620"/>
        <w:jc w:val="left"/>
        <w:rPr>
          <w:rFonts w:ascii="仿宋_GB2312" w:eastAsia="仿宋_GB2312" w:hAnsi="宋体" w:cs="仿宋_GB2312"/>
          <w:color w:val="000000"/>
          <w:kern w:val="0"/>
          <w:sz w:val="31"/>
          <w:szCs w:val="31"/>
        </w:rPr>
      </w:pPr>
    </w:p>
    <w:p w:rsidR="004E2979" w:rsidRDefault="004E2979">
      <w:pPr>
        <w:widowControl/>
        <w:ind w:firstLineChars="200" w:firstLine="620"/>
        <w:jc w:val="left"/>
        <w:rPr>
          <w:rFonts w:ascii="仿宋_GB2312" w:eastAsia="仿宋_GB2312" w:hAnsi="宋体" w:cs="仿宋_GB2312"/>
          <w:color w:val="000000"/>
          <w:kern w:val="0"/>
          <w:sz w:val="31"/>
          <w:szCs w:val="31"/>
        </w:rPr>
      </w:pPr>
    </w:p>
    <w:p w:rsidR="004E2979" w:rsidRDefault="004E2979">
      <w:pPr>
        <w:widowControl/>
        <w:ind w:firstLineChars="200" w:firstLine="620"/>
        <w:jc w:val="left"/>
        <w:rPr>
          <w:rFonts w:ascii="仿宋_GB2312" w:eastAsia="仿宋_GB2312" w:hAnsi="宋体" w:cs="仿宋_GB2312"/>
          <w:color w:val="000000"/>
          <w:kern w:val="0"/>
          <w:sz w:val="31"/>
          <w:szCs w:val="31"/>
        </w:rPr>
      </w:pPr>
    </w:p>
    <w:p w:rsidR="004E2979" w:rsidRDefault="004E2979">
      <w:pPr>
        <w:widowControl/>
        <w:ind w:firstLineChars="200" w:firstLine="620"/>
        <w:jc w:val="left"/>
        <w:rPr>
          <w:rFonts w:ascii="仿宋_GB2312" w:eastAsia="仿宋_GB2312" w:hAnsi="宋体" w:cs="仿宋_GB2312"/>
          <w:color w:val="000000"/>
          <w:kern w:val="0"/>
          <w:sz w:val="31"/>
          <w:szCs w:val="31"/>
        </w:rPr>
      </w:pPr>
    </w:p>
    <w:p w:rsidR="004E2979" w:rsidRDefault="004E2979">
      <w:pPr>
        <w:widowControl/>
        <w:ind w:firstLineChars="200" w:firstLine="620"/>
        <w:jc w:val="left"/>
        <w:rPr>
          <w:rFonts w:ascii="仿宋_GB2312" w:eastAsia="仿宋_GB2312" w:hAnsi="宋体" w:cs="仿宋_GB2312"/>
          <w:color w:val="000000"/>
          <w:kern w:val="0"/>
          <w:sz w:val="31"/>
          <w:szCs w:val="31"/>
        </w:rPr>
      </w:pPr>
    </w:p>
    <w:p w:rsidR="004E2979" w:rsidRDefault="004E2979">
      <w:pPr>
        <w:widowControl/>
        <w:ind w:firstLineChars="200" w:firstLine="620"/>
        <w:jc w:val="left"/>
        <w:rPr>
          <w:rFonts w:ascii="仿宋_GB2312" w:eastAsia="仿宋_GB2312" w:hAnsi="宋体" w:cs="仿宋_GB2312"/>
          <w:color w:val="000000"/>
          <w:kern w:val="0"/>
          <w:sz w:val="31"/>
          <w:szCs w:val="31"/>
        </w:rPr>
      </w:pPr>
      <w:bookmarkStart w:id="0" w:name="_GoBack"/>
      <w:bookmarkEnd w:id="0"/>
    </w:p>
    <w:p w:rsidR="004E2979" w:rsidRDefault="004E2979">
      <w:pPr>
        <w:widowControl/>
        <w:ind w:firstLineChars="200" w:firstLine="620"/>
        <w:jc w:val="left"/>
        <w:rPr>
          <w:rFonts w:ascii="仿宋_GB2312" w:eastAsia="仿宋_GB2312" w:hAnsi="宋体" w:cs="仿宋_GB2312"/>
          <w:color w:val="000000"/>
          <w:kern w:val="0"/>
          <w:sz w:val="31"/>
          <w:szCs w:val="31"/>
        </w:rPr>
      </w:pPr>
    </w:p>
    <w:p w:rsidR="004E2979" w:rsidRDefault="004E2979">
      <w:pPr>
        <w:widowControl/>
        <w:ind w:firstLineChars="200" w:firstLine="620"/>
        <w:jc w:val="left"/>
        <w:rPr>
          <w:rFonts w:ascii="仿宋_GB2312" w:eastAsia="仿宋_GB2312" w:hAnsi="宋体" w:cs="仿宋_GB2312"/>
          <w:color w:val="000000"/>
          <w:kern w:val="0"/>
          <w:sz w:val="31"/>
          <w:szCs w:val="31"/>
        </w:rPr>
      </w:pPr>
    </w:p>
    <w:p w:rsidR="004E2979" w:rsidRDefault="004E2979">
      <w:pPr>
        <w:widowControl/>
        <w:ind w:firstLineChars="200" w:firstLine="620"/>
        <w:jc w:val="left"/>
        <w:rPr>
          <w:rFonts w:ascii="仿宋_GB2312" w:eastAsia="仿宋_GB2312" w:hAnsi="宋体" w:cs="仿宋_GB2312"/>
          <w:color w:val="000000"/>
          <w:kern w:val="0"/>
          <w:sz w:val="31"/>
          <w:szCs w:val="31"/>
        </w:rPr>
      </w:pPr>
    </w:p>
    <w:p w:rsidR="004E2979" w:rsidRDefault="004E2979">
      <w:pPr>
        <w:widowControl/>
        <w:ind w:firstLineChars="200" w:firstLine="420"/>
        <w:jc w:val="left"/>
      </w:pPr>
    </w:p>
    <w:p w:rsidR="004E2979" w:rsidRDefault="0081035B">
      <w:pPr>
        <w:widowControl/>
        <w:spacing w:line="600" w:lineRule="exact"/>
        <w:ind w:firstLineChars="200" w:firstLine="600"/>
        <w:jc w:val="center"/>
        <w:rPr>
          <w:rFonts w:ascii="黑体" w:eastAsia="黑体" w:hAnsi="黑体" w:cs="黑体"/>
          <w:color w:val="000000"/>
          <w:kern w:val="0"/>
          <w:sz w:val="30"/>
          <w:szCs w:val="30"/>
        </w:rPr>
      </w:pPr>
      <w:r>
        <w:rPr>
          <w:rFonts w:ascii="黑体" w:eastAsia="黑体" w:hAnsi="黑体" w:cs="黑体" w:hint="eastAsia"/>
          <w:color w:val="000000"/>
          <w:kern w:val="0"/>
          <w:sz w:val="30"/>
          <w:szCs w:val="30"/>
        </w:rPr>
        <w:lastRenderedPageBreak/>
        <w:t xml:space="preserve">2020 </w:t>
      </w:r>
      <w:r>
        <w:rPr>
          <w:rFonts w:ascii="黑体" w:eastAsia="黑体" w:hAnsi="黑体" w:cs="黑体" w:hint="eastAsia"/>
          <w:color w:val="000000"/>
          <w:kern w:val="0"/>
          <w:sz w:val="30"/>
          <w:szCs w:val="30"/>
        </w:rPr>
        <w:t>年度部门整体支出绩效自评指标计分表</w:t>
      </w:r>
    </w:p>
    <w:tbl>
      <w:tblPr>
        <w:tblW w:w="9363" w:type="dxa"/>
        <w:jc w:val="center"/>
        <w:tblLayout w:type="fixed"/>
        <w:tblLook w:val="04A0"/>
      </w:tblPr>
      <w:tblGrid>
        <w:gridCol w:w="536"/>
        <w:gridCol w:w="552"/>
        <w:gridCol w:w="689"/>
        <w:gridCol w:w="433"/>
        <w:gridCol w:w="2547"/>
        <w:gridCol w:w="4606"/>
      </w:tblGrid>
      <w:tr w:rsidR="004E2979">
        <w:trPr>
          <w:trHeight w:hRule="exact" w:val="694"/>
          <w:jc w:val="center"/>
        </w:trPr>
        <w:tc>
          <w:tcPr>
            <w:tcW w:w="5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指标</w:t>
            </w:r>
          </w:p>
        </w:tc>
        <w:tc>
          <w:tcPr>
            <w:tcW w:w="5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lang w:eastAsia="en-US"/>
              </w:rPr>
              <w:t>二级</w:t>
            </w:r>
          </w:p>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指标</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color w:val="000000"/>
                <w:kern w:val="0"/>
                <w:szCs w:val="21"/>
                <w:lang w:eastAsia="en-US"/>
              </w:rPr>
            </w:pPr>
            <w:r>
              <w:rPr>
                <w:rFonts w:asciiTheme="majorEastAsia" w:eastAsiaTheme="majorEastAsia" w:hAnsiTheme="majorEastAsia" w:cstheme="majorEastAsia" w:hint="eastAsia"/>
                <w:color w:val="000000"/>
                <w:kern w:val="0"/>
                <w:szCs w:val="21"/>
                <w:lang w:eastAsia="en-US"/>
              </w:rPr>
              <w:t>三级</w:t>
            </w:r>
          </w:p>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指标</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color w:val="000000"/>
                <w:kern w:val="0"/>
                <w:szCs w:val="21"/>
                <w:lang w:eastAsia="en-US"/>
              </w:rPr>
            </w:pPr>
            <w:r>
              <w:rPr>
                <w:rFonts w:asciiTheme="majorEastAsia" w:eastAsiaTheme="majorEastAsia" w:hAnsiTheme="majorEastAsia" w:cstheme="majorEastAsia" w:hint="eastAsia"/>
                <w:color w:val="000000"/>
                <w:kern w:val="0"/>
                <w:szCs w:val="21"/>
                <w:lang w:eastAsia="en-US"/>
              </w:rPr>
              <w:t>自评</w:t>
            </w:r>
          </w:p>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分</w:t>
            </w:r>
          </w:p>
        </w:tc>
        <w:tc>
          <w:tcPr>
            <w:tcW w:w="2547" w:type="dxa"/>
            <w:tcBorders>
              <w:top w:val="single" w:sz="4" w:space="0" w:color="000000"/>
              <w:left w:val="single" w:sz="4" w:space="0" w:color="000000"/>
              <w:bottom w:val="single" w:sz="4" w:space="0" w:color="auto"/>
              <w:right w:val="single" w:sz="2"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指标解释</w:t>
            </w:r>
          </w:p>
        </w:tc>
        <w:tc>
          <w:tcPr>
            <w:tcW w:w="4606"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指标说明</w:t>
            </w:r>
          </w:p>
        </w:tc>
      </w:tr>
      <w:tr w:rsidR="004E2979">
        <w:trPr>
          <w:trHeight w:hRule="exact" w:val="1655"/>
          <w:jc w:val="center"/>
        </w:trPr>
        <w:tc>
          <w:tcPr>
            <w:tcW w:w="5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投</w:t>
            </w:r>
          </w:p>
          <w:p w:rsidR="004E2979" w:rsidRDefault="0081035B">
            <w:pPr>
              <w:widowControl/>
              <w:autoSpaceDE w:val="0"/>
              <w:autoSpaceDN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lang w:eastAsia="en-US"/>
              </w:rPr>
              <w:t>入</w:t>
            </w:r>
          </w:p>
          <w:p w:rsidR="004E2979" w:rsidRDefault="0081035B">
            <w:pPr>
              <w:widowControl/>
              <w:autoSpaceDE w:val="0"/>
              <w:autoSpaceDN w:val="0"/>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lang w:eastAsia="en-US"/>
              </w:rPr>
              <w:t>（</w:t>
            </w:r>
            <w:r>
              <w:rPr>
                <w:rFonts w:asciiTheme="majorEastAsia" w:eastAsiaTheme="majorEastAsia" w:hAnsiTheme="majorEastAsia" w:cstheme="majorEastAsia" w:hint="eastAsia"/>
                <w:color w:val="000000"/>
                <w:kern w:val="0"/>
                <w:szCs w:val="21"/>
              </w:rPr>
              <w:t>20</w:t>
            </w:r>
          </w:p>
          <w:p w:rsidR="004E2979" w:rsidRDefault="0081035B">
            <w:pPr>
              <w:widowControl/>
              <w:autoSpaceDE w:val="0"/>
              <w:autoSpaceDN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lang w:eastAsia="en-US"/>
              </w:rPr>
              <w:t>分</w:t>
            </w:r>
          </w:p>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w:t>
            </w:r>
          </w:p>
        </w:tc>
        <w:tc>
          <w:tcPr>
            <w:tcW w:w="55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lang w:eastAsia="en-US"/>
              </w:rPr>
              <w:t>目标</w:t>
            </w:r>
          </w:p>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分）</w:t>
            </w:r>
          </w:p>
          <w:p w:rsidR="004E2979" w:rsidRDefault="0081035B">
            <w:pPr>
              <w:widowControl/>
              <w:autoSpaceDE w:val="0"/>
              <w:autoSpaceDN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lang w:eastAsia="en-US"/>
              </w:rPr>
              <w:t>设定</w:t>
            </w:r>
          </w:p>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w:t>
            </w:r>
            <w:r>
              <w:rPr>
                <w:rFonts w:asciiTheme="majorEastAsia" w:eastAsiaTheme="majorEastAsia" w:hAnsiTheme="majorEastAsia" w:cstheme="majorEastAsia" w:hint="eastAsia"/>
                <w:color w:val="000000"/>
                <w:kern w:val="0"/>
                <w:szCs w:val="21"/>
                <w:lang w:eastAsia="en-US"/>
              </w:rPr>
              <w:t>5</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tabs>
                <w:tab w:val="left" w:pos="84"/>
                <w:tab w:val="left" w:pos="138"/>
              </w:tabs>
              <w:autoSpaceDE w:val="0"/>
              <w:autoSpaceDN w:val="0"/>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绩效目标合理</w:t>
            </w:r>
            <w:r>
              <w:rPr>
                <w:rFonts w:asciiTheme="majorEastAsia" w:eastAsiaTheme="majorEastAsia" w:hAnsiTheme="majorEastAsia" w:cstheme="majorEastAsia" w:hint="eastAsia"/>
                <w:kern w:val="0"/>
                <w:szCs w:val="21"/>
              </w:rPr>
              <w:tab/>
            </w:r>
            <w:r>
              <w:rPr>
                <w:rFonts w:asciiTheme="majorEastAsia" w:eastAsiaTheme="majorEastAsia" w:hAnsiTheme="majorEastAsia" w:cstheme="majorEastAsia" w:hint="eastAsia"/>
                <w:color w:val="000000"/>
                <w:kern w:val="0"/>
                <w:szCs w:val="21"/>
              </w:rPr>
              <w:t>性（</w:t>
            </w:r>
            <w:r>
              <w:rPr>
                <w:rFonts w:asciiTheme="majorEastAsia" w:eastAsiaTheme="majorEastAsia" w:hAnsiTheme="majorEastAsia" w:cstheme="majorEastAsia" w:hint="eastAsia"/>
                <w:color w:val="000000"/>
                <w:kern w:val="0"/>
                <w:szCs w:val="21"/>
              </w:rPr>
              <w:t>2</w:t>
            </w:r>
            <w:r>
              <w:rPr>
                <w:rFonts w:asciiTheme="majorEastAsia" w:eastAsiaTheme="majorEastAsia" w:hAnsiTheme="majorEastAsia" w:cstheme="majorEastAsia" w:hint="eastAsia"/>
                <w:kern w:val="0"/>
                <w:szCs w:val="21"/>
              </w:rPr>
              <w:tab/>
            </w:r>
            <w:r>
              <w:rPr>
                <w:rFonts w:asciiTheme="majorEastAsia" w:eastAsiaTheme="majorEastAsia" w:hAnsiTheme="majorEastAsia" w:cstheme="majorEastAsia" w:hint="eastAsia"/>
                <w:kern w:val="0"/>
                <w:szCs w:val="21"/>
              </w:rPr>
              <w:tab/>
            </w:r>
            <w:r>
              <w:rPr>
                <w:rFonts w:asciiTheme="majorEastAsia" w:eastAsiaTheme="majorEastAsia" w:hAnsiTheme="majorEastAsia" w:cstheme="majorEastAsia" w:hint="eastAsia"/>
                <w:color w:val="000000"/>
                <w:kern w:val="0"/>
                <w:szCs w:val="21"/>
              </w:rPr>
              <w:t>分）</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2</w:t>
            </w:r>
          </w:p>
        </w:tc>
        <w:tc>
          <w:tcPr>
            <w:tcW w:w="2547" w:type="dxa"/>
            <w:tcBorders>
              <w:top w:val="single" w:sz="4" w:space="0" w:color="auto"/>
              <w:left w:val="single" w:sz="4" w:space="0" w:color="000000"/>
              <w:bottom w:val="single" w:sz="4" w:space="0" w:color="000000"/>
              <w:right w:val="single" w:sz="2" w:space="0" w:color="000000"/>
            </w:tcBorders>
            <w:vAlign w:val="center"/>
          </w:tcPr>
          <w:p w:rsidR="004E2979" w:rsidRDefault="0081035B">
            <w:pPr>
              <w:widowControl/>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部门所设立的整体绩效目标依据是否充分，是否符合客观实际，用以反映和考核部门整体绩效目标与部门履职、年度工作任务的相符性情况。</w:t>
            </w:r>
          </w:p>
        </w:tc>
        <w:tc>
          <w:tcPr>
            <w:tcW w:w="4606"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①</w:t>
            </w:r>
            <w:r>
              <w:rPr>
                <w:rFonts w:asciiTheme="majorEastAsia" w:eastAsiaTheme="majorEastAsia" w:hAnsiTheme="majorEastAsia" w:cstheme="majorEastAsia" w:hint="eastAsia"/>
                <w:color w:val="000000"/>
                <w:kern w:val="0"/>
                <w:szCs w:val="21"/>
              </w:rPr>
              <w:t xml:space="preserve"> </w:t>
            </w:r>
            <w:r>
              <w:rPr>
                <w:rFonts w:asciiTheme="majorEastAsia" w:eastAsiaTheme="majorEastAsia" w:hAnsiTheme="majorEastAsia" w:cstheme="majorEastAsia" w:hint="eastAsia"/>
                <w:color w:val="000000"/>
                <w:kern w:val="0"/>
                <w:szCs w:val="21"/>
              </w:rPr>
              <w:t>合国家法律法规、国民经济和社会发方案确定的职责计</w:t>
            </w:r>
            <w:r>
              <w:rPr>
                <w:rFonts w:asciiTheme="majorEastAsia" w:eastAsiaTheme="majorEastAsia" w:hAnsiTheme="majorEastAsia" w:cstheme="majorEastAsia" w:hint="eastAsia"/>
                <w:color w:val="000000"/>
                <w:kern w:val="0"/>
                <w:szCs w:val="21"/>
              </w:rPr>
              <w:t xml:space="preserve"> 0.5 </w:t>
            </w:r>
            <w:r>
              <w:rPr>
                <w:rFonts w:asciiTheme="majorEastAsia" w:eastAsiaTheme="majorEastAsia" w:hAnsiTheme="majorEastAsia" w:cstheme="majorEastAsia" w:hint="eastAsia"/>
                <w:color w:val="000000"/>
                <w:kern w:val="0"/>
                <w:szCs w:val="21"/>
              </w:rPr>
              <w:t>分；③是否符合部门制定的中长期实施规划计</w:t>
            </w:r>
            <w:r>
              <w:rPr>
                <w:rFonts w:asciiTheme="majorEastAsia" w:eastAsiaTheme="majorEastAsia" w:hAnsiTheme="majorEastAsia" w:cstheme="majorEastAsia" w:hint="eastAsia"/>
                <w:color w:val="000000"/>
                <w:kern w:val="0"/>
                <w:szCs w:val="21"/>
              </w:rPr>
              <w:t xml:space="preserve"> 0.5 </w:t>
            </w:r>
            <w:r>
              <w:rPr>
                <w:rFonts w:asciiTheme="majorEastAsia" w:eastAsiaTheme="majorEastAsia" w:hAnsiTheme="majorEastAsia" w:cstheme="majorEastAsia" w:hint="eastAsia"/>
                <w:color w:val="000000"/>
                <w:kern w:val="0"/>
                <w:szCs w:val="21"/>
              </w:rPr>
              <w:t>分。</w:t>
            </w:r>
          </w:p>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展总体规划计</w:t>
            </w:r>
            <w:r>
              <w:rPr>
                <w:rFonts w:asciiTheme="majorEastAsia" w:eastAsiaTheme="majorEastAsia" w:hAnsiTheme="majorEastAsia" w:cstheme="majorEastAsia" w:hint="eastAsia"/>
                <w:color w:val="000000"/>
                <w:kern w:val="0"/>
                <w:szCs w:val="21"/>
              </w:rPr>
              <w:t xml:space="preserve"> 1 </w:t>
            </w:r>
            <w:r>
              <w:rPr>
                <w:rFonts w:asciiTheme="majorEastAsia" w:eastAsiaTheme="majorEastAsia" w:hAnsiTheme="majorEastAsia" w:cstheme="majorEastAsia" w:hint="eastAsia"/>
                <w:color w:val="000000"/>
                <w:kern w:val="0"/>
                <w:szCs w:val="21"/>
              </w:rPr>
              <w:t>分；②符合部门“三定”</w:t>
            </w:r>
          </w:p>
        </w:tc>
      </w:tr>
      <w:tr w:rsidR="004E2979">
        <w:trPr>
          <w:trHeight w:hRule="exact" w:val="1378"/>
          <w:jc w:val="center"/>
        </w:trPr>
        <w:tc>
          <w:tcPr>
            <w:tcW w:w="536"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jc w:val="center"/>
              <w:rPr>
                <w:rFonts w:asciiTheme="majorEastAsia" w:eastAsiaTheme="majorEastAsia" w:hAnsiTheme="majorEastAsia" w:cstheme="majorEastAsia"/>
                <w:kern w:val="0"/>
                <w:szCs w:val="21"/>
              </w:rPr>
            </w:pPr>
          </w:p>
        </w:tc>
        <w:tc>
          <w:tcPr>
            <w:tcW w:w="552"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jc w:val="center"/>
              <w:rPr>
                <w:rFonts w:asciiTheme="majorEastAsia" w:eastAsiaTheme="majorEastAsia" w:hAnsiTheme="majorEastAsia" w:cstheme="majorEastAsia"/>
                <w:kern w:val="0"/>
                <w:szCs w:val="21"/>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tabs>
                <w:tab w:val="left" w:pos="84"/>
                <w:tab w:val="left" w:pos="138"/>
              </w:tabs>
              <w:autoSpaceDE w:val="0"/>
              <w:autoSpaceDN w:val="0"/>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绩效指标明确</w:t>
            </w:r>
            <w:r>
              <w:rPr>
                <w:rFonts w:asciiTheme="majorEastAsia" w:eastAsiaTheme="majorEastAsia" w:hAnsiTheme="majorEastAsia" w:cstheme="majorEastAsia" w:hint="eastAsia"/>
                <w:kern w:val="0"/>
                <w:szCs w:val="21"/>
              </w:rPr>
              <w:tab/>
            </w:r>
            <w:r>
              <w:rPr>
                <w:rFonts w:asciiTheme="majorEastAsia" w:eastAsiaTheme="majorEastAsia" w:hAnsiTheme="majorEastAsia" w:cstheme="majorEastAsia" w:hint="eastAsia"/>
                <w:color w:val="000000"/>
                <w:kern w:val="0"/>
                <w:szCs w:val="21"/>
              </w:rPr>
              <w:t>性（</w:t>
            </w:r>
            <w:r>
              <w:rPr>
                <w:rFonts w:asciiTheme="majorEastAsia" w:eastAsiaTheme="majorEastAsia" w:hAnsiTheme="majorEastAsia" w:cstheme="majorEastAsia" w:hint="eastAsia"/>
                <w:color w:val="000000"/>
                <w:kern w:val="0"/>
                <w:szCs w:val="21"/>
              </w:rPr>
              <w:t>3</w:t>
            </w:r>
            <w:r>
              <w:rPr>
                <w:rFonts w:asciiTheme="majorEastAsia" w:eastAsiaTheme="majorEastAsia" w:hAnsiTheme="majorEastAsia" w:cstheme="majorEastAsia" w:hint="eastAsia"/>
                <w:kern w:val="0"/>
                <w:szCs w:val="21"/>
              </w:rPr>
              <w:tab/>
            </w:r>
            <w:r>
              <w:rPr>
                <w:rFonts w:asciiTheme="majorEastAsia" w:eastAsiaTheme="majorEastAsia" w:hAnsiTheme="majorEastAsia" w:cstheme="majorEastAsia" w:hint="eastAsia"/>
                <w:kern w:val="0"/>
                <w:szCs w:val="21"/>
              </w:rPr>
              <w:tab/>
            </w:r>
            <w:r>
              <w:rPr>
                <w:rFonts w:asciiTheme="majorEastAsia" w:eastAsiaTheme="majorEastAsia" w:hAnsiTheme="majorEastAsia" w:cstheme="majorEastAsia" w:hint="eastAsia"/>
                <w:color w:val="000000"/>
                <w:kern w:val="0"/>
                <w:szCs w:val="21"/>
              </w:rPr>
              <w:t>分）</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3</w:t>
            </w:r>
          </w:p>
        </w:tc>
        <w:tc>
          <w:tcPr>
            <w:tcW w:w="2547"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部门依据整体绩效目标所设定的绩效指标是否清晰、细化、可衡量，用以反映和考核部门整体绩效目标的明细化情况。</w:t>
            </w:r>
          </w:p>
        </w:tc>
        <w:tc>
          <w:tcPr>
            <w:tcW w:w="4606"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①将部门整体的绩效目标细化分解为具体的工作任务计</w:t>
            </w:r>
            <w:r>
              <w:rPr>
                <w:rFonts w:asciiTheme="majorEastAsia" w:eastAsiaTheme="majorEastAsia" w:hAnsiTheme="majorEastAsia" w:cstheme="majorEastAsia" w:hint="eastAsia"/>
                <w:color w:val="000000"/>
                <w:kern w:val="0"/>
                <w:szCs w:val="21"/>
              </w:rPr>
              <w:t xml:space="preserve"> 1 </w:t>
            </w:r>
            <w:r>
              <w:rPr>
                <w:rFonts w:asciiTheme="majorEastAsia" w:eastAsiaTheme="majorEastAsia" w:hAnsiTheme="majorEastAsia" w:cstheme="majorEastAsia" w:hint="eastAsia"/>
                <w:color w:val="000000"/>
                <w:kern w:val="0"/>
                <w:szCs w:val="21"/>
              </w:rPr>
              <w:t>分；②通过清晰、可衡量的指标值予以体现计</w:t>
            </w:r>
            <w:r>
              <w:rPr>
                <w:rFonts w:asciiTheme="majorEastAsia" w:eastAsiaTheme="majorEastAsia" w:hAnsiTheme="majorEastAsia" w:cstheme="majorEastAsia" w:hint="eastAsia"/>
                <w:color w:val="000000"/>
                <w:kern w:val="0"/>
                <w:szCs w:val="21"/>
              </w:rPr>
              <w:t xml:space="preserve"> 0.5 </w:t>
            </w:r>
            <w:r>
              <w:rPr>
                <w:rFonts w:asciiTheme="majorEastAsia" w:eastAsiaTheme="majorEastAsia" w:hAnsiTheme="majorEastAsia" w:cstheme="majorEastAsia" w:hint="eastAsia"/>
                <w:color w:val="000000"/>
                <w:kern w:val="0"/>
                <w:szCs w:val="21"/>
              </w:rPr>
              <w:t>分。③与部门年度的任务数或计划数相对应计</w:t>
            </w:r>
            <w:r>
              <w:rPr>
                <w:rFonts w:asciiTheme="majorEastAsia" w:eastAsiaTheme="majorEastAsia" w:hAnsiTheme="majorEastAsia" w:cstheme="majorEastAsia" w:hint="eastAsia"/>
                <w:color w:val="000000"/>
                <w:kern w:val="0"/>
                <w:szCs w:val="21"/>
              </w:rPr>
              <w:t xml:space="preserve"> 0.5 </w:t>
            </w:r>
            <w:r>
              <w:rPr>
                <w:rFonts w:asciiTheme="majorEastAsia" w:eastAsiaTheme="majorEastAsia" w:hAnsiTheme="majorEastAsia" w:cstheme="majorEastAsia" w:hint="eastAsia"/>
                <w:color w:val="000000"/>
                <w:kern w:val="0"/>
                <w:szCs w:val="21"/>
              </w:rPr>
              <w:t>分；④与本年度部门预算资金相匹配计</w:t>
            </w:r>
            <w:r>
              <w:rPr>
                <w:rFonts w:asciiTheme="majorEastAsia" w:eastAsiaTheme="majorEastAsia" w:hAnsiTheme="majorEastAsia" w:cstheme="majorEastAsia" w:hint="eastAsia"/>
                <w:color w:val="000000"/>
                <w:kern w:val="0"/>
                <w:szCs w:val="21"/>
              </w:rPr>
              <w:t xml:space="preserve"> 1 </w:t>
            </w:r>
            <w:r>
              <w:rPr>
                <w:rFonts w:asciiTheme="majorEastAsia" w:eastAsiaTheme="majorEastAsia" w:hAnsiTheme="majorEastAsia" w:cstheme="majorEastAsia" w:hint="eastAsia"/>
                <w:color w:val="000000"/>
                <w:kern w:val="0"/>
                <w:szCs w:val="21"/>
              </w:rPr>
              <w:t>分。</w:t>
            </w:r>
          </w:p>
        </w:tc>
      </w:tr>
      <w:tr w:rsidR="004E2979">
        <w:trPr>
          <w:trHeight w:hRule="exact" w:val="1345"/>
          <w:jc w:val="center"/>
        </w:trPr>
        <w:tc>
          <w:tcPr>
            <w:tcW w:w="536"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jc w:val="center"/>
              <w:rPr>
                <w:rFonts w:asciiTheme="majorEastAsia" w:eastAsiaTheme="majorEastAsia" w:hAnsiTheme="majorEastAsia" w:cstheme="majorEastAsia"/>
                <w:kern w:val="0"/>
                <w:szCs w:val="21"/>
              </w:rPr>
            </w:pPr>
          </w:p>
        </w:tc>
        <w:tc>
          <w:tcPr>
            <w:tcW w:w="55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lang w:eastAsia="en-US"/>
              </w:rPr>
              <w:t>预算</w:t>
            </w:r>
          </w:p>
          <w:p w:rsidR="004E2979" w:rsidRDefault="0081035B">
            <w:pPr>
              <w:widowControl/>
              <w:autoSpaceDE w:val="0"/>
              <w:autoSpaceDN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lang w:eastAsia="en-US"/>
              </w:rPr>
              <w:t>配置</w:t>
            </w:r>
          </w:p>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w:t>
            </w:r>
            <w:r>
              <w:rPr>
                <w:rFonts w:asciiTheme="majorEastAsia" w:eastAsiaTheme="majorEastAsia" w:hAnsiTheme="majorEastAsia" w:cstheme="majorEastAsia" w:hint="eastAsia"/>
                <w:color w:val="000000"/>
                <w:kern w:val="0"/>
                <w:szCs w:val="21"/>
                <w:lang w:eastAsia="en-US"/>
              </w:rPr>
              <w:t>15</w:t>
            </w:r>
            <w:r>
              <w:rPr>
                <w:rFonts w:asciiTheme="majorEastAsia" w:eastAsiaTheme="majorEastAsia" w:hAnsiTheme="majorEastAsia" w:cstheme="majorEastAsia" w:hint="eastAsia"/>
                <w:color w:val="000000"/>
                <w:kern w:val="0"/>
                <w:szCs w:val="21"/>
                <w:lang w:eastAsia="en-US"/>
              </w:rPr>
              <w:t>分）</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tabs>
                <w:tab w:val="left" w:pos="84"/>
                <w:tab w:val="left" w:pos="138"/>
              </w:tabs>
              <w:autoSpaceDE w:val="0"/>
              <w:autoSpaceDN w:val="0"/>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在职人员控制</w:t>
            </w:r>
            <w:r>
              <w:rPr>
                <w:rFonts w:asciiTheme="majorEastAsia" w:eastAsiaTheme="majorEastAsia" w:hAnsiTheme="majorEastAsia" w:cstheme="majorEastAsia" w:hint="eastAsia"/>
                <w:kern w:val="0"/>
                <w:szCs w:val="21"/>
              </w:rPr>
              <w:tab/>
            </w:r>
            <w:r>
              <w:rPr>
                <w:rFonts w:asciiTheme="majorEastAsia" w:eastAsiaTheme="majorEastAsia" w:hAnsiTheme="majorEastAsia" w:cstheme="majorEastAsia" w:hint="eastAsia"/>
                <w:color w:val="000000"/>
                <w:kern w:val="0"/>
                <w:szCs w:val="21"/>
              </w:rPr>
              <w:t>率（</w:t>
            </w:r>
            <w:r>
              <w:rPr>
                <w:rFonts w:asciiTheme="majorEastAsia" w:eastAsiaTheme="majorEastAsia" w:hAnsiTheme="majorEastAsia" w:cstheme="majorEastAsia" w:hint="eastAsia"/>
                <w:color w:val="000000"/>
                <w:kern w:val="0"/>
                <w:szCs w:val="21"/>
              </w:rPr>
              <w:t>5</w:t>
            </w:r>
            <w:r>
              <w:rPr>
                <w:rFonts w:asciiTheme="majorEastAsia" w:eastAsiaTheme="majorEastAsia" w:hAnsiTheme="majorEastAsia" w:cstheme="majorEastAsia" w:hint="eastAsia"/>
                <w:kern w:val="0"/>
                <w:szCs w:val="21"/>
              </w:rPr>
              <w:tab/>
            </w:r>
            <w:r>
              <w:rPr>
                <w:rFonts w:asciiTheme="majorEastAsia" w:eastAsiaTheme="majorEastAsia" w:hAnsiTheme="majorEastAsia" w:cstheme="majorEastAsia" w:hint="eastAsia"/>
                <w:kern w:val="0"/>
                <w:szCs w:val="21"/>
              </w:rPr>
              <w:tab/>
            </w:r>
            <w:r>
              <w:rPr>
                <w:rFonts w:asciiTheme="majorEastAsia" w:eastAsiaTheme="majorEastAsia" w:hAnsiTheme="majorEastAsia" w:cstheme="majorEastAsia" w:hint="eastAsia"/>
                <w:color w:val="000000"/>
                <w:kern w:val="0"/>
                <w:szCs w:val="21"/>
              </w:rPr>
              <w:t>分）</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5</w:t>
            </w:r>
          </w:p>
        </w:tc>
        <w:tc>
          <w:tcPr>
            <w:tcW w:w="2547"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部门本年度实际在职人员数与编制数的比率，用以反映和考核部门对人员成本的控制程度。</w:t>
            </w:r>
          </w:p>
        </w:tc>
        <w:tc>
          <w:tcPr>
            <w:tcW w:w="4606"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在职人员控制率</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（在职人员数</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编制数）×在职人员数：部门实际在职人数，以财政部确定的部门决算编制口径为准。编制数：机构编制部门核定批复的部门的人员编制数。</w:t>
            </w:r>
          </w:p>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100%</w:t>
            </w:r>
            <w:r>
              <w:rPr>
                <w:rFonts w:asciiTheme="majorEastAsia" w:eastAsiaTheme="majorEastAsia" w:hAnsiTheme="majorEastAsia" w:cstheme="majorEastAsia" w:hint="eastAsia"/>
                <w:color w:val="000000"/>
                <w:kern w:val="0"/>
                <w:szCs w:val="21"/>
              </w:rPr>
              <w:t>小于或等于</w:t>
            </w:r>
            <w:r>
              <w:rPr>
                <w:rFonts w:asciiTheme="majorEastAsia" w:eastAsiaTheme="majorEastAsia" w:hAnsiTheme="majorEastAsia" w:cstheme="majorEastAsia" w:hint="eastAsia"/>
                <w:color w:val="000000"/>
                <w:kern w:val="0"/>
                <w:szCs w:val="21"/>
              </w:rPr>
              <w:t xml:space="preserve"> 1 </w:t>
            </w:r>
            <w:r>
              <w:rPr>
                <w:rFonts w:asciiTheme="majorEastAsia" w:eastAsiaTheme="majorEastAsia" w:hAnsiTheme="majorEastAsia" w:cstheme="majorEastAsia" w:hint="eastAsia"/>
                <w:color w:val="000000"/>
                <w:kern w:val="0"/>
                <w:szCs w:val="21"/>
              </w:rPr>
              <w:t>计</w:t>
            </w:r>
            <w:r>
              <w:rPr>
                <w:rFonts w:asciiTheme="majorEastAsia" w:eastAsiaTheme="majorEastAsia" w:hAnsiTheme="majorEastAsia" w:cstheme="majorEastAsia" w:hint="eastAsia"/>
                <w:color w:val="000000"/>
                <w:kern w:val="0"/>
                <w:szCs w:val="21"/>
              </w:rPr>
              <w:t xml:space="preserve"> 5 </w:t>
            </w:r>
            <w:r>
              <w:rPr>
                <w:rFonts w:asciiTheme="majorEastAsia" w:eastAsiaTheme="majorEastAsia" w:hAnsiTheme="majorEastAsia" w:cstheme="majorEastAsia" w:hint="eastAsia"/>
                <w:color w:val="000000"/>
                <w:kern w:val="0"/>
                <w:szCs w:val="21"/>
              </w:rPr>
              <w:t>分，否则按比例计分。</w:t>
            </w:r>
          </w:p>
        </w:tc>
      </w:tr>
      <w:tr w:rsidR="004E2979">
        <w:trPr>
          <w:trHeight w:hRule="exact" w:val="1643"/>
          <w:jc w:val="center"/>
        </w:trPr>
        <w:tc>
          <w:tcPr>
            <w:tcW w:w="536"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jc w:val="center"/>
              <w:rPr>
                <w:rFonts w:asciiTheme="majorEastAsia" w:eastAsiaTheme="majorEastAsia" w:hAnsiTheme="majorEastAsia" w:cstheme="majorEastAsia"/>
                <w:kern w:val="0"/>
                <w:szCs w:val="21"/>
              </w:rPr>
            </w:pPr>
          </w:p>
        </w:tc>
        <w:tc>
          <w:tcPr>
            <w:tcW w:w="552"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jc w:val="center"/>
              <w:rPr>
                <w:rFonts w:asciiTheme="majorEastAsia" w:eastAsiaTheme="majorEastAsia" w:hAnsiTheme="majorEastAsia" w:cstheme="majorEastAsia"/>
                <w:kern w:val="0"/>
                <w:szCs w:val="21"/>
              </w:rPr>
            </w:pPr>
          </w:p>
        </w:tc>
        <w:tc>
          <w:tcPr>
            <w:tcW w:w="689"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“三公变动率</w:t>
            </w:r>
          </w:p>
          <w:p w:rsidR="004E2979" w:rsidRDefault="0081035B">
            <w:pPr>
              <w:widowControl/>
              <w:tabs>
                <w:tab w:val="left" w:pos="32"/>
              </w:tabs>
              <w:autoSpaceDE w:val="0"/>
              <w:autoSpaceDN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经费”</w:t>
            </w:r>
          </w:p>
          <w:p w:rsidR="004E2979" w:rsidRDefault="0081035B">
            <w:pPr>
              <w:widowControl/>
              <w:tabs>
                <w:tab w:val="left" w:pos="32"/>
              </w:tabs>
              <w:autoSpaceDE w:val="0"/>
              <w:autoSpaceDN w:val="0"/>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 xml:space="preserve">5 </w:t>
            </w:r>
            <w:r>
              <w:rPr>
                <w:rFonts w:asciiTheme="majorEastAsia" w:eastAsiaTheme="majorEastAsia" w:hAnsiTheme="majorEastAsia" w:cstheme="majorEastAsia" w:hint="eastAsia"/>
                <w:color w:val="000000"/>
                <w:kern w:val="0"/>
                <w:szCs w:val="21"/>
              </w:rPr>
              <w:t>分）</w:t>
            </w:r>
          </w:p>
        </w:tc>
        <w:tc>
          <w:tcPr>
            <w:tcW w:w="433"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5</w:t>
            </w:r>
          </w:p>
        </w:tc>
        <w:tc>
          <w:tcPr>
            <w:tcW w:w="2547" w:type="dxa"/>
            <w:tcBorders>
              <w:top w:val="single" w:sz="4" w:space="0" w:color="000000"/>
              <w:left w:val="single" w:sz="4" w:space="0" w:color="000000"/>
              <w:bottom w:val="single" w:sz="2" w:space="0" w:color="000000"/>
              <w:right w:val="single" w:sz="2" w:space="0" w:color="000000"/>
            </w:tcBorders>
            <w:tcMar>
              <w:left w:w="0" w:type="dxa"/>
              <w:right w:w="0" w:type="dxa"/>
            </w:tcMar>
            <w:vAlign w:val="center"/>
          </w:tcPr>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部门本年度“三公经费”预算数与上年度“三公经费”预算数的变动比率，用以反映和考核部门对控制重点行政成本的努力程度。</w:t>
            </w:r>
          </w:p>
        </w:tc>
        <w:tc>
          <w:tcPr>
            <w:tcW w:w="4606" w:type="dxa"/>
            <w:tcBorders>
              <w:top w:val="single" w:sz="4" w:space="0" w:color="000000"/>
              <w:left w:val="single" w:sz="2" w:space="0" w:color="000000"/>
              <w:bottom w:val="single" w:sz="2" w:space="0" w:color="000000"/>
              <w:right w:val="single" w:sz="2" w:space="0" w:color="000000"/>
            </w:tcBorders>
            <w:tcMar>
              <w:left w:w="0" w:type="dxa"/>
              <w:right w:w="0" w:type="dxa"/>
            </w:tcMar>
            <w:vAlign w:val="center"/>
          </w:tcPr>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“三公经费”变动率</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（本年度“三公经费”</w:t>
            </w:r>
          </w:p>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总额</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上年度“三公经费”总额）</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上年度“三公经费”总额</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100%</w:t>
            </w:r>
            <w:r>
              <w:rPr>
                <w:rFonts w:asciiTheme="majorEastAsia" w:eastAsiaTheme="majorEastAsia" w:hAnsiTheme="majorEastAsia" w:cstheme="majorEastAsia" w:hint="eastAsia"/>
                <w:color w:val="000000"/>
                <w:kern w:val="0"/>
                <w:szCs w:val="21"/>
              </w:rPr>
              <w:t>。下降的计</w:t>
            </w:r>
            <w:r>
              <w:rPr>
                <w:rFonts w:asciiTheme="majorEastAsia" w:eastAsiaTheme="majorEastAsia" w:hAnsiTheme="majorEastAsia" w:cstheme="majorEastAsia" w:hint="eastAsia"/>
                <w:color w:val="000000"/>
                <w:kern w:val="0"/>
                <w:szCs w:val="21"/>
              </w:rPr>
              <w:t xml:space="preserve"> 5 </w:t>
            </w:r>
            <w:r>
              <w:rPr>
                <w:rFonts w:asciiTheme="majorEastAsia" w:eastAsiaTheme="majorEastAsia" w:hAnsiTheme="majorEastAsia" w:cstheme="majorEastAsia" w:hint="eastAsia"/>
                <w:color w:val="000000"/>
                <w:kern w:val="0"/>
                <w:szCs w:val="21"/>
              </w:rPr>
              <w:t>分，增加的按比例扣减。“三公经费”：年度预算安排的因公出国（境）费、公务车辆购置及运行费和公务招待费。</w:t>
            </w:r>
          </w:p>
        </w:tc>
      </w:tr>
      <w:tr w:rsidR="004E2979">
        <w:trPr>
          <w:trHeight w:hRule="exact" w:val="1665"/>
          <w:jc w:val="center"/>
        </w:trPr>
        <w:tc>
          <w:tcPr>
            <w:tcW w:w="536"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jc w:val="center"/>
              <w:rPr>
                <w:rFonts w:asciiTheme="majorEastAsia" w:eastAsiaTheme="majorEastAsia" w:hAnsiTheme="majorEastAsia" w:cstheme="majorEastAsia"/>
                <w:kern w:val="0"/>
                <w:szCs w:val="21"/>
              </w:rPr>
            </w:pPr>
          </w:p>
        </w:tc>
        <w:tc>
          <w:tcPr>
            <w:tcW w:w="552"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jc w:val="center"/>
              <w:rPr>
                <w:rFonts w:asciiTheme="majorEastAsia" w:eastAsiaTheme="majorEastAsia" w:hAnsiTheme="majorEastAsia" w:cstheme="majorEastAsia"/>
                <w:kern w:val="0"/>
                <w:szCs w:val="21"/>
              </w:rPr>
            </w:pPr>
          </w:p>
        </w:tc>
        <w:tc>
          <w:tcPr>
            <w:tcW w:w="689"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tabs>
                <w:tab w:val="left" w:pos="84"/>
                <w:tab w:val="left" w:pos="138"/>
              </w:tabs>
              <w:autoSpaceDE w:val="0"/>
              <w:autoSpaceDN w:val="0"/>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重点支出安排</w:t>
            </w:r>
            <w:r>
              <w:rPr>
                <w:rFonts w:asciiTheme="majorEastAsia" w:eastAsiaTheme="majorEastAsia" w:hAnsiTheme="majorEastAsia" w:cstheme="majorEastAsia" w:hint="eastAsia"/>
                <w:kern w:val="0"/>
                <w:szCs w:val="21"/>
              </w:rPr>
              <w:tab/>
            </w:r>
            <w:r>
              <w:rPr>
                <w:rFonts w:asciiTheme="majorEastAsia" w:eastAsiaTheme="majorEastAsia" w:hAnsiTheme="majorEastAsia" w:cstheme="majorEastAsia" w:hint="eastAsia"/>
                <w:color w:val="000000"/>
                <w:kern w:val="0"/>
                <w:szCs w:val="21"/>
              </w:rPr>
              <w:t>率（</w:t>
            </w:r>
            <w:r>
              <w:rPr>
                <w:rFonts w:asciiTheme="majorEastAsia" w:eastAsiaTheme="majorEastAsia" w:hAnsiTheme="majorEastAsia" w:cstheme="majorEastAsia" w:hint="eastAsia"/>
                <w:color w:val="000000"/>
                <w:kern w:val="0"/>
                <w:szCs w:val="21"/>
              </w:rPr>
              <w:t>5</w:t>
            </w:r>
            <w:r>
              <w:rPr>
                <w:rFonts w:asciiTheme="majorEastAsia" w:eastAsiaTheme="majorEastAsia" w:hAnsiTheme="majorEastAsia" w:cstheme="majorEastAsia" w:hint="eastAsia"/>
                <w:kern w:val="0"/>
                <w:szCs w:val="21"/>
              </w:rPr>
              <w:tab/>
            </w:r>
            <w:r>
              <w:rPr>
                <w:rFonts w:asciiTheme="majorEastAsia" w:eastAsiaTheme="majorEastAsia" w:hAnsiTheme="majorEastAsia" w:cstheme="majorEastAsia" w:hint="eastAsia"/>
                <w:kern w:val="0"/>
                <w:szCs w:val="21"/>
              </w:rPr>
              <w:tab/>
            </w:r>
            <w:r>
              <w:rPr>
                <w:rFonts w:asciiTheme="majorEastAsia" w:eastAsiaTheme="majorEastAsia" w:hAnsiTheme="majorEastAsia" w:cstheme="majorEastAsia" w:hint="eastAsia"/>
                <w:color w:val="000000"/>
                <w:kern w:val="0"/>
                <w:szCs w:val="21"/>
              </w:rPr>
              <w:t>分）</w:t>
            </w:r>
          </w:p>
        </w:tc>
        <w:tc>
          <w:tcPr>
            <w:tcW w:w="433"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4</w:t>
            </w:r>
          </w:p>
        </w:tc>
        <w:tc>
          <w:tcPr>
            <w:tcW w:w="2547" w:type="dxa"/>
            <w:tcBorders>
              <w:top w:val="single" w:sz="2"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部门本年度预算安排的重点项目支出与部门项目总支出的比率，用以反映和考核部门对履行主要职责或完成重点任务的保障程度。</w:t>
            </w:r>
          </w:p>
        </w:tc>
        <w:tc>
          <w:tcPr>
            <w:tcW w:w="4606" w:type="dxa"/>
            <w:tcBorders>
              <w:top w:val="single" w:sz="2"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重点支出安排率</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（重点项目支出</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项目总支出）×</w:t>
            </w:r>
            <w:r>
              <w:rPr>
                <w:rFonts w:asciiTheme="majorEastAsia" w:eastAsiaTheme="majorEastAsia" w:hAnsiTheme="majorEastAsia" w:cstheme="majorEastAsia" w:hint="eastAsia"/>
                <w:color w:val="000000"/>
                <w:kern w:val="0"/>
                <w:szCs w:val="21"/>
              </w:rPr>
              <w:t>100%</w:t>
            </w:r>
            <w:r>
              <w:rPr>
                <w:rFonts w:asciiTheme="majorEastAsia" w:eastAsiaTheme="majorEastAsia" w:hAnsiTheme="majorEastAsia" w:cstheme="majorEastAsia" w:hint="eastAsia"/>
                <w:color w:val="000000"/>
                <w:kern w:val="0"/>
                <w:szCs w:val="21"/>
              </w:rPr>
              <w:t>。实际得分</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支出安排率</w:t>
            </w:r>
            <w:r>
              <w:rPr>
                <w:rFonts w:asciiTheme="majorEastAsia" w:eastAsiaTheme="majorEastAsia" w:hAnsiTheme="majorEastAsia" w:cstheme="majorEastAsia" w:hint="eastAsia"/>
                <w:color w:val="000000"/>
                <w:kern w:val="0"/>
                <w:szCs w:val="21"/>
              </w:rPr>
              <w:t xml:space="preserve">*5 </w:t>
            </w:r>
            <w:r>
              <w:rPr>
                <w:rFonts w:asciiTheme="majorEastAsia" w:eastAsiaTheme="majorEastAsia" w:hAnsiTheme="majorEastAsia" w:cstheme="majorEastAsia" w:hint="eastAsia"/>
                <w:color w:val="000000"/>
                <w:kern w:val="0"/>
                <w:szCs w:val="21"/>
              </w:rPr>
              <w:t>分。重点项目支出：部门年度预算安排的，与本部门履职和发展密切相关、具有明显社会和经济影响、党委政府关心或社会比较关注的项目支出总额。项目总支出：部门年度预算安排的项目支出总额。</w:t>
            </w:r>
          </w:p>
        </w:tc>
      </w:tr>
      <w:tr w:rsidR="004E2979">
        <w:trPr>
          <w:trHeight w:hRule="exact" w:val="1078"/>
          <w:jc w:val="center"/>
        </w:trPr>
        <w:tc>
          <w:tcPr>
            <w:tcW w:w="5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过</w:t>
            </w:r>
          </w:p>
          <w:p w:rsidR="004E2979" w:rsidRDefault="0081035B">
            <w:pPr>
              <w:widowControl/>
              <w:autoSpaceDE w:val="0"/>
              <w:autoSpaceDN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lang w:eastAsia="en-US"/>
              </w:rPr>
              <w:t>程</w:t>
            </w:r>
          </w:p>
          <w:p w:rsidR="004E2979" w:rsidRDefault="0081035B">
            <w:pPr>
              <w:widowControl/>
              <w:autoSpaceDE w:val="0"/>
              <w:autoSpaceDN w:val="0"/>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lang w:eastAsia="en-US"/>
              </w:rPr>
              <w:t>（</w:t>
            </w:r>
            <w:r>
              <w:rPr>
                <w:rFonts w:asciiTheme="majorEastAsia" w:eastAsiaTheme="majorEastAsia" w:hAnsiTheme="majorEastAsia" w:cstheme="majorEastAsia" w:hint="eastAsia"/>
                <w:color w:val="000000"/>
                <w:kern w:val="0"/>
                <w:szCs w:val="21"/>
              </w:rPr>
              <w:t>30</w:t>
            </w:r>
          </w:p>
          <w:p w:rsidR="004E2979" w:rsidRDefault="0081035B">
            <w:pPr>
              <w:widowControl/>
              <w:autoSpaceDE w:val="0"/>
              <w:autoSpaceDN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lang w:eastAsia="en-US"/>
              </w:rPr>
              <w:t>分</w:t>
            </w:r>
          </w:p>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w:t>
            </w:r>
          </w:p>
        </w:tc>
        <w:tc>
          <w:tcPr>
            <w:tcW w:w="55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预算</w:t>
            </w:r>
            <w:r>
              <w:rPr>
                <w:rFonts w:asciiTheme="majorEastAsia" w:eastAsiaTheme="majorEastAsia" w:hAnsiTheme="majorEastAsia" w:cstheme="majorEastAsia" w:hint="eastAsia"/>
                <w:color w:val="000000"/>
                <w:kern w:val="0"/>
                <w:szCs w:val="21"/>
                <w:lang w:eastAsia="en-US"/>
              </w:rPr>
              <w:t xml:space="preserve"> </w:t>
            </w:r>
            <w:r>
              <w:rPr>
                <w:rFonts w:asciiTheme="majorEastAsia" w:eastAsiaTheme="majorEastAsia" w:hAnsiTheme="majorEastAsia" w:cstheme="majorEastAsia" w:hint="eastAsia"/>
                <w:color w:val="000000"/>
                <w:kern w:val="0"/>
                <w:szCs w:val="21"/>
                <w:lang w:eastAsia="en-US"/>
              </w:rPr>
              <w:t>执行（</w:t>
            </w:r>
            <w:r>
              <w:rPr>
                <w:rFonts w:asciiTheme="majorEastAsia" w:eastAsiaTheme="majorEastAsia" w:hAnsiTheme="majorEastAsia" w:cstheme="majorEastAsia" w:hint="eastAsia"/>
                <w:color w:val="000000"/>
                <w:kern w:val="0"/>
                <w:szCs w:val="21"/>
              </w:rPr>
              <w:t>20</w:t>
            </w:r>
            <w:r>
              <w:rPr>
                <w:rFonts w:asciiTheme="majorEastAsia" w:eastAsiaTheme="majorEastAsia" w:hAnsiTheme="majorEastAsia" w:cstheme="majorEastAsia" w:hint="eastAsia"/>
                <w:color w:val="000000"/>
                <w:kern w:val="0"/>
                <w:szCs w:val="21"/>
                <w:lang w:eastAsia="en-US"/>
              </w:rPr>
              <w:t>分）</w:t>
            </w:r>
          </w:p>
          <w:p w:rsidR="004E2979" w:rsidRDefault="004E2979">
            <w:pPr>
              <w:widowControl/>
              <w:autoSpaceDE w:val="0"/>
              <w:autoSpaceDN w:val="0"/>
              <w:jc w:val="center"/>
              <w:rPr>
                <w:rFonts w:asciiTheme="majorEastAsia" w:eastAsiaTheme="majorEastAsia" w:hAnsiTheme="majorEastAsia" w:cstheme="majorEastAsia"/>
                <w:kern w:val="0"/>
                <w:szCs w:val="21"/>
                <w:lang w:eastAsia="en-US"/>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预算完成率（</w:t>
            </w:r>
            <w:r>
              <w:rPr>
                <w:rFonts w:asciiTheme="majorEastAsia" w:eastAsiaTheme="majorEastAsia" w:hAnsiTheme="majorEastAsia" w:cstheme="majorEastAsia" w:hint="eastAsia"/>
                <w:color w:val="000000"/>
                <w:kern w:val="0"/>
                <w:szCs w:val="21"/>
                <w:lang w:eastAsia="en-US"/>
              </w:rPr>
              <w:t>4</w:t>
            </w:r>
          </w:p>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分）</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4</w:t>
            </w:r>
          </w:p>
        </w:tc>
        <w:tc>
          <w:tcPr>
            <w:tcW w:w="2547"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部门本年度预算完成数与预算数的比率，用以反映和考核部门预算完成程度。</w:t>
            </w:r>
          </w:p>
        </w:tc>
        <w:tc>
          <w:tcPr>
            <w:tcW w:w="4606"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预算完成率</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（预算完成数</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预算数）×</w:t>
            </w:r>
            <w:r>
              <w:rPr>
                <w:rFonts w:asciiTheme="majorEastAsia" w:eastAsiaTheme="majorEastAsia" w:hAnsiTheme="majorEastAsia" w:cstheme="majorEastAsia" w:hint="eastAsia"/>
                <w:color w:val="000000"/>
                <w:kern w:val="0"/>
                <w:szCs w:val="21"/>
              </w:rPr>
              <w:t>100%</w:t>
            </w:r>
            <w:r>
              <w:rPr>
                <w:rFonts w:asciiTheme="majorEastAsia" w:eastAsiaTheme="majorEastAsia" w:hAnsiTheme="majorEastAsia" w:cstheme="majorEastAsia" w:hint="eastAsia"/>
                <w:color w:val="000000"/>
                <w:kern w:val="0"/>
                <w:szCs w:val="21"/>
              </w:rPr>
              <w:t>。</w:t>
            </w:r>
          </w:p>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完成年初预算计</w:t>
            </w:r>
            <w:r>
              <w:rPr>
                <w:rFonts w:asciiTheme="majorEastAsia" w:eastAsiaTheme="majorEastAsia" w:hAnsiTheme="majorEastAsia" w:cstheme="majorEastAsia" w:hint="eastAsia"/>
                <w:color w:val="000000"/>
                <w:kern w:val="0"/>
                <w:szCs w:val="21"/>
              </w:rPr>
              <w:t xml:space="preserve"> 4 </w:t>
            </w:r>
            <w:r>
              <w:rPr>
                <w:rFonts w:asciiTheme="majorEastAsia" w:eastAsiaTheme="majorEastAsia" w:hAnsiTheme="majorEastAsia" w:cstheme="majorEastAsia" w:hint="eastAsia"/>
                <w:color w:val="000000"/>
                <w:kern w:val="0"/>
                <w:szCs w:val="21"/>
              </w:rPr>
              <w:t>分，未完成年初预算按比例扣减，预算完成数：部门本年度实际完成的预算数。预算数：财政部门批复的本年度部门预算数。</w:t>
            </w:r>
          </w:p>
        </w:tc>
      </w:tr>
      <w:tr w:rsidR="004E2979">
        <w:trPr>
          <w:trHeight w:hRule="exact" w:val="1708"/>
          <w:jc w:val="center"/>
        </w:trPr>
        <w:tc>
          <w:tcPr>
            <w:tcW w:w="536"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jc w:val="center"/>
              <w:rPr>
                <w:rFonts w:asciiTheme="majorEastAsia" w:eastAsiaTheme="majorEastAsia" w:hAnsiTheme="majorEastAsia" w:cstheme="majorEastAsia"/>
                <w:kern w:val="0"/>
                <w:szCs w:val="21"/>
              </w:rPr>
            </w:pPr>
          </w:p>
        </w:tc>
        <w:tc>
          <w:tcPr>
            <w:tcW w:w="552"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jc w:val="center"/>
              <w:rPr>
                <w:rFonts w:asciiTheme="majorEastAsia" w:eastAsiaTheme="majorEastAsia" w:hAnsiTheme="majorEastAsia" w:cstheme="majorEastAsia"/>
                <w:kern w:val="0"/>
                <w:szCs w:val="21"/>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预算调整率（</w:t>
            </w:r>
            <w:r>
              <w:rPr>
                <w:rFonts w:asciiTheme="majorEastAsia" w:eastAsiaTheme="majorEastAsia" w:hAnsiTheme="majorEastAsia" w:cstheme="majorEastAsia" w:hint="eastAsia"/>
                <w:color w:val="000000"/>
                <w:kern w:val="0"/>
                <w:szCs w:val="21"/>
                <w:lang w:eastAsia="en-US"/>
              </w:rPr>
              <w:t>2</w:t>
            </w:r>
          </w:p>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分）</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2</w:t>
            </w:r>
          </w:p>
        </w:tc>
        <w:tc>
          <w:tcPr>
            <w:tcW w:w="2547"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部门本年度预算调整数与预算数的比率，用以反映和考核部门预算的调整程度。</w:t>
            </w:r>
          </w:p>
        </w:tc>
        <w:tc>
          <w:tcPr>
            <w:tcW w:w="4606"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预算调整率</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（预算调整数</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预算数）×</w:t>
            </w:r>
            <w:r>
              <w:rPr>
                <w:rFonts w:asciiTheme="majorEastAsia" w:eastAsiaTheme="majorEastAsia" w:hAnsiTheme="majorEastAsia" w:cstheme="majorEastAsia" w:hint="eastAsia"/>
                <w:color w:val="000000"/>
                <w:kern w:val="0"/>
                <w:szCs w:val="21"/>
              </w:rPr>
              <w:t>100%</w:t>
            </w:r>
            <w:r>
              <w:rPr>
                <w:rFonts w:asciiTheme="majorEastAsia" w:eastAsiaTheme="majorEastAsia" w:hAnsiTheme="majorEastAsia" w:cstheme="majorEastAsia" w:hint="eastAsia"/>
                <w:color w:val="000000"/>
                <w:kern w:val="0"/>
                <w:szCs w:val="21"/>
              </w:rPr>
              <w:t>。</w:t>
            </w:r>
          </w:p>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未调整的计</w:t>
            </w:r>
            <w:r>
              <w:rPr>
                <w:rFonts w:asciiTheme="majorEastAsia" w:eastAsiaTheme="majorEastAsia" w:hAnsiTheme="majorEastAsia" w:cstheme="majorEastAsia" w:hint="eastAsia"/>
                <w:color w:val="000000"/>
                <w:kern w:val="0"/>
                <w:szCs w:val="21"/>
              </w:rPr>
              <w:t xml:space="preserve"> 2 </w:t>
            </w:r>
            <w:r>
              <w:rPr>
                <w:rFonts w:asciiTheme="majorEastAsia" w:eastAsiaTheme="majorEastAsia" w:hAnsiTheme="majorEastAsia" w:cstheme="majorEastAsia" w:hint="eastAsia"/>
                <w:color w:val="000000"/>
                <w:kern w:val="0"/>
                <w:szCs w:val="21"/>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4E2979">
        <w:trPr>
          <w:trHeight w:hRule="exact" w:val="2137"/>
          <w:jc w:val="center"/>
        </w:trPr>
        <w:tc>
          <w:tcPr>
            <w:tcW w:w="536"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jc w:val="center"/>
              <w:rPr>
                <w:rFonts w:asciiTheme="majorEastAsia" w:eastAsiaTheme="majorEastAsia" w:hAnsiTheme="majorEastAsia" w:cstheme="majorEastAsia"/>
                <w:kern w:val="0"/>
                <w:szCs w:val="21"/>
              </w:rPr>
            </w:pPr>
          </w:p>
        </w:tc>
        <w:tc>
          <w:tcPr>
            <w:tcW w:w="552"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jc w:val="center"/>
              <w:rPr>
                <w:rFonts w:asciiTheme="majorEastAsia" w:eastAsiaTheme="majorEastAsia" w:hAnsiTheme="majorEastAsia" w:cstheme="majorEastAsia"/>
                <w:kern w:val="0"/>
                <w:szCs w:val="21"/>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支付进度率（</w:t>
            </w:r>
            <w:r>
              <w:rPr>
                <w:rFonts w:asciiTheme="majorEastAsia" w:eastAsiaTheme="majorEastAsia" w:hAnsiTheme="majorEastAsia" w:cstheme="majorEastAsia" w:hint="eastAsia"/>
                <w:color w:val="000000"/>
                <w:kern w:val="0"/>
                <w:szCs w:val="21"/>
                <w:lang w:eastAsia="en-US"/>
              </w:rPr>
              <w:t>2</w:t>
            </w:r>
          </w:p>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分）</w:t>
            </w:r>
          </w:p>
        </w:tc>
        <w:tc>
          <w:tcPr>
            <w:tcW w:w="4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2</w:t>
            </w:r>
          </w:p>
        </w:tc>
        <w:tc>
          <w:tcPr>
            <w:tcW w:w="2547"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部门实际支付进度与既定支付进度的比率，用以反映和考核部门预算执行的及时性和均衡性程度。</w:t>
            </w:r>
          </w:p>
        </w:tc>
        <w:tc>
          <w:tcPr>
            <w:tcW w:w="4606"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支付进度率</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（实际支付进度</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既定支付进度）的，在某一时点应达到的支付进度（比率）。</w:t>
            </w:r>
          </w:p>
          <w:p w:rsidR="004E2979" w:rsidRDefault="0081035B">
            <w:pPr>
              <w:widowControl/>
              <w:autoSpaceDE w:val="0"/>
              <w:autoSpaceDN w:val="0"/>
              <w:ind w:leftChars="50" w:left="105" w:rightChars="50" w:right="105"/>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100%</w:t>
            </w:r>
            <w:r>
              <w:rPr>
                <w:rFonts w:asciiTheme="majorEastAsia" w:eastAsiaTheme="majorEastAsia" w:hAnsiTheme="majorEastAsia" w:cstheme="majorEastAsia" w:hint="eastAsia"/>
                <w:color w:val="000000"/>
                <w:kern w:val="0"/>
                <w:szCs w:val="21"/>
              </w:rPr>
              <w:t>。完成年终进度的计</w:t>
            </w:r>
            <w:r>
              <w:rPr>
                <w:rFonts w:asciiTheme="majorEastAsia" w:eastAsiaTheme="majorEastAsia" w:hAnsiTheme="majorEastAsia" w:cstheme="majorEastAsia" w:hint="eastAsia"/>
                <w:color w:val="000000"/>
                <w:kern w:val="0"/>
                <w:szCs w:val="21"/>
              </w:rPr>
              <w:t xml:space="preserve"> 1 </w:t>
            </w:r>
            <w:r>
              <w:rPr>
                <w:rFonts w:asciiTheme="majorEastAsia" w:eastAsiaTheme="majorEastAsia" w:hAnsiTheme="majorEastAsia" w:cstheme="majorEastAsia" w:hint="eastAsia"/>
                <w:color w:val="000000"/>
                <w:kern w:val="0"/>
                <w:szCs w:val="21"/>
              </w:rPr>
              <w:t>分，按季度完成预算进度的计</w:t>
            </w:r>
            <w:r>
              <w:rPr>
                <w:rFonts w:asciiTheme="majorEastAsia" w:eastAsiaTheme="majorEastAsia" w:hAnsiTheme="majorEastAsia" w:cstheme="majorEastAsia" w:hint="eastAsia"/>
                <w:color w:val="000000"/>
                <w:kern w:val="0"/>
                <w:szCs w:val="21"/>
              </w:rPr>
              <w:t xml:space="preserve"> 1 </w:t>
            </w:r>
            <w:r>
              <w:rPr>
                <w:rFonts w:asciiTheme="majorEastAsia" w:eastAsiaTheme="majorEastAsia" w:hAnsiTheme="majorEastAsia" w:cstheme="majorEastAsia" w:hint="eastAsia"/>
                <w:color w:val="000000"/>
                <w:kern w:val="0"/>
                <w:szCs w:val="21"/>
              </w:rPr>
              <w:t>分。实际支付进度：部门在某一时点的支出预算执行总数与年度支出预算数的比率。既定支付进度：由部门在申报部门整体绩效目标时，参照序时支付进度、前三年支付进度、同级部门平均支付进度水平等确定</w:t>
            </w:r>
          </w:p>
        </w:tc>
      </w:tr>
    </w:tbl>
    <w:p w:rsidR="004E2979" w:rsidRDefault="004E2979">
      <w:pPr>
        <w:widowControl/>
        <w:spacing w:after="200" w:line="276" w:lineRule="auto"/>
        <w:jc w:val="left"/>
        <w:rPr>
          <w:rFonts w:ascii="Cambria" w:eastAsia="MS Mincho" w:hAnsi="Cambria" w:cs="Times New Roman"/>
          <w:kern w:val="0"/>
          <w:sz w:val="22"/>
        </w:rPr>
        <w:sectPr w:rsidR="004E2979">
          <w:pgSz w:w="12240" w:h="15840"/>
          <w:pgMar w:top="1134" w:right="1531" w:bottom="1134" w:left="1531" w:header="720" w:footer="720" w:gutter="0"/>
          <w:cols w:space="720"/>
          <w:docGrid w:linePitch="360"/>
        </w:sectPr>
      </w:pPr>
    </w:p>
    <w:tbl>
      <w:tblPr>
        <w:tblW w:w="0" w:type="auto"/>
        <w:tblInd w:w="150" w:type="dxa"/>
        <w:tblLayout w:type="fixed"/>
        <w:tblLook w:val="04A0"/>
      </w:tblPr>
      <w:tblGrid>
        <w:gridCol w:w="550"/>
        <w:gridCol w:w="566"/>
        <w:gridCol w:w="706"/>
        <w:gridCol w:w="444"/>
        <w:gridCol w:w="2767"/>
        <w:gridCol w:w="211"/>
        <w:gridCol w:w="4124"/>
      </w:tblGrid>
      <w:tr w:rsidR="004E2979">
        <w:trPr>
          <w:trHeight w:hRule="exact" w:val="718"/>
        </w:trPr>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36"/>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lang w:eastAsia="en-US"/>
              </w:rPr>
              <w:lastRenderedPageBreak/>
              <w:t>一级</w:t>
            </w:r>
          </w:p>
          <w:p w:rsidR="004E2979" w:rsidRDefault="0081035B">
            <w:pPr>
              <w:widowControl/>
              <w:autoSpaceDE w:val="0"/>
              <w:autoSpaceDN w:val="0"/>
              <w:spacing w:before="36"/>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指标</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36"/>
              <w:ind w:left="7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lang w:eastAsia="en-US"/>
              </w:rPr>
              <w:t>二级</w:t>
            </w:r>
          </w:p>
          <w:p w:rsidR="004E2979" w:rsidRDefault="0081035B">
            <w:pPr>
              <w:widowControl/>
              <w:autoSpaceDE w:val="0"/>
              <w:autoSpaceDN w:val="0"/>
              <w:spacing w:before="36"/>
              <w:ind w:left="7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指标</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64"/>
              <w:jc w:val="center"/>
              <w:rPr>
                <w:rFonts w:asciiTheme="majorEastAsia" w:eastAsiaTheme="majorEastAsia" w:hAnsiTheme="majorEastAsia" w:cstheme="majorEastAsia"/>
                <w:color w:val="000000"/>
                <w:kern w:val="0"/>
                <w:szCs w:val="21"/>
                <w:lang w:eastAsia="en-US"/>
              </w:rPr>
            </w:pPr>
            <w:r>
              <w:rPr>
                <w:rFonts w:asciiTheme="majorEastAsia" w:eastAsiaTheme="majorEastAsia" w:hAnsiTheme="majorEastAsia" w:cstheme="majorEastAsia" w:hint="eastAsia"/>
                <w:color w:val="000000"/>
                <w:kern w:val="0"/>
                <w:szCs w:val="21"/>
                <w:lang w:eastAsia="en-US"/>
              </w:rPr>
              <w:t>三级</w:t>
            </w:r>
          </w:p>
          <w:p w:rsidR="004E2979" w:rsidRDefault="0081035B">
            <w:pPr>
              <w:widowControl/>
              <w:autoSpaceDE w:val="0"/>
              <w:autoSpaceDN w:val="0"/>
              <w:spacing w:before="64"/>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指标</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36"/>
              <w:ind w:left="4" w:right="4"/>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自评分</w:t>
            </w:r>
          </w:p>
        </w:tc>
        <w:tc>
          <w:tcPr>
            <w:tcW w:w="2767"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spacing w:before="184"/>
              <w:ind w:left="958" w:right="958"/>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指标解释</w:t>
            </w:r>
          </w:p>
        </w:tc>
        <w:tc>
          <w:tcPr>
            <w:tcW w:w="4335" w:type="dxa"/>
            <w:gridSpan w:val="2"/>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spacing w:before="184"/>
              <w:ind w:left="1534" w:right="1534"/>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指标说明</w:t>
            </w:r>
          </w:p>
        </w:tc>
      </w:tr>
      <w:tr w:rsidR="004E2979">
        <w:trPr>
          <w:trHeight w:hRule="exact" w:val="1425"/>
        </w:trPr>
        <w:tc>
          <w:tcPr>
            <w:tcW w:w="5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过</w:t>
            </w:r>
          </w:p>
          <w:p w:rsidR="004E2979" w:rsidRDefault="0081035B">
            <w:pPr>
              <w:widowControl/>
              <w:autoSpaceDE w:val="0"/>
              <w:autoSpaceDN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lang w:eastAsia="en-US"/>
              </w:rPr>
              <w:t>程</w:t>
            </w:r>
          </w:p>
          <w:p w:rsidR="004E2979" w:rsidRDefault="0081035B">
            <w:pPr>
              <w:widowControl/>
              <w:autoSpaceDE w:val="0"/>
              <w:autoSpaceDN w:val="0"/>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lang w:eastAsia="en-US"/>
              </w:rPr>
              <w:t>（</w:t>
            </w:r>
            <w:r>
              <w:rPr>
                <w:rFonts w:asciiTheme="majorEastAsia" w:eastAsiaTheme="majorEastAsia" w:hAnsiTheme="majorEastAsia" w:cstheme="majorEastAsia" w:hint="eastAsia"/>
                <w:color w:val="000000"/>
                <w:kern w:val="0"/>
                <w:szCs w:val="21"/>
              </w:rPr>
              <w:t>30</w:t>
            </w:r>
          </w:p>
          <w:p w:rsidR="004E2979" w:rsidRDefault="0081035B">
            <w:pPr>
              <w:widowControl/>
              <w:autoSpaceDE w:val="0"/>
              <w:autoSpaceDN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lang w:eastAsia="en-US"/>
              </w:rPr>
              <w:t>分</w:t>
            </w:r>
          </w:p>
          <w:p w:rsidR="004E2979" w:rsidRDefault="0081035B">
            <w:pPr>
              <w:widowControl/>
              <w:spacing w:after="20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w:t>
            </w:r>
          </w:p>
        </w:tc>
        <w:tc>
          <w:tcPr>
            <w:tcW w:w="566" w:type="dxa"/>
            <w:vMerge w:val="restart"/>
            <w:tcBorders>
              <w:top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预算</w:t>
            </w:r>
            <w:r>
              <w:rPr>
                <w:rFonts w:asciiTheme="majorEastAsia" w:eastAsiaTheme="majorEastAsia" w:hAnsiTheme="majorEastAsia" w:cstheme="majorEastAsia" w:hint="eastAsia"/>
                <w:color w:val="000000"/>
                <w:kern w:val="0"/>
                <w:szCs w:val="21"/>
                <w:lang w:eastAsia="en-US"/>
              </w:rPr>
              <w:t xml:space="preserve"> </w:t>
            </w:r>
            <w:r>
              <w:rPr>
                <w:rFonts w:asciiTheme="majorEastAsia" w:eastAsiaTheme="majorEastAsia" w:hAnsiTheme="majorEastAsia" w:cstheme="majorEastAsia" w:hint="eastAsia"/>
                <w:color w:val="000000"/>
                <w:kern w:val="0"/>
                <w:szCs w:val="21"/>
                <w:lang w:eastAsia="en-US"/>
              </w:rPr>
              <w:t>执行（</w:t>
            </w:r>
            <w:r>
              <w:rPr>
                <w:rFonts w:asciiTheme="majorEastAsia" w:eastAsiaTheme="majorEastAsia" w:hAnsiTheme="majorEastAsia" w:cstheme="majorEastAsia" w:hint="eastAsia"/>
                <w:color w:val="000000"/>
                <w:kern w:val="0"/>
                <w:szCs w:val="21"/>
              </w:rPr>
              <w:t>20</w:t>
            </w:r>
            <w:r>
              <w:rPr>
                <w:rFonts w:asciiTheme="majorEastAsia" w:eastAsiaTheme="majorEastAsia" w:hAnsiTheme="majorEastAsia" w:cstheme="majorEastAsia" w:hint="eastAsia"/>
                <w:color w:val="000000"/>
                <w:kern w:val="0"/>
                <w:szCs w:val="21"/>
                <w:lang w:eastAsia="en-US"/>
              </w:rPr>
              <w:t>分）</w:t>
            </w:r>
          </w:p>
          <w:p w:rsidR="004E2979" w:rsidRDefault="004E2979">
            <w:pPr>
              <w:widowControl/>
              <w:autoSpaceDE w:val="0"/>
              <w:autoSpaceDN w:val="0"/>
              <w:ind w:left="64" w:right="64"/>
              <w:jc w:val="center"/>
              <w:rPr>
                <w:rFonts w:asciiTheme="majorEastAsia" w:eastAsiaTheme="majorEastAsia" w:hAnsiTheme="majorEastAsia" w:cstheme="majorEastAsia"/>
                <w:kern w:val="0"/>
                <w:szCs w:val="21"/>
                <w:lang w:eastAsia="en-US"/>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结转结余控制率（</w:t>
            </w:r>
            <w:r>
              <w:rPr>
                <w:rFonts w:asciiTheme="majorEastAsia" w:eastAsiaTheme="majorEastAsia" w:hAnsiTheme="majorEastAsia" w:cstheme="majorEastAsia" w:hint="eastAsia"/>
                <w:color w:val="000000"/>
                <w:kern w:val="0"/>
                <w:szCs w:val="21"/>
              </w:rPr>
              <w:t>4</w:t>
            </w:r>
            <w:r>
              <w:rPr>
                <w:rFonts w:asciiTheme="majorEastAsia" w:eastAsiaTheme="majorEastAsia" w:hAnsiTheme="majorEastAsia" w:cstheme="majorEastAsia" w:hint="eastAsia"/>
                <w:color w:val="000000"/>
                <w:kern w:val="0"/>
                <w:szCs w:val="21"/>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3</w:t>
            </w:r>
          </w:p>
        </w:tc>
        <w:tc>
          <w:tcPr>
            <w:tcW w:w="2767"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部门本年度结转结余总额与上年结转结余总额增减比例，用以反映和考核部门对存量资金的实际控制程度。</w:t>
            </w:r>
          </w:p>
        </w:tc>
        <w:tc>
          <w:tcPr>
            <w:tcW w:w="4335" w:type="dxa"/>
            <w:gridSpan w:val="2"/>
            <w:tcBorders>
              <w:top w:val="single" w:sz="4" w:space="0" w:color="000000"/>
              <w:left w:val="single" w:sz="2" w:space="0" w:color="000000"/>
              <w:bottom w:val="single" w:sz="2"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结转结余控制率</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（本年结转结余总额</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上年结转结余总额）</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上年结转结余总额×</w:t>
            </w:r>
            <w:r>
              <w:rPr>
                <w:rFonts w:asciiTheme="majorEastAsia" w:eastAsiaTheme="majorEastAsia" w:hAnsiTheme="majorEastAsia" w:cstheme="majorEastAsia" w:hint="eastAsia"/>
                <w:color w:val="000000"/>
                <w:kern w:val="0"/>
                <w:szCs w:val="21"/>
              </w:rPr>
              <w:t>100%</w:t>
            </w:r>
            <w:r>
              <w:rPr>
                <w:rFonts w:asciiTheme="majorEastAsia" w:eastAsiaTheme="majorEastAsia" w:hAnsiTheme="majorEastAsia" w:cstheme="majorEastAsia" w:hint="eastAsia"/>
                <w:color w:val="000000"/>
                <w:kern w:val="0"/>
                <w:szCs w:val="21"/>
              </w:rPr>
              <w:t>。低于</w:t>
            </w:r>
            <w:r>
              <w:rPr>
                <w:rFonts w:asciiTheme="majorEastAsia" w:eastAsiaTheme="majorEastAsia" w:hAnsiTheme="majorEastAsia" w:cstheme="majorEastAsia" w:hint="eastAsia"/>
                <w:color w:val="000000"/>
                <w:kern w:val="0"/>
                <w:szCs w:val="21"/>
              </w:rPr>
              <w:t xml:space="preserve"> 15%</w:t>
            </w:r>
            <w:r>
              <w:rPr>
                <w:rFonts w:asciiTheme="majorEastAsia" w:eastAsiaTheme="majorEastAsia" w:hAnsiTheme="majorEastAsia" w:cstheme="majorEastAsia" w:hint="eastAsia"/>
                <w:color w:val="000000"/>
                <w:kern w:val="0"/>
                <w:szCs w:val="21"/>
              </w:rPr>
              <w:t>的计</w:t>
            </w:r>
            <w:r>
              <w:rPr>
                <w:rFonts w:asciiTheme="majorEastAsia" w:eastAsiaTheme="majorEastAsia" w:hAnsiTheme="majorEastAsia" w:cstheme="majorEastAsia" w:hint="eastAsia"/>
                <w:color w:val="000000"/>
                <w:kern w:val="0"/>
                <w:szCs w:val="21"/>
              </w:rPr>
              <w:t xml:space="preserve"> 4 </w:t>
            </w:r>
            <w:r>
              <w:rPr>
                <w:rFonts w:asciiTheme="majorEastAsia" w:eastAsiaTheme="majorEastAsia" w:hAnsiTheme="majorEastAsia" w:cstheme="majorEastAsia" w:hint="eastAsia"/>
                <w:color w:val="000000"/>
                <w:kern w:val="0"/>
                <w:szCs w:val="21"/>
              </w:rPr>
              <w:t>分，每超过</w:t>
            </w:r>
            <w:r>
              <w:rPr>
                <w:rFonts w:asciiTheme="majorEastAsia" w:eastAsiaTheme="majorEastAsia" w:hAnsiTheme="majorEastAsia" w:cstheme="majorEastAsia" w:hint="eastAsia"/>
                <w:color w:val="000000"/>
                <w:kern w:val="0"/>
                <w:szCs w:val="21"/>
              </w:rPr>
              <w:t xml:space="preserve"> 5 </w:t>
            </w:r>
            <w:r>
              <w:rPr>
                <w:rFonts w:asciiTheme="majorEastAsia" w:eastAsiaTheme="majorEastAsia" w:hAnsiTheme="majorEastAsia" w:cstheme="majorEastAsia" w:hint="eastAsia"/>
                <w:color w:val="000000"/>
                <w:kern w:val="0"/>
                <w:szCs w:val="21"/>
              </w:rPr>
              <w:t>个百分点扣</w:t>
            </w:r>
            <w:r>
              <w:rPr>
                <w:rFonts w:asciiTheme="majorEastAsia" w:eastAsiaTheme="majorEastAsia" w:hAnsiTheme="majorEastAsia" w:cstheme="majorEastAsia" w:hint="eastAsia"/>
                <w:color w:val="000000"/>
                <w:kern w:val="0"/>
                <w:szCs w:val="21"/>
              </w:rPr>
              <w:t xml:space="preserve"> 1 </w:t>
            </w:r>
            <w:r>
              <w:rPr>
                <w:rFonts w:asciiTheme="majorEastAsia" w:eastAsiaTheme="majorEastAsia" w:hAnsiTheme="majorEastAsia" w:cstheme="majorEastAsia" w:hint="eastAsia"/>
                <w:color w:val="000000"/>
                <w:kern w:val="0"/>
                <w:szCs w:val="21"/>
              </w:rPr>
              <w:t>分，扣完为止。结转结余总额：部门本年度的结转资金与结余资金之和（以决算数为准）。</w:t>
            </w:r>
          </w:p>
        </w:tc>
      </w:tr>
      <w:tr w:rsidR="004E2979">
        <w:trPr>
          <w:trHeight w:hRule="exact" w:val="1377"/>
        </w:trPr>
        <w:tc>
          <w:tcPr>
            <w:tcW w:w="550"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jc w:val="center"/>
              <w:rPr>
                <w:rFonts w:asciiTheme="majorEastAsia" w:eastAsiaTheme="majorEastAsia" w:hAnsiTheme="majorEastAsia" w:cstheme="majorEastAsia"/>
                <w:kern w:val="0"/>
                <w:szCs w:val="21"/>
              </w:rPr>
            </w:pPr>
          </w:p>
        </w:tc>
        <w:tc>
          <w:tcPr>
            <w:tcW w:w="566" w:type="dxa"/>
            <w:vMerge/>
            <w:tcBorders>
              <w:top w:val="single" w:sz="4" w:space="0" w:color="000000"/>
              <w:bottom w:val="single" w:sz="4" w:space="0" w:color="000000"/>
              <w:right w:val="single" w:sz="4" w:space="0" w:color="000000"/>
            </w:tcBorders>
            <w:vAlign w:val="center"/>
          </w:tcPr>
          <w:p w:rsidR="004E2979" w:rsidRDefault="004E2979">
            <w:pPr>
              <w:widowControl/>
              <w:spacing w:after="200"/>
              <w:jc w:val="center"/>
              <w:rPr>
                <w:rFonts w:asciiTheme="majorEastAsia" w:eastAsiaTheme="majorEastAsia" w:hAnsiTheme="majorEastAsia" w:cstheme="majorEastAsia"/>
                <w:kern w:val="0"/>
                <w:szCs w:val="21"/>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38"/>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公用经费控制率（</w:t>
            </w:r>
            <w:r>
              <w:rPr>
                <w:rFonts w:asciiTheme="majorEastAsia" w:eastAsiaTheme="majorEastAsia" w:hAnsiTheme="majorEastAsia" w:cstheme="majorEastAsia" w:hint="eastAsia"/>
                <w:color w:val="000000"/>
                <w:kern w:val="0"/>
                <w:szCs w:val="21"/>
              </w:rPr>
              <w:t xml:space="preserve">2 </w:t>
            </w:r>
            <w:r>
              <w:rPr>
                <w:rFonts w:asciiTheme="majorEastAsia" w:eastAsiaTheme="majorEastAsia" w:hAnsiTheme="majorEastAsia" w:cstheme="majorEastAsia" w:hint="eastAsia"/>
                <w:color w:val="000000"/>
                <w:kern w:val="0"/>
                <w:szCs w:val="21"/>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428"/>
              <w:ind w:left="60" w:right="6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2</w:t>
            </w:r>
          </w:p>
          <w:p w:rsidR="004E2979" w:rsidRDefault="004E2979">
            <w:pPr>
              <w:widowControl/>
              <w:autoSpaceDE w:val="0"/>
              <w:autoSpaceDN w:val="0"/>
              <w:spacing w:before="178"/>
              <w:jc w:val="center"/>
              <w:rPr>
                <w:rFonts w:asciiTheme="majorEastAsia" w:eastAsiaTheme="majorEastAsia" w:hAnsiTheme="majorEastAsia" w:cstheme="majorEastAsia"/>
                <w:kern w:val="0"/>
                <w:szCs w:val="21"/>
                <w:lang w:eastAsia="en-US"/>
              </w:rPr>
            </w:pPr>
          </w:p>
        </w:tc>
        <w:tc>
          <w:tcPr>
            <w:tcW w:w="2767"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部门本年度实际支出的公用经费总额与预算安排的公用经费总额的比率，用以反映和考核部门对机构运转成本的实际控制程度。</w:t>
            </w:r>
          </w:p>
        </w:tc>
        <w:tc>
          <w:tcPr>
            <w:tcW w:w="4335" w:type="dxa"/>
            <w:gridSpan w:val="2"/>
            <w:tcBorders>
              <w:top w:val="single" w:sz="2"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公用经费控制率</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（实际支出公用经费总额</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预算安排公用经费总额）×</w:t>
            </w:r>
            <w:r>
              <w:rPr>
                <w:rFonts w:asciiTheme="majorEastAsia" w:eastAsiaTheme="majorEastAsia" w:hAnsiTheme="majorEastAsia" w:cstheme="majorEastAsia" w:hint="eastAsia"/>
                <w:color w:val="000000"/>
                <w:kern w:val="0"/>
                <w:szCs w:val="21"/>
              </w:rPr>
              <w:t>100%</w:t>
            </w:r>
            <w:r>
              <w:rPr>
                <w:rFonts w:asciiTheme="majorEastAsia" w:eastAsiaTheme="majorEastAsia" w:hAnsiTheme="majorEastAsia" w:cstheme="majorEastAsia" w:hint="eastAsia"/>
                <w:color w:val="000000"/>
                <w:kern w:val="0"/>
                <w:szCs w:val="21"/>
              </w:rPr>
              <w:t>。为</w:t>
            </w:r>
            <w:r>
              <w:rPr>
                <w:rFonts w:asciiTheme="majorEastAsia" w:eastAsiaTheme="majorEastAsia" w:hAnsiTheme="majorEastAsia" w:cstheme="majorEastAsia" w:hint="eastAsia"/>
                <w:color w:val="000000"/>
                <w:kern w:val="0"/>
                <w:szCs w:val="21"/>
              </w:rPr>
              <w:t xml:space="preserve"> 100%</w:t>
            </w:r>
            <w:r>
              <w:rPr>
                <w:rFonts w:asciiTheme="majorEastAsia" w:eastAsiaTheme="majorEastAsia" w:hAnsiTheme="majorEastAsia" w:cstheme="majorEastAsia" w:hint="eastAsia"/>
                <w:color w:val="000000"/>
                <w:kern w:val="0"/>
                <w:szCs w:val="21"/>
              </w:rPr>
              <w:t>的计</w:t>
            </w:r>
            <w:r>
              <w:rPr>
                <w:rFonts w:asciiTheme="majorEastAsia" w:eastAsiaTheme="majorEastAsia" w:hAnsiTheme="majorEastAsia" w:cstheme="majorEastAsia" w:hint="eastAsia"/>
                <w:color w:val="000000"/>
                <w:kern w:val="0"/>
                <w:szCs w:val="21"/>
              </w:rPr>
              <w:t xml:space="preserve"> 2 </w:t>
            </w:r>
            <w:r>
              <w:rPr>
                <w:rFonts w:asciiTheme="majorEastAsia" w:eastAsiaTheme="majorEastAsia" w:hAnsiTheme="majorEastAsia" w:cstheme="majorEastAsia" w:hint="eastAsia"/>
                <w:color w:val="000000"/>
                <w:kern w:val="0"/>
                <w:szCs w:val="21"/>
              </w:rPr>
              <w:t>分，每超过</w:t>
            </w:r>
            <w:r>
              <w:rPr>
                <w:rFonts w:asciiTheme="majorEastAsia" w:eastAsiaTheme="majorEastAsia" w:hAnsiTheme="majorEastAsia" w:cstheme="majorEastAsia" w:hint="eastAsia"/>
                <w:color w:val="000000"/>
                <w:kern w:val="0"/>
                <w:szCs w:val="21"/>
              </w:rPr>
              <w:t xml:space="preserve"> 1 </w:t>
            </w:r>
            <w:r>
              <w:rPr>
                <w:rFonts w:asciiTheme="majorEastAsia" w:eastAsiaTheme="majorEastAsia" w:hAnsiTheme="majorEastAsia" w:cstheme="majorEastAsia" w:hint="eastAsia"/>
                <w:color w:val="000000"/>
                <w:kern w:val="0"/>
                <w:szCs w:val="21"/>
              </w:rPr>
              <w:t>个百分点扣</w:t>
            </w:r>
            <w:r>
              <w:rPr>
                <w:rFonts w:asciiTheme="majorEastAsia" w:eastAsiaTheme="majorEastAsia" w:hAnsiTheme="majorEastAsia" w:cstheme="majorEastAsia" w:hint="eastAsia"/>
                <w:color w:val="000000"/>
                <w:kern w:val="0"/>
                <w:szCs w:val="21"/>
              </w:rPr>
              <w:t xml:space="preserve"> 0.1 </w:t>
            </w:r>
            <w:r>
              <w:rPr>
                <w:rFonts w:asciiTheme="majorEastAsia" w:eastAsiaTheme="majorEastAsia" w:hAnsiTheme="majorEastAsia" w:cstheme="majorEastAsia" w:hint="eastAsia"/>
                <w:color w:val="000000"/>
                <w:kern w:val="0"/>
                <w:szCs w:val="21"/>
              </w:rPr>
              <w:t>分，扣完为</w:t>
            </w:r>
          </w:p>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止。</w:t>
            </w:r>
          </w:p>
        </w:tc>
      </w:tr>
      <w:tr w:rsidR="004E2979">
        <w:trPr>
          <w:trHeight w:hRule="exact" w:val="1421"/>
        </w:trPr>
        <w:tc>
          <w:tcPr>
            <w:tcW w:w="550"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jc w:val="center"/>
              <w:rPr>
                <w:rFonts w:asciiTheme="majorEastAsia" w:eastAsiaTheme="majorEastAsia" w:hAnsiTheme="majorEastAsia" w:cstheme="majorEastAsia"/>
                <w:kern w:val="0"/>
                <w:szCs w:val="21"/>
              </w:rPr>
            </w:pPr>
          </w:p>
        </w:tc>
        <w:tc>
          <w:tcPr>
            <w:tcW w:w="566" w:type="dxa"/>
            <w:vMerge/>
            <w:tcBorders>
              <w:top w:val="single" w:sz="4" w:space="0" w:color="000000"/>
              <w:bottom w:val="single" w:sz="4" w:space="0" w:color="000000"/>
              <w:right w:val="single" w:sz="4" w:space="0" w:color="000000"/>
            </w:tcBorders>
            <w:vAlign w:val="center"/>
          </w:tcPr>
          <w:p w:rsidR="004E2979" w:rsidRDefault="004E2979">
            <w:pPr>
              <w:widowControl/>
              <w:spacing w:after="200"/>
              <w:jc w:val="center"/>
              <w:rPr>
                <w:rFonts w:asciiTheme="majorEastAsia" w:eastAsiaTheme="majorEastAsia" w:hAnsiTheme="majorEastAsia" w:cstheme="majorEastAsia"/>
                <w:kern w:val="0"/>
                <w:szCs w:val="21"/>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ind w:left="32" w:right="28"/>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“三公经费”控制率（</w:t>
            </w:r>
            <w:r>
              <w:rPr>
                <w:rFonts w:asciiTheme="majorEastAsia" w:eastAsiaTheme="majorEastAsia" w:hAnsiTheme="majorEastAsia" w:cstheme="majorEastAsia" w:hint="eastAsia"/>
                <w:color w:val="000000"/>
                <w:kern w:val="0"/>
                <w:szCs w:val="21"/>
              </w:rPr>
              <w:t xml:space="preserve">2 </w:t>
            </w:r>
            <w:r>
              <w:rPr>
                <w:rFonts w:asciiTheme="majorEastAsia" w:eastAsiaTheme="majorEastAsia" w:hAnsiTheme="majorEastAsia" w:cstheme="majorEastAsia" w:hint="eastAsia"/>
                <w:color w:val="000000"/>
                <w:kern w:val="0"/>
                <w:szCs w:val="21"/>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426"/>
              <w:ind w:left="60" w:right="6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2</w:t>
            </w:r>
          </w:p>
          <w:p w:rsidR="004E2979" w:rsidRDefault="004E2979">
            <w:pPr>
              <w:widowControl/>
              <w:autoSpaceDE w:val="0"/>
              <w:autoSpaceDN w:val="0"/>
              <w:spacing w:before="180"/>
              <w:jc w:val="center"/>
              <w:rPr>
                <w:rFonts w:asciiTheme="majorEastAsia" w:eastAsiaTheme="majorEastAsia" w:hAnsiTheme="majorEastAsia" w:cstheme="majorEastAsia"/>
                <w:kern w:val="0"/>
                <w:szCs w:val="21"/>
                <w:lang w:eastAsia="en-US"/>
              </w:rPr>
            </w:pPr>
          </w:p>
        </w:tc>
        <w:tc>
          <w:tcPr>
            <w:tcW w:w="2767"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部门本年度“三公经费”实际支出数与预算安排数的比率，用以反映和考核部门对“三公经费”的实际控制程度。</w:t>
            </w:r>
          </w:p>
        </w:tc>
        <w:tc>
          <w:tcPr>
            <w:tcW w:w="4335" w:type="dxa"/>
            <w:gridSpan w:val="2"/>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“三公经费”控制率</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（“三公经费”实际支出数</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“三公经费”预算安排数）×</w:t>
            </w:r>
            <w:r>
              <w:rPr>
                <w:rFonts w:asciiTheme="majorEastAsia" w:eastAsiaTheme="majorEastAsia" w:hAnsiTheme="majorEastAsia" w:cstheme="majorEastAsia" w:hint="eastAsia"/>
                <w:color w:val="000000"/>
                <w:kern w:val="0"/>
                <w:szCs w:val="21"/>
              </w:rPr>
              <w:t>100%</w:t>
            </w:r>
            <w:r>
              <w:rPr>
                <w:rFonts w:asciiTheme="majorEastAsia" w:eastAsiaTheme="majorEastAsia" w:hAnsiTheme="majorEastAsia" w:cstheme="majorEastAsia" w:hint="eastAsia"/>
                <w:color w:val="000000"/>
                <w:kern w:val="0"/>
                <w:szCs w:val="21"/>
              </w:rPr>
              <w:t>。为扣完为止。</w:t>
            </w:r>
            <w:r>
              <w:rPr>
                <w:rFonts w:asciiTheme="majorEastAsia" w:eastAsiaTheme="majorEastAsia" w:hAnsiTheme="majorEastAsia" w:cstheme="majorEastAsia" w:hint="eastAsia"/>
                <w:color w:val="000000"/>
                <w:kern w:val="0"/>
                <w:szCs w:val="21"/>
              </w:rPr>
              <w:t>100%</w:t>
            </w:r>
            <w:r>
              <w:rPr>
                <w:rFonts w:asciiTheme="majorEastAsia" w:eastAsiaTheme="majorEastAsia" w:hAnsiTheme="majorEastAsia" w:cstheme="majorEastAsia" w:hint="eastAsia"/>
                <w:color w:val="000000"/>
                <w:kern w:val="0"/>
                <w:szCs w:val="21"/>
              </w:rPr>
              <w:t>的计</w:t>
            </w:r>
            <w:r>
              <w:rPr>
                <w:rFonts w:asciiTheme="majorEastAsia" w:eastAsiaTheme="majorEastAsia" w:hAnsiTheme="majorEastAsia" w:cstheme="majorEastAsia" w:hint="eastAsia"/>
                <w:color w:val="000000"/>
                <w:kern w:val="0"/>
                <w:szCs w:val="21"/>
              </w:rPr>
              <w:t xml:space="preserve"> 2 </w:t>
            </w:r>
            <w:r>
              <w:rPr>
                <w:rFonts w:asciiTheme="majorEastAsia" w:eastAsiaTheme="majorEastAsia" w:hAnsiTheme="majorEastAsia" w:cstheme="majorEastAsia" w:hint="eastAsia"/>
                <w:color w:val="000000"/>
                <w:kern w:val="0"/>
                <w:szCs w:val="21"/>
              </w:rPr>
              <w:t>分，每超过</w:t>
            </w:r>
            <w:r>
              <w:rPr>
                <w:rFonts w:asciiTheme="majorEastAsia" w:eastAsiaTheme="majorEastAsia" w:hAnsiTheme="majorEastAsia" w:cstheme="majorEastAsia" w:hint="eastAsia"/>
                <w:color w:val="000000"/>
                <w:kern w:val="0"/>
                <w:szCs w:val="21"/>
              </w:rPr>
              <w:t xml:space="preserve"> 1 </w:t>
            </w:r>
            <w:r>
              <w:rPr>
                <w:rFonts w:asciiTheme="majorEastAsia" w:eastAsiaTheme="majorEastAsia" w:hAnsiTheme="majorEastAsia" w:cstheme="majorEastAsia" w:hint="eastAsia"/>
                <w:color w:val="000000"/>
                <w:kern w:val="0"/>
                <w:szCs w:val="21"/>
              </w:rPr>
              <w:t>个百分点扣</w:t>
            </w:r>
            <w:r>
              <w:rPr>
                <w:rFonts w:asciiTheme="majorEastAsia" w:eastAsiaTheme="majorEastAsia" w:hAnsiTheme="majorEastAsia" w:cstheme="majorEastAsia" w:hint="eastAsia"/>
                <w:color w:val="000000"/>
                <w:kern w:val="0"/>
                <w:szCs w:val="21"/>
              </w:rPr>
              <w:t xml:space="preserve"> 0.5 </w:t>
            </w:r>
            <w:r>
              <w:rPr>
                <w:rFonts w:asciiTheme="majorEastAsia" w:eastAsiaTheme="majorEastAsia" w:hAnsiTheme="majorEastAsia" w:cstheme="majorEastAsia" w:hint="eastAsia"/>
                <w:color w:val="000000"/>
                <w:kern w:val="0"/>
                <w:szCs w:val="21"/>
              </w:rPr>
              <w:t>分，</w:t>
            </w:r>
          </w:p>
        </w:tc>
      </w:tr>
      <w:tr w:rsidR="004E2979">
        <w:trPr>
          <w:trHeight w:hRule="exact" w:val="1649"/>
        </w:trPr>
        <w:tc>
          <w:tcPr>
            <w:tcW w:w="550"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jc w:val="center"/>
              <w:rPr>
                <w:rFonts w:asciiTheme="majorEastAsia" w:eastAsiaTheme="majorEastAsia" w:hAnsiTheme="majorEastAsia" w:cstheme="majorEastAsia"/>
                <w:kern w:val="0"/>
                <w:szCs w:val="21"/>
              </w:rPr>
            </w:pPr>
          </w:p>
        </w:tc>
        <w:tc>
          <w:tcPr>
            <w:tcW w:w="566" w:type="dxa"/>
            <w:vMerge/>
            <w:tcBorders>
              <w:top w:val="single" w:sz="4" w:space="0" w:color="000000"/>
              <w:bottom w:val="single" w:sz="4" w:space="0" w:color="000000"/>
              <w:right w:val="single" w:sz="4" w:space="0" w:color="000000"/>
            </w:tcBorders>
            <w:vAlign w:val="center"/>
          </w:tcPr>
          <w:p w:rsidR="004E2979" w:rsidRDefault="004E2979">
            <w:pPr>
              <w:widowControl/>
              <w:spacing w:after="200"/>
              <w:jc w:val="center"/>
              <w:rPr>
                <w:rFonts w:asciiTheme="majorEastAsia" w:eastAsiaTheme="majorEastAsia" w:hAnsiTheme="majorEastAsia" w:cstheme="majorEastAsia"/>
                <w:kern w:val="0"/>
                <w:szCs w:val="21"/>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182"/>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政府采购执行率（</w:t>
            </w:r>
            <w:r>
              <w:rPr>
                <w:rFonts w:asciiTheme="majorEastAsia" w:eastAsiaTheme="majorEastAsia" w:hAnsiTheme="majorEastAsia" w:cstheme="majorEastAsia" w:hint="eastAsia"/>
                <w:color w:val="000000"/>
                <w:kern w:val="0"/>
                <w:szCs w:val="21"/>
              </w:rPr>
              <w:t xml:space="preserve">4 </w:t>
            </w:r>
            <w:r>
              <w:rPr>
                <w:rFonts w:asciiTheme="majorEastAsia" w:eastAsiaTheme="majorEastAsia" w:hAnsiTheme="majorEastAsia" w:cstheme="majorEastAsia" w:hint="eastAsia"/>
                <w:color w:val="000000"/>
                <w:kern w:val="0"/>
                <w:szCs w:val="21"/>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572"/>
              <w:ind w:left="60" w:right="6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3</w:t>
            </w:r>
          </w:p>
          <w:p w:rsidR="004E2979" w:rsidRDefault="004E2979">
            <w:pPr>
              <w:widowControl/>
              <w:autoSpaceDE w:val="0"/>
              <w:autoSpaceDN w:val="0"/>
              <w:spacing w:before="178"/>
              <w:jc w:val="center"/>
              <w:rPr>
                <w:rFonts w:asciiTheme="majorEastAsia" w:eastAsiaTheme="majorEastAsia" w:hAnsiTheme="majorEastAsia" w:cstheme="majorEastAsia"/>
                <w:kern w:val="0"/>
                <w:szCs w:val="21"/>
                <w:lang w:eastAsia="en-US"/>
              </w:rPr>
            </w:pPr>
          </w:p>
        </w:tc>
        <w:tc>
          <w:tcPr>
            <w:tcW w:w="2767"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部门本年度实际政府采购金额与年初政府采购预算的比率，用以反映和考核部门政府采购预算执行情况。</w:t>
            </w:r>
          </w:p>
        </w:tc>
        <w:tc>
          <w:tcPr>
            <w:tcW w:w="4335" w:type="dxa"/>
            <w:gridSpan w:val="2"/>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政府采购执行率</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（实际政府采购金额</w:t>
            </w:r>
            <w:r>
              <w:rPr>
                <w:rFonts w:asciiTheme="majorEastAsia" w:eastAsiaTheme="majorEastAsia" w:hAnsiTheme="majorEastAsia" w:cstheme="majorEastAsia" w:hint="eastAsia"/>
                <w:color w:val="000000"/>
                <w:kern w:val="0"/>
                <w:szCs w:val="21"/>
              </w:rPr>
              <w:t>/</w:t>
            </w:r>
            <w:r>
              <w:rPr>
                <w:rFonts w:asciiTheme="majorEastAsia" w:eastAsiaTheme="majorEastAsia" w:hAnsiTheme="majorEastAsia" w:cstheme="majorEastAsia" w:hint="eastAsia"/>
                <w:color w:val="000000"/>
                <w:kern w:val="0"/>
                <w:szCs w:val="21"/>
              </w:rPr>
              <w:t>政府采购预算数）×</w:t>
            </w:r>
            <w:r>
              <w:rPr>
                <w:rFonts w:asciiTheme="majorEastAsia" w:eastAsiaTheme="majorEastAsia" w:hAnsiTheme="majorEastAsia" w:cstheme="majorEastAsia" w:hint="eastAsia"/>
                <w:color w:val="000000"/>
                <w:kern w:val="0"/>
                <w:szCs w:val="21"/>
              </w:rPr>
              <w:t>100%</w:t>
            </w:r>
            <w:r>
              <w:rPr>
                <w:rFonts w:asciiTheme="majorEastAsia" w:eastAsiaTheme="majorEastAsia" w:hAnsiTheme="majorEastAsia" w:cstheme="majorEastAsia" w:hint="eastAsia"/>
                <w:color w:val="000000"/>
                <w:kern w:val="0"/>
                <w:szCs w:val="21"/>
              </w:rPr>
              <w:t>，为</w:t>
            </w:r>
            <w:r>
              <w:rPr>
                <w:rFonts w:asciiTheme="majorEastAsia" w:eastAsiaTheme="majorEastAsia" w:hAnsiTheme="majorEastAsia" w:cstheme="majorEastAsia" w:hint="eastAsia"/>
                <w:color w:val="000000"/>
                <w:kern w:val="0"/>
                <w:szCs w:val="21"/>
              </w:rPr>
              <w:t xml:space="preserve"> 100%</w:t>
            </w:r>
            <w:r>
              <w:rPr>
                <w:rFonts w:asciiTheme="majorEastAsia" w:eastAsiaTheme="majorEastAsia" w:hAnsiTheme="majorEastAsia" w:cstheme="majorEastAsia" w:hint="eastAsia"/>
                <w:color w:val="000000"/>
                <w:kern w:val="0"/>
                <w:szCs w:val="21"/>
              </w:rPr>
              <w:t>的计</w:t>
            </w:r>
            <w:r>
              <w:rPr>
                <w:rFonts w:asciiTheme="majorEastAsia" w:eastAsiaTheme="majorEastAsia" w:hAnsiTheme="majorEastAsia" w:cstheme="majorEastAsia" w:hint="eastAsia"/>
                <w:color w:val="000000"/>
                <w:kern w:val="0"/>
                <w:szCs w:val="21"/>
              </w:rPr>
              <w:t xml:space="preserve"> 2 </w:t>
            </w:r>
            <w:r>
              <w:rPr>
                <w:rFonts w:asciiTheme="majorEastAsia" w:eastAsiaTheme="majorEastAsia" w:hAnsiTheme="majorEastAsia" w:cstheme="majorEastAsia" w:hint="eastAsia"/>
                <w:color w:val="000000"/>
                <w:kern w:val="0"/>
                <w:szCs w:val="21"/>
              </w:rPr>
              <w:t>分，每低于</w:t>
            </w:r>
            <w:r>
              <w:rPr>
                <w:rFonts w:asciiTheme="majorEastAsia" w:eastAsiaTheme="majorEastAsia" w:hAnsiTheme="majorEastAsia" w:cstheme="majorEastAsia" w:hint="eastAsia"/>
                <w:color w:val="000000"/>
                <w:kern w:val="0"/>
                <w:szCs w:val="21"/>
              </w:rPr>
              <w:t xml:space="preserve"> 1 </w:t>
            </w:r>
            <w:r>
              <w:rPr>
                <w:rFonts w:asciiTheme="majorEastAsia" w:eastAsiaTheme="majorEastAsia" w:hAnsiTheme="majorEastAsia" w:cstheme="majorEastAsia" w:hint="eastAsia"/>
                <w:color w:val="000000"/>
                <w:kern w:val="0"/>
                <w:szCs w:val="21"/>
              </w:rPr>
              <w:t>个百分点扣</w:t>
            </w:r>
            <w:r>
              <w:rPr>
                <w:rFonts w:asciiTheme="majorEastAsia" w:eastAsiaTheme="majorEastAsia" w:hAnsiTheme="majorEastAsia" w:cstheme="majorEastAsia" w:hint="eastAsia"/>
                <w:color w:val="000000"/>
                <w:kern w:val="0"/>
                <w:szCs w:val="21"/>
              </w:rPr>
              <w:t xml:space="preserve"> 0.5 </w:t>
            </w:r>
            <w:r>
              <w:rPr>
                <w:rFonts w:asciiTheme="majorEastAsia" w:eastAsiaTheme="majorEastAsia" w:hAnsiTheme="majorEastAsia" w:cstheme="majorEastAsia" w:hint="eastAsia"/>
                <w:color w:val="000000"/>
                <w:kern w:val="0"/>
                <w:szCs w:val="21"/>
              </w:rPr>
              <w:t>分，扣完为止；政府采购预算：采购机关根据事业发展计划和行政任务编制的、并经过规定程序批准的年度政府采购计划。</w:t>
            </w:r>
          </w:p>
        </w:tc>
      </w:tr>
      <w:tr w:rsidR="004E2979">
        <w:trPr>
          <w:trHeight w:hRule="exact" w:val="1118"/>
        </w:trPr>
        <w:tc>
          <w:tcPr>
            <w:tcW w:w="550"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jc w:val="center"/>
              <w:rPr>
                <w:rFonts w:asciiTheme="majorEastAsia" w:eastAsiaTheme="majorEastAsia" w:hAnsiTheme="majorEastAsia" w:cstheme="majorEastAsia"/>
                <w:kern w:val="0"/>
                <w:szCs w:val="21"/>
              </w:rPr>
            </w:pPr>
          </w:p>
        </w:tc>
        <w:tc>
          <w:tcPr>
            <w:tcW w:w="5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1856"/>
              <w:ind w:left="7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预算</w:t>
            </w:r>
            <w:r>
              <w:rPr>
                <w:rFonts w:asciiTheme="majorEastAsia" w:eastAsiaTheme="majorEastAsia" w:hAnsiTheme="majorEastAsia" w:cstheme="majorEastAsia" w:hint="eastAsia"/>
                <w:color w:val="000000"/>
                <w:kern w:val="0"/>
                <w:szCs w:val="21"/>
                <w:lang w:eastAsia="en-US"/>
              </w:rPr>
              <w:t xml:space="preserve"> </w:t>
            </w:r>
            <w:r>
              <w:rPr>
                <w:rFonts w:asciiTheme="majorEastAsia" w:eastAsiaTheme="majorEastAsia" w:hAnsiTheme="majorEastAsia" w:cstheme="majorEastAsia" w:hint="eastAsia"/>
                <w:color w:val="000000"/>
                <w:kern w:val="0"/>
                <w:szCs w:val="21"/>
                <w:lang w:eastAsia="en-US"/>
              </w:rPr>
              <w:t>管理</w:t>
            </w:r>
            <w:r>
              <w:rPr>
                <w:rFonts w:asciiTheme="majorEastAsia" w:eastAsiaTheme="majorEastAsia" w:hAnsiTheme="majorEastAsia" w:cstheme="majorEastAsia" w:hint="eastAsia"/>
                <w:color w:val="000000"/>
                <w:kern w:val="0"/>
                <w:szCs w:val="21"/>
                <w:lang w:eastAsia="en-US"/>
              </w:rPr>
              <w:t xml:space="preserve"> </w:t>
            </w:r>
            <w:r>
              <w:rPr>
                <w:rFonts w:asciiTheme="majorEastAsia" w:eastAsiaTheme="majorEastAsia" w:hAnsiTheme="majorEastAsia" w:cstheme="majorEastAsia" w:hint="eastAsia"/>
                <w:color w:val="000000"/>
                <w:kern w:val="0"/>
                <w:szCs w:val="21"/>
                <w:lang w:eastAsia="en-US"/>
              </w:rPr>
              <w:t>分）</w:t>
            </w:r>
          </w:p>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w:t>
            </w:r>
            <w:r>
              <w:rPr>
                <w:rFonts w:asciiTheme="majorEastAsia" w:eastAsiaTheme="majorEastAsia" w:hAnsiTheme="majorEastAsia" w:cstheme="majorEastAsia" w:hint="eastAsia"/>
                <w:color w:val="000000"/>
                <w:kern w:val="0"/>
                <w:szCs w:val="21"/>
                <w:lang w:eastAsia="en-US"/>
              </w:rPr>
              <w:t>5</w:t>
            </w:r>
          </w:p>
        </w:tc>
        <w:tc>
          <w:tcPr>
            <w:tcW w:w="706"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4E2979" w:rsidRDefault="0081035B">
            <w:pPr>
              <w:widowControl/>
              <w:autoSpaceDE w:val="0"/>
              <w:autoSpaceDN w:val="0"/>
              <w:spacing w:before="66"/>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管理制度健全性（</w:t>
            </w:r>
            <w:r>
              <w:rPr>
                <w:rFonts w:asciiTheme="majorEastAsia" w:eastAsiaTheme="majorEastAsia" w:hAnsiTheme="majorEastAsia" w:cstheme="majorEastAsia" w:hint="eastAsia"/>
                <w:color w:val="000000"/>
                <w:kern w:val="0"/>
                <w:szCs w:val="21"/>
                <w:lang w:eastAsia="en-US"/>
              </w:rPr>
              <w:t xml:space="preserve">2 </w:t>
            </w:r>
            <w:r>
              <w:rPr>
                <w:rFonts w:asciiTheme="majorEastAsia" w:eastAsiaTheme="majorEastAsia" w:hAnsiTheme="majorEastAsia" w:cstheme="majorEastAsia" w:hint="eastAsia"/>
                <w:color w:val="000000"/>
                <w:kern w:val="0"/>
                <w:szCs w:val="21"/>
                <w:lang w:eastAsia="en-US"/>
              </w:rPr>
              <w:t>分）</w:t>
            </w:r>
          </w:p>
        </w:tc>
        <w:tc>
          <w:tcPr>
            <w:tcW w:w="444"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4E2979" w:rsidRDefault="0081035B">
            <w:pPr>
              <w:widowControl/>
              <w:autoSpaceDE w:val="0"/>
              <w:autoSpaceDN w:val="0"/>
              <w:spacing w:before="456"/>
              <w:ind w:left="60" w:right="6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2</w:t>
            </w:r>
          </w:p>
          <w:p w:rsidR="004E2979" w:rsidRDefault="004E2979">
            <w:pPr>
              <w:widowControl/>
              <w:autoSpaceDE w:val="0"/>
              <w:autoSpaceDN w:val="0"/>
              <w:spacing w:before="180"/>
              <w:jc w:val="center"/>
              <w:rPr>
                <w:rFonts w:asciiTheme="majorEastAsia" w:eastAsiaTheme="majorEastAsia" w:hAnsiTheme="majorEastAsia" w:cstheme="majorEastAsia"/>
                <w:kern w:val="0"/>
                <w:szCs w:val="21"/>
                <w:lang w:eastAsia="en-US"/>
              </w:rPr>
            </w:pPr>
          </w:p>
        </w:tc>
        <w:tc>
          <w:tcPr>
            <w:tcW w:w="2767" w:type="dxa"/>
            <w:tcBorders>
              <w:top w:val="single" w:sz="4" w:space="0" w:color="000000"/>
              <w:left w:val="single" w:sz="4" w:space="0" w:color="000000"/>
              <w:bottom w:val="single" w:sz="2"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部门为加强预算管理、规范财务行为而制定的管理制度是否健全完整，用以反映和考核部门预算管理制度对完成主要职责或促进事业发展的保障情况。</w:t>
            </w:r>
          </w:p>
        </w:tc>
        <w:tc>
          <w:tcPr>
            <w:tcW w:w="4335" w:type="dxa"/>
            <w:gridSpan w:val="2"/>
            <w:tcBorders>
              <w:top w:val="single" w:sz="4" w:space="0" w:color="000000"/>
              <w:left w:val="single" w:sz="2" w:space="0" w:color="000000"/>
              <w:bottom w:val="single" w:sz="2"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已制定或具有预算资金管理办法、内部财务管理制度、会计核算制度等管理制度计</w:t>
            </w:r>
            <w:r>
              <w:rPr>
                <w:rFonts w:asciiTheme="majorEastAsia" w:eastAsiaTheme="majorEastAsia" w:hAnsiTheme="majorEastAsia" w:cstheme="majorEastAsia" w:hint="eastAsia"/>
                <w:color w:val="000000"/>
                <w:kern w:val="0"/>
                <w:szCs w:val="21"/>
              </w:rPr>
              <w:t xml:space="preserve"> 1 </w:t>
            </w:r>
            <w:r>
              <w:rPr>
                <w:rFonts w:asciiTheme="majorEastAsia" w:eastAsiaTheme="majorEastAsia" w:hAnsiTheme="majorEastAsia" w:cstheme="majorEastAsia" w:hint="eastAsia"/>
                <w:color w:val="000000"/>
                <w:kern w:val="0"/>
                <w:szCs w:val="21"/>
              </w:rPr>
              <w:t>分；相关管理制度合法、合规、完整计</w:t>
            </w:r>
            <w:r>
              <w:rPr>
                <w:rFonts w:asciiTheme="majorEastAsia" w:eastAsiaTheme="majorEastAsia" w:hAnsiTheme="majorEastAsia" w:cstheme="majorEastAsia" w:hint="eastAsia"/>
                <w:color w:val="000000"/>
                <w:kern w:val="0"/>
                <w:szCs w:val="21"/>
              </w:rPr>
              <w:t xml:space="preserve"> 0.5 </w:t>
            </w:r>
            <w:r>
              <w:rPr>
                <w:rFonts w:asciiTheme="majorEastAsia" w:eastAsiaTheme="majorEastAsia" w:hAnsiTheme="majorEastAsia" w:cstheme="majorEastAsia" w:hint="eastAsia"/>
                <w:color w:val="000000"/>
                <w:kern w:val="0"/>
                <w:szCs w:val="21"/>
              </w:rPr>
              <w:t>分；相关管理制度得到有效执行计</w:t>
            </w:r>
            <w:r>
              <w:rPr>
                <w:rFonts w:asciiTheme="majorEastAsia" w:eastAsiaTheme="majorEastAsia" w:hAnsiTheme="majorEastAsia" w:cstheme="majorEastAsia" w:hint="eastAsia"/>
                <w:color w:val="000000"/>
                <w:kern w:val="0"/>
                <w:szCs w:val="21"/>
              </w:rPr>
              <w:t xml:space="preserve"> 0.5 </w:t>
            </w:r>
            <w:r>
              <w:rPr>
                <w:rFonts w:asciiTheme="majorEastAsia" w:eastAsiaTheme="majorEastAsia" w:hAnsiTheme="majorEastAsia" w:cstheme="majorEastAsia" w:hint="eastAsia"/>
                <w:color w:val="000000"/>
                <w:kern w:val="0"/>
                <w:szCs w:val="21"/>
              </w:rPr>
              <w:t>分。</w:t>
            </w:r>
          </w:p>
        </w:tc>
      </w:tr>
      <w:tr w:rsidR="004E2979">
        <w:trPr>
          <w:trHeight w:hRule="exact" w:val="1967"/>
        </w:trPr>
        <w:tc>
          <w:tcPr>
            <w:tcW w:w="550"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jc w:val="center"/>
              <w:rPr>
                <w:rFonts w:asciiTheme="majorEastAsia" w:eastAsiaTheme="majorEastAsia" w:hAnsiTheme="majorEastAsia" w:cstheme="majorEastAsia"/>
                <w:kern w:val="0"/>
                <w:szCs w:val="21"/>
              </w:rPr>
            </w:pPr>
          </w:p>
        </w:tc>
        <w:tc>
          <w:tcPr>
            <w:tcW w:w="566"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jc w:val="center"/>
              <w:rPr>
                <w:rFonts w:asciiTheme="majorEastAsia" w:eastAsiaTheme="majorEastAsia" w:hAnsiTheme="majorEastAsia" w:cstheme="majorEastAsia"/>
                <w:kern w:val="0"/>
                <w:szCs w:val="21"/>
              </w:rPr>
            </w:pPr>
          </w:p>
        </w:tc>
        <w:tc>
          <w:tcPr>
            <w:tcW w:w="706"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290"/>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资金使用合规性（</w:t>
            </w:r>
            <w:r>
              <w:rPr>
                <w:rFonts w:asciiTheme="majorEastAsia" w:eastAsiaTheme="majorEastAsia" w:hAnsiTheme="majorEastAsia" w:cstheme="majorEastAsia" w:hint="eastAsia"/>
                <w:color w:val="000000"/>
                <w:kern w:val="0"/>
                <w:szCs w:val="21"/>
              </w:rPr>
              <w:t xml:space="preserve">1 </w:t>
            </w:r>
            <w:r>
              <w:rPr>
                <w:rFonts w:asciiTheme="majorEastAsia" w:eastAsiaTheme="majorEastAsia" w:hAnsiTheme="majorEastAsia" w:cstheme="majorEastAsia" w:hint="eastAsia"/>
                <w:color w:val="000000"/>
                <w:kern w:val="0"/>
                <w:szCs w:val="21"/>
              </w:rPr>
              <w:t>分）</w:t>
            </w:r>
          </w:p>
        </w:tc>
        <w:tc>
          <w:tcPr>
            <w:tcW w:w="444"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678"/>
              <w:ind w:left="60" w:right="6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1</w:t>
            </w:r>
          </w:p>
          <w:p w:rsidR="004E2979" w:rsidRDefault="004E2979">
            <w:pPr>
              <w:widowControl/>
              <w:autoSpaceDE w:val="0"/>
              <w:autoSpaceDN w:val="0"/>
              <w:spacing w:before="180"/>
              <w:jc w:val="center"/>
              <w:rPr>
                <w:rFonts w:asciiTheme="majorEastAsia" w:eastAsiaTheme="majorEastAsia" w:hAnsiTheme="majorEastAsia" w:cstheme="majorEastAsia"/>
                <w:kern w:val="0"/>
                <w:szCs w:val="21"/>
                <w:lang w:eastAsia="en-US"/>
              </w:rPr>
            </w:pPr>
          </w:p>
        </w:tc>
        <w:tc>
          <w:tcPr>
            <w:tcW w:w="2767" w:type="dxa"/>
            <w:tcBorders>
              <w:top w:val="single" w:sz="2"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部门使用预算资金是否符合相关的预算财务管理制度的规定，用以反映和考核部门预算资金的规范运行情况。</w:t>
            </w:r>
          </w:p>
        </w:tc>
        <w:tc>
          <w:tcPr>
            <w:tcW w:w="4335" w:type="dxa"/>
            <w:gridSpan w:val="2"/>
            <w:tcBorders>
              <w:top w:val="single" w:sz="2"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①</w:t>
            </w:r>
            <w:r>
              <w:rPr>
                <w:rFonts w:asciiTheme="majorEastAsia" w:eastAsiaTheme="majorEastAsia" w:hAnsiTheme="majorEastAsia" w:cstheme="majorEastAsia" w:hint="eastAsia"/>
                <w:color w:val="000000"/>
                <w:kern w:val="0"/>
                <w:szCs w:val="21"/>
              </w:rPr>
              <w:t xml:space="preserve"> </w:t>
            </w:r>
            <w:r>
              <w:rPr>
                <w:rFonts w:asciiTheme="majorEastAsia" w:eastAsiaTheme="majorEastAsia" w:hAnsiTheme="majorEastAsia" w:cstheme="majorEastAsia" w:hint="eastAsia"/>
                <w:color w:val="000000"/>
                <w:kern w:val="0"/>
                <w:szCs w:val="21"/>
              </w:rPr>
              <w:t>合国家财经法规和财务管理制度规定途计</w:t>
            </w:r>
            <w:r>
              <w:rPr>
                <w:rFonts w:asciiTheme="majorEastAsia" w:eastAsiaTheme="majorEastAsia" w:hAnsiTheme="majorEastAsia" w:cstheme="majorEastAsia" w:hint="eastAsia"/>
                <w:color w:val="000000"/>
                <w:kern w:val="0"/>
                <w:szCs w:val="21"/>
              </w:rPr>
              <w:t xml:space="preserve"> 0.2 </w:t>
            </w:r>
            <w:r>
              <w:rPr>
                <w:rFonts w:asciiTheme="majorEastAsia" w:eastAsiaTheme="majorEastAsia" w:hAnsiTheme="majorEastAsia" w:cstheme="majorEastAsia" w:hint="eastAsia"/>
                <w:color w:val="000000"/>
                <w:kern w:val="0"/>
                <w:szCs w:val="21"/>
              </w:rPr>
              <w:t>分；⑤不存在截留、挤占、挪用、</w:t>
            </w:r>
          </w:p>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以及有关专项资金管理办法的规定计</w:t>
            </w:r>
            <w:r>
              <w:rPr>
                <w:rFonts w:asciiTheme="majorEastAsia" w:eastAsiaTheme="majorEastAsia" w:hAnsiTheme="majorEastAsia" w:cstheme="majorEastAsia" w:hint="eastAsia"/>
                <w:color w:val="000000"/>
                <w:kern w:val="0"/>
                <w:szCs w:val="21"/>
              </w:rPr>
              <w:t xml:space="preserve"> 0.2</w:t>
            </w:r>
            <w:r>
              <w:rPr>
                <w:rFonts w:asciiTheme="majorEastAsia" w:eastAsiaTheme="majorEastAsia" w:hAnsiTheme="majorEastAsia" w:cstheme="majorEastAsia" w:hint="eastAsia"/>
                <w:color w:val="000000"/>
                <w:kern w:val="0"/>
                <w:szCs w:val="21"/>
              </w:rPr>
              <w:t>分；②资金的拨付有完整的审批程序和手续计</w:t>
            </w:r>
            <w:r>
              <w:rPr>
                <w:rFonts w:asciiTheme="majorEastAsia" w:eastAsiaTheme="majorEastAsia" w:hAnsiTheme="majorEastAsia" w:cstheme="majorEastAsia" w:hint="eastAsia"/>
                <w:color w:val="000000"/>
                <w:kern w:val="0"/>
                <w:szCs w:val="21"/>
              </w:rPr>
              <w:t xml:space="preserve"> 0.2 </w:t>
            </w:r>
            <w:r>
              <w:rPr>
                <w:rFonts w:asciiTheme="majorEastAsia" w:eastAsiaTheme="majorEastAsia" w:hAnsiTheme="majorEastAsia" w:cstheme="majorEastAsia" w:hint="eastAsia"/>
                <w:color w:val="000000"/>
                <w:kern w:val="0"/>
                <w:szCs w:val="21"/>
              </w:rPr>
              <w:t>分；③项目的重大开支经过评估论证计</w:t>
            </w:r>
            <w:r>
              <w:rPr>
                <w:rFonts w:asciiTheme="majorEastAsia" w:eastAsiaTheme="majorEastAsia" w:hAnsiTheme="majorEastAsia" w:cstheme="majorEastAsia" w:hint="eastAsia"/>
                <w:color w:val="000000"/>
                <w:kern w:val="0"/>
                <w:szCs w:val="21"/>
              </w:rPr>
              <w:t xml:space="preserve"> 0.2 </w:t>
            </w:r>
            <w:r>
              <w:rPr>
                <w:rFonts w:asciiTheme="majorEastAsia" w:eastAsiaTheme="majorEastAsia" w:hAnsiTheme="majorEastAsia" w:cstheme="majorEastAsia" w:hint="eastAsia"/>
                <w:color w:val="000000"/>
                <w:kern w:val="0"/>
                <w:szCs w:val="21"/>
              </w:rPr>
              <w:t>分；④符合部门预算批复的用虚列支出等情况计</w:t>
            </w:r>
            <w:r>
              <w:rPr>
                <w:rFonts w:asciiTheme="majorEastAsia" w:eastAsiaTheme="majorEastAsia" w:hAnsiTheme="majorEastAsia" w:cstheme="majorEastAsia" w:hint="eastAsia"/>
                <w:color w:val="000000"/>
                <w:kern w:val="0"/>
                <w:szCs w:val="21"/>
              </w:rPr>
              <w:t xml:space="preserve"> 0.2 </w:t>
            </w:r>
            <w:r>
              <w:rPr>
                <w:rFonts w:asciiTheme="majorEastAsia" w:eastAsiaTheme="majorEastAsia" w:hAnsiTheme="majorEastAsia" w:cstheme="majorEastAsia" w:hint="eastAsia"/>
                <w:color w:val="000000"/>
                <w:kern w:val="0"/>
                <w:szCs w:val="21"/>
              </w:rPr>
              <w:t>分。</w:t>
            </w:r>
          </w:p>
        </w:tc>
      </w:tr>
      <w:tr w:rsidR="004E2979">
        <w:trPr>
          <w:trHeight w:hRule="exact" w:val="1153"/>
        </w:trPr>
        <w:tc>
          <w:tcPr>
            <w:tcW w:w="550"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jc w:val="center"/>
              <w:rPr>
                <w:rFonts w:asciiTheme="majorEastAsia" w:eastAsiaTheme="majorEastAsia" w:hAnsiTheme="majorEastAsia" w:cstheme="majorEastAsia"/>
                <w:kern w:val="0"/>
                <w:szCs w:val="21"/>
              </w:rPr>
            </w:pPr>
          </w:p>
        </w:tc>
        <w:tc>
          <w:tcPr>
            <w:tcW w:w="566"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jc w:val="center"/>
              <w:rPr>
                <w:rFonts w:asciiTheme="majorEastAsia" w:eastAsiaTheme="majorEastAsia" w:hAnsiTheme="majorEastAsia" w:cstheme="majorEastAsia"/>
                <w:kern w:val="0"/>
                <w:szCs w:val="21"/>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36"/>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预决算信息公开</w:t>
            </w:r>
            <w:r>
              <w:rPr>
                <w:rFonts w:asciiTheme="majorEastAsia" w:eastAsiaTheme="majorEastAsia" w:hAnsiTheme="majorEastAsia" w:cstheme="majorEastAsia" w:hint="eastAsia"/>
                <w:kern w:val="0"/>
                <w:szCs w:val="21"/>
              </w:rPr>
              <w:tab/>
            </w:r>
            <w:r>
              <w:rPr>
                <w:rFonts w:asciiTheme="majorEastAsia" w:eastAsiaTheme="majorEastAsia" w:hAnsiTheme="majorEastAsia" w:cstheme="majorEastAsia" w:hint="eastAsia"/>
                <w:color w:val="000000"/>
                <w:kern w:val="0"/>
                <w:szCs w:val="21"/>
              </w:rPr>
              <w:t>性（</w:t>
            </w:r>
            <w:r>
              <w:rPr>
                <w:rFonts w:asciiTheme="majorEastAsia" w:eastAsiaTheme="majorEastAsia" w:hAnsiTheme="majorEastAsia" w:cstheme="majorEastAsia" w:hint="eastAsia"/>
                <w:color w:val="000000"/>
                <w:kern w:val="0"/>
                <w:szCs w:val="21"/>
              </w:rPr>
              <w:t>1</w:t>
            </w:r>
            <w:r>
              <w:rPr>
                <w:rFonts w:asciiTheme="majorEastAsia" w:eastAsiaTheme="majorEastAsia" w:hAnsiTheme="majorEastAsia" w:cstheme="majorEastAsia" w:hint="eastAsia"/>
                <w:color w:val="000000"/>
                <w:kern w:val="0"/>
                <w:szCs w:val="21"/>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556"/>
              <w:ind w:left="60" w:right="6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1</w:t>
            </w:r>
          </w:p>
        </w:tc>
        <w:tc>
          <w:tcPr>
            <w:tcW w:w="2767"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部门是否按照政府信息公开有关规定公开相关预决算信息，用以反映和考核部门预决算管理的公开透明情况。</w:t>
            </w:r>
          </w:p>
        </w:tc>
        <w:tc>
          <w:tcPr>
            <w:tcW w:w="4335" w:type="dxa"/>
            <w:gridSpan w:val="2"/>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①按规定内容公开预决算信息计</w:t>
            </w:r>
            <w:r>
              <w:rPr>
                <w:rFonts w:asciiTheme="majorEastAsia" w:eastAsiaTheme="majorEastAsia" w:hAnsiTheme="majorEastAsia" w:cstheme="majorEastAsia" w:hint="eastAsia"/>
                <w:color w:val="000000"/>
                <w:kern w:val="0"/>
                <w:szCs w:val="21"/>
              </w:rPr>
              <w:t xml:space="preserve"> 0.5 </w:t>
            </w:r>
            <w:r>
              <w:rPr>
                <w:rFonts w:asciiTheme="majorEastAsia" w:eastAsiaTheme="majorEastAsia" w:hAnsiTheme="majorEastAsia" w:cstheme="majorEastAsia" w:hint="eastAsia"/>
                <w:color w:val="000000"/>
                <w:kern w:val="0"/>
                <w:szCs w:val="21"/>
              </w:rPr>
              <w:t>分；②按规定时限公开预决算信息计</w:t>
            </w:r>
            <w:r>
              <w:rPr>
                <w:rFonts w:asciiTheme="majorEastAsia" w:eastAsiaTheme="majorEastAsia" w:hAnsiTheme="majorEastAsia" w:cstheme="majorEastAsia" w:hint="eastAsia"/>
                <w:color w:val="000000"/>
                <w:kern w:val="0"/>
                <w:szCs w:val="21"/>
              </w:rPr>
              <w:t xml:space="preserve"> 0.5 </w:t>
            </w:r>
            <w:r>
              <w:rPr>
                <w:rFonts w:asciiTheme="majorEastAsia" w:eastAsiaTheme="majorEastAsia" w:hAnsiTheme="majorEastAsia" w:cstheme="majorEastAsia" w:hint="eastAsia"/>
                <w:color w:val="000000"/>
                <w:kern w:val="0"/>
                <w:szCs w:val="21"/>
              </w:rPr>
              <w:t>分。预决算信息是指与部门预算、执行、决算、监督、绩效等管理相关的信息。</w:t>
            </w:r>
          </w:p>
        </w:tc>
      </w:tr>
      <w:tr w:rsidR="004E2979">
        <w:trPr>
          <w:trHeight w:hRule="exact" w:val="1125"/>
        </w:trPr>
        <w:tc>
          <w:tcPr>
            <w:tcW w:w="550"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jc w:val="center"/>
              <w:rPr>
                <w:rFonts w:asciiTheme="majorEastAsia" w:eastAsiaTheme="majorEastAsia" w:hAnsiTheme="majorEastAsia" w:cstheme="majorEastAsia"/>
                <w:kern w:val="0"/>
                <w:szCs w:val="21"/>
              </w:rPr>
            </w:pPr>
          </w:p>
        </w:tc>
        <w:tc>
          <w:tcPr>
            <w:tcW w:w="566"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jc w:val="center"/>
              <w:rPr>
                <w:rFonts w:asciiTheme="majorEastAsia" w:eastAsiaTheme="majorEastAsia" w:hAnsiTheme="majorEastAsia" w:cstheme="majorEastAsia"/>
                <w:kern w:val="0"/>
                <w:szCs w:val="21"/>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40"/>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基础信息完善性（</w:t>
            </w:r>
            <w:r>
              <w:rPr>
                <w:rFonts w:asciiTheme="majorEastAsia" w:eastAsiaTheme="majorEastAsia" w:hAnsiTheme="majorEastAsia" w:cstheme="majorEastAsia" w:hint="eastAsia"/>
                <w:color w:val="000000"/>
                <w:kern w:val="0"/>
                <w:szCs w:val="21"/>
              </w:rPr>
              <w:t>1</w:t>
            </w:r>
            <w:r>
              <w:rPr>
                <w:rFonts w:asciiTheme="majorEastAsia" w:eastAsiaTheme="majorEastAsia" w:hAnsiTheme="majorEastAsia" w:cstheme="majorEastAsia" w:hint="eastAsia"/>
                <w:color w:val="000000"/>
                <w:kern w:val="0"/>
                <w:szCs w:val="21"/>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430"/>
              <w:ind w:left="60" w:right="6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1</w:t>
            </w:r>
          </w:p>
          <w:p w:rsidR="004E2979" w:rsidRDefault="004E2979">
            <w:pPr>
              <w:widowControl/>
              <w:autoSpaceDE w:val="0"/>
              <w:autoSpaceDN w:val="0"/>
              <w:spacing w:before="180"/>
              <w:jc w:val="center"/>
              <w:rPr>
                <w:rFonts w:asciiTheme="majorEastAsia" w:eastAsiaTheme="majorEastAsia" w:hAnsiTheme="majorEastAsia" w:cstheme="majorEastAsia"/>
                <w:kern w:val="0"/>
                <w:szCs w:val="21"/>
                <w:lang w:eastAsia="en-US"/>
              </w:rPr>
            </w:pPr>
          </w:p>
        </w:tc>
        <w:tc>
          <w:tcPr>
            <w:tcW w:w="2767"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部门基础信息是否完善，用以反映和考核基础信息对预算管理工作的支撑情况。</w:t>
            </w:r>
          </w:p>
        </w:tc>
        <w:tc>
          <w:tcPr>
            <w:tcW w:w="4335" w:type="dxa"/>
            <w:gridSpan w:val="2"/>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①基础数据信息和会计信息资料真实计</w:t>
            </w:r>
            <w:r>
              <w:rPr>
                <w:rFonts w:asciiTheme="majorEastAsia" w:eastAsiaTheme="majorEastAsia" w:hAnsiTheme="majorEastAsia" w:cstheme="majorEastAsia" w:hint="eastAsia"/>
                <w:color w:val="000000"/>
                <w:kern w:val="0"/>
                <w:szCs w:val="21"/>
              </w:rPr>
              <w:t xml:space="preserve"> 0.4</w:t>
            </w:r>
            <w:r>
              <w:rPr>
                <w:rFonts w:asciiTheme="majorEastAsia" w:eastAsiaTheme="majorEastAsia" w:hAnsiTheme="majorEastAsia" w:cstheme="majorEastAsia" w:hint="eastAsia"/>
                <w:color w:val="000000"/>
                <w:kern w:val="0"/>
                <w:szCs w:val="21"/>
              </w:rPr>
              <w:t>分；②基础数据信息和会计信息资料完整计</w:t>
            </w:r>
            <w:r>
              <w:rPr>
                <w:rFonts w:asciiTheme="majorEastAsia" w:eastAsiaTheme="majorEastAsia" w:hAnsiTheme="majorEastAsia" w:cstheme="majorEastAsia" w:hint="eastAsia"/>
                <w:color w:val="000000"/>
                <w:kern w:val="0"/>
                <w:szCs w:val="21"/>
              </w:rPr>
              <w:t xml:space="preserve">0.3 </w:t>
            </w:r>
            <w:r>
              <w:rPr>
                <w:rFonts w:asciiTheme="majorEastAsia" w:eastAsiaTheme="majorEastAsia" w:hAnsiTheme="majorEastAsia" w:cstheme="majorEastAsia" w:hint="eastAsia"/>
                <w:color w:val="000000"/>
                <w:kern w:val="0"/>
                <w:szCs w:val="21"/>
              </w:rPr>
              <w:t>分；③基础数据信息和会计信息资料准确计</w:t>
            </w:r>
            <w:r>
              <w:rPr>
                <w:rFonts w:asciiTheme="majorEastAsia" w:eastAsiaTheme="majorEastAsia" w:hAnsiTheme="majorEastAsia" w:cstheme="majorEastAsia" w:hint="eastAsia"/>
                <w:color w:val="000000"/>
                <w:kern w:val="0"/>
                <w:szCs w:val="21"/>
              </w:rPr>
              <w:t xml:space="preserve"> 0.3 </w:t>
            </w:r>
            <w:r>
              <w:rPr>
                <w:rFonts w:asciiTheme="majorEastAsia" w:eastAsiaTheme="majorEastAsia" w:hAnsiTheme="majorEastAsia" w:cstheme="majorEastAsia" w:hint="eastAsia"/>
                <w:color w:val="000000"/>
                <w:kern w:val="0"/>
                <w:szCs w:val="21"/>
              </w:rPr>
              <w:t>分。</w:t>
            </w:r>
          </w:p>
        </w:tc>
      </w:tr>
      <w:tr w:rsidR="004E2979">
        <w:trPr>
          <w:trHeight w:hRule="exact" w:val="1717"/>
        </w:trPr>
        <w:tc>
          <w:tcPr>
            <w:tcW w:w="550"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jc w:val="center"/>
              <w:rPr>
                <w:rFonts w:asciiTheme="majorEastAsia" w:eastAsiaTheme="majorEastAsia" w:hAnsiTheme="majorEastAsia" w:cstheme="majorEastAsia"/>
                <w:kern w:val="0"/>
                <w:szCs w:val="21"/>
              </w:rPr>
            </w:pP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ind w:left="7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资产</w:t>
            </w:r>
            <w:r>
              <w:rPr>
                <w:rFonts w:asciiTheme="majorEastAsia" w:eastAsiaTheme="majorEastAsia" w:hAnsiTheme="majorEastAsia" w:cstheme="majorEastAsia" w:hint="eastAsia"/>
                <w:color w:val="000000"/>
                <w:kern w:val="0"/>
                <w:szCs w:val="21"/>
                <w:lang w:eastAsia="en-US"/>
              </w:rPr>
              <w:t xml:space="preserve"> </w:t>
            </w:r>
            <w:r>
              <w:rPr>
                <w:rFonts w:asciiTheme="majorEastAsia" w:eastAsiaTheme="majorEastAsia" w:hAnsiTheme="majorEastAsia" w:cstheme="majorEastAsia" w:hint="eastAsia"/>
                <w:color w:val="000000"/>
                <w:kern w:val="0"/>
                <w:szCs w:val="21"/>
                <w:lang w:eastAsia="en-US"/>
              </w:rPr>
              <w:t>管理</w:t>
            </w:r>
            <w:r>
              <w:rPr>
                <w:rFonts w:asciiTheme="majorEastAsia" w:eastAsiaTheme="majorEastAsia" w:hAnsiTheme="majorEastAsia" w:cstheme="majorEastAsia" w:hint="eastAsia"/>
                <w:color w:val="000000"/>
                <w:kern w:val="0"/>
                <w:szCs w:val="21"/>
                <w:lang w:eastAsia="en-US"/>
              </w:rPr>
              <w:t xml:space="preserve"> </w:t>
            </w:r>
            <w:r>
              <w:rPr>
                <w:rFonts w:asciiTheme="majorEastAsia" w:eastAsiaTheme="majorEastAsia" w:hAnsiTheme="majorEastAsia" w:cstheme="majorEastAsia" w:hint="eastAsia"/>
                <w:color w:val="000000"/>
                <w:kern w:val="0"/>
                <w:szCs w:val="21"/>
                <w:lang w:eastAsia="en-US"/>
              </w:rPr>
              <w:t>分）</w:t>
            </w:r>
          </w:p>
          <w:p w:rsidR="004E2979" w:rsidRDefault="0081035B">
            <w:pPr>
              <w:widowControl/>
              <w:autoSpaceDE w:val="0"/>
              <w:autoSpaceDN w:val="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w:t>
            </w:r>
            <w:r>
              <w:rPr>
                <w:rFonts w:asciiTheme="majorEastAsia" w:eastAsiaTheme="majorEastAsia" w:hAnsiTheme="majorEastAsia" w:cstheme="majorEastAsia" w:hint="eastAsia"/>
                <w:color w:val="000000"/>
                <w:kern w:val="0"/>
                <w:szCs w:val="21"/>
                <w:lang w:eastAsia="en-US"/>
              </w:rPr>
              <w:t>5</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tabs>
                <w:tab w:val="left" w:pos="32"/>
              </w:tabs>
              <w:autoSpaceDE w:val="0"/>
              <w:autoSpaceDN w:val="0"/>
              <w:ind w:left="6"/>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管理制度健全性（</w:t>
            </w:r>
            <w:r>
              <w:rPr>
                <w:rFonts w:asciiTheme="majorEastAsia" w:eastAsiaTheme="majorEastAsia" w:hAnsiTheme="majorEastAsia" w:cstheme="majorEastAsia" w:hint="eastAsia"/>
                <w:color w:val="000000"/>
                <w:kern w:val="0"/>
                <w:szCs w:val="21"/>
                <w:lang w:eastAsia="en-US"/>
              </w:rPr>
              <w:t>2</w:t>
            </w:r>
            <w:r>
              <w:rPr>
                <w:rFonts w:asciiTheme="majorEastAsia" w:eastAsiaTheme="majorEastAsia" w:hAnsiTheme="majorEastAsia" w:cstheme="majorEastAsia" w:hint="eastAsia"/>
                <w:color w:val="000000"/>
                <w:kern w:val="0"/>
                <w:szCs w:val="21"/>
                <w:lang w:eastAsia="en-US"/>
              </w:rPr>
              <w:t>分）</w:t>
            </w:r>
          </w:p>
          <w:p w:rsidR="004E2979" w:rsidRDefault="004E2979">
            <w:pPr>
              <w:widowControl/>
              <w:autoSpaceDE w:val="0"/>
              <w:autoSpaceDN w:val="0"/>
              <w:spacing w:before="52"/>
              <w:jc w:val="center"/>
              <w:rPr>
                <w:rFonts w:asciiTheme="majorEastAsia" w:eastAsiaTheme="majorEastAsia" w:hAnsiTheme="majorEastAsia" w:cstheme="majorEastAsia"/>
                <w:kern w:val="0"/>
                <w:szCs w:val="21"/>
                <w:lang w:eastAsia="en-US"/>
              </w:rPr>
            </w:pP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460"/>
              <w:ind w:left="60" w:right="60"/>
              <w:jc w:val="center"/>
              <w:rPr>
                <w:rFonts w:asciiTheme="majorEastAsia" w:eastAsiaTheme="majorEastAsia" w:hAnsiTheme="majorEastAsia" w:cstheme="majorEastAsia"/>
                <w:kern w:val="0"/>
                <w:szCs w:val="21"/>
                <w:lang w:eastAsia="en-US"/>
              </w:rPr>
            </w:pPr>
            <w:r>
              <w:rPr>
                <w:rFonts w:asciiTheme="majorEastAsia" w:eastAsiaTheme="majorEastAsia" w:hAnsiTheme="majorEastAsia" w:cstheme="majorEastAsia" w:hint="eastAsia"/>
                <w:color w:val="000000"/>
                <w:kern w:val="0"/>
                <w:szCs w:val="21"/>
                <w:lang w:eastAsia="en-US"/>
              </w:rPr>
              <w:t>2</w:t>
            </w:r>
          </w:p>
          <w:p w:rsidR="004E2979" w:rsidRDefault="004E2979">
            <w:pPr>
              <w:widowControl/>
              <w:autoSpaceDE w:val="0"/>
              <w:autoSpaceDN w:val="0"/>
              <w:spacing w:before="180"/>
              <w:jc w:val="center"/>
              <w:rPr>
                <w:rFonts w:asciiTheme="majorEastAsia" w:eastAsiaTheme="majorEastAsia" w:hAnsiTheme="majorEastAsia" w:cstheme="majorEastAsia"/>
                <w:kern w:val="0"/>
                <w:szCs w:val="21"/>
                <w:lang w:eastAsia="en-US"/>
              </w:rPr>
            </w:pPr>
          </w:p>
        </w:tc>
        <w:tc>
          <w:tcPr>
            <w:tcW w:w="2767"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部门为加强资产管理、规范资产管理行为而制定的管理制度是否健全完整，用以反映和考核部门资产管理制度对完成主要职责或促进社会发展的保障情况。</w:t>
            </w:r>
          </w:p>
        </w:tc>
        <w:tc>
          <w:tcPr>
            <w:tcW w:w="4335" w:type="dxa"/>
            <w:gridSpan w:val="2"/>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color w:val="000000"/>
                <w:kern w:val="0"/>
                <w:szCs w:val="21"/>
              </w:rPr>
              <w:t>①制定或具有资产管理制度计</w:t>
            </w:r>
            <w:r>
              <w:rPr>
                <w:rFonts w:asciiTheme="majorEastAsia" w:eastAsiaTheme="majorEastAsia" w:hAnsiTheme="majorEastAsia" w:cstheme="majorEastAsia" w:hint="eastAsia"/>
                <w:color w:val="000000"/>
                <w:kern w:val="0"/>
                <w:szCs w:val="21"/>
              </w:rPr>
              <w:t xml:space="preserve"> 1 </w:t>
            </w:r>
            <w:r>
              <w:rPr>
                <w:rFonts w:asciiTheme="majorEastAsia" w:eastAsiaTheme="majorEastAsia" w:hAnsiTheme="majorEastAsia" w:cstheme="majorEastAsia" w:hint="eastAsia"/>
                <w:color w:val="000000"/>
                <w:kern w:val="0"/>
                <w:szCs w:val="21"/>
              </w:rPr>
              <w:t>分；②相关资金管理制度合法、合规、完整计</w:t>
            </w:r>
            <w:r>
              <w:rPr>
                <w:rFonts w:asciiTheme="majorEastAsia" w:eastAsiaTheme="majorEastAsia" w:hAnsiTheme="majorEastAsia" w:cstheme="majorEastAsia" w:hint="eastAsia"/>
                <w:color w:val="000000"/>
                <w:kern w:val="0"/>
                <w:szCs w:val="21"/>
              </w:rPr>
              <w:t xml:space="preserve"> 0.5 </w:t>
            </w:r>
            <w:r>
              <w:rPr>
                <w:rFonts w:asciiTheme="majorEastAsia" w:eastAsiaTheme="majorEastAsia" w:hAnsiTheme="majorEastAsia" w:cstheme="majorEastAsia" w:hint="eastAsia"/>
                <w:color w:val="000000"/>
                <w:kern w:val="0"/>
                <w:szCs w:val="21"/>
              </w:rPr>
              <w:t>分；③相关资产管理制度得到有效执行计</w:t>
            </w:r>
            <w:r>
              <w:rPr>
                <w:rFonts w:asciiTheme="majorEastAsia" w:eastAsiaTheme="majorEastAsia" w:hAnsiTheme="majorEastAsia" w:cstheme="majorEastAsia" w:hint="eastAsia"/>
                <w:color w:val="000000"/>
                <w:kern w:val="0"/>
                <w:szCs w:val="21"/>
              </w:rPr>
              <w:t xml:space="preserve"> 0.5 </w:t>
            </w:r>
            <w:r>
              <w:rPr>
                <w:rFonts w:asciiTheme="majorEastAsia" w:eastAsiaTheme="majorEastAsia" w:hAnsiTheme="majorEastAsia" w:cstheme="majorEastAsia" w:hint="eastAsia"/>
                <w:color w:val="000000"/>
                <w:kern w:val="0"/>
                <w:szCs w:val="21"/>
              </w:rPr>
              <w:t>分。</w:t>
            </w:r>
          </w:p>
        </w:tc>
      </w:tr>
      <w:tr w:rsidR="004E2979">
        <w:tblPrEx>
          <w:jc w:val="center"/>
        </w:tblPrEx>
        <w:trPr>
          <w:trHeight w:hRule="exact" w:val="588"/>
          <w:jc w:val="center"/>
        </w:trPr>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36" w:line="240" w:lineRule="exact"/>
              <w:jc w:val="center"/>
              <w:rPr>
                <w:rFonts w:ascii="宋体" w:eastAsia="宋体" w:hAnsi="宋体" w:cs="Times New Roman"/>
                <w:color w:val="000000"/>
                <w:kern w:val="0"/>
              </w:rPr>
            </w:pPr>
            <w:r>
              <w:rPr>
                <w:rFonts w:ascii="宋体" w:eastAsia="宋体" w:hAnsi="宋体" w:cs="Times New Roman"/>
                <w:color w:val="000000"/>
                <w:kern w:val="0"/>
                <w:lang w:eastAsia="en-US"/>
              </w:rPr>
              <w:t>一级</w:t>
            </w:r>
          </w:p>
          <w:p w:rsidR="004E2979" w:rsidRDefault="0081035B">
            <w:pPr>
              <w:widowControl/>
              <w:autoSpaceDE w:val="0"/>
              <w:autoSpaceDN w:val="0"/>
              <w:spacing w:before="36" w:line="24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指标</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36" w:line="240" w:lineRule="exact"/>
              <w:ind w:left="70"/>
              <w:jc w:val="center"/>
              <w:rPr>
                <w:rFonts w:ascii="宋体" w:eastAsia="宋体" w:hAnsi="宋体" w:cs="Times New Roman"/>
                <w:color w:val="000000"/>
                <w:kern w:val="0"/>
              </w:rPr>
            </w:pPr>
            <w:r>
              <w:rPr>
                <w:rFonts w:ascii="宋体" w:eastAsia="宋体" w:hAnsi="宋体" w:cs="Times New Roman"/>
                <w:color w:val="000000"/>
                <w:kern w:val="0"/>
                <w:lang w:eastAsia="en-US"/>
              </w:rPr>
              <w:t>二级</w:t>
            </w:r>
          </w:p>
          <w:p w:rsidR="004E2979" w:rsidRDefault="0081035B">
            <w:pPr>
              <w:widowControl/>
              <w:autoSpaceDE w:val="0"/>
              <w:autoSpaceDN w:val="0"/>
              <w:spacing w:before="36" w:line="240" w:lineRule="exact"/>
              <w:ind w:left="70"/>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指标</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64" w:line="210" w:lineRule="exact"/>
              <w:jc w:val="center"/>
              <w:rPr>
                <w:rFonts w:ascii="宋体" w:eastAsia="宋体" w:hAnsi="宋体" w:cs="Times New Roman"/>
                <w:color w:val="000000"/>
                <w:kern w:val="0"/>
                <w:lang w:eastAsia="en-US"/>
              </w:rPr>
            </w:pPr>
            <w:r>
              <w:rPr>
                <w:rFonts w:ascii="宋体" w:eastAsia="宋体" w:hAnsi="宋体" w:cs="Times New Roman"/>
                <w:color w:val="000000"/>
                <w:kern w:val="0"/>
                <w:lang w:eastAsia="en-US"/>
              </w:rPr>
              <w:t>三级</w:t>
            </w:r>
          </w:p>
          <w:p w:rsidR="004E2979" w:rsidRDefault="0081035B">
            <w:pPr>
              <w:widowControl/>
              <w:autoSpaceDE w:val="0"/>
              <w:autoSpaceDN w:val="0"/>
              <w:spacing w:before="64"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指标</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36" w:line="240" w:lineRule="exact"/>
              <w:ind w:left="4" w:right="4"/>
              <w:jc w:val="center"/>
              <w:rPr>
                <w:rFonts w:ascii="宋体" w:eastAsia="宋体" w:hAnsi="宋体" w:cs="Times New Roman"/>
                <w:color w:val="000000"/>
                <w:kern w:val="0"/>
                <w:lang w:eastAsia="en-US"/>
              </w:rPr>
            </w:pPr>
            <w:r>
              <w:rPr>
                <w:rFonts w:ascii="宋体" w:eastAsia="宋体" w:hAnsi="宋体" w:cs="Times New Roman"/>
                <w:color w:val="000000"/>
                <w:kern w:val="0"/>
                <w:lang w:eastAsia="en-US"/>
              </w:rPr>
              <w:t>自评</w:t>
            </w:r>
          </w:p>
          <w:p w:rsidR="004E2979" w:rsidRDefault="0081035B">
            <w:pPr>
              <w:widowControl/>
              <w:autoSpaceDE w:val="0"/>
              <w:autoSpaceDN w:val="0"/>
              <w:spacing w:before="36" w:line="240" w:lineRule="exact"/>
              <w:ind w:left="4" w:right="4"/>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分</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spacing w:before="184" w:line="210" w:lineRule="exact"/>
              <w:ind w:left="958" w:right="958"/>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指标解释</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spacing w:before="184" w:line="210" w:lineRule="exact"/>
              <w:ind w:left="1534" w:right="1534"/>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指标说明</w:t>
            </w:r>
          </w:p>
        </w:tc>
      </w:tr>
      <w:tr w:rsidR="004E2979">
        <w:tblPrEx>
          <w:jc w:val="center"/>
        </w:tblPrEx>
        <w:trPr>
          <w:trHeight w:hRule="exact" w:val="1419"/>
          <w:jc w:val="center"/>
        </w:trPr>
        <w:tc>
          <w:tcPr>
            <w:tcW w:w="5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20" w:line="210" w:lineRule="exact"/>
              <w:jc w:val="center"/>
              <w:rPr>
                <w:rFonts w:ascii="Cambria" w:eastAsia="MS Mincho" w:hAnsi="Cambria" w:cs="Times New Roman"/>
                <w:kern w:val="0"/>
                <w:sz w:val="22"/>
                <w:lang w:eastAsia="en-US"/>
              </w:rPr>
            </w:pPr>
            <w:r>
              <w:rPr>
                <w:rFonts w:asciiTheme="majorEastAsia" w:eastAsiaTheme="majorEastAsia" w:hAnsiTheme="majorEastAsia" w:cstheme="majorEastAsia" w:hint="eastAsia"/>
                <w:color w:val="000000"/>
                <w:kern w:val="0"/>
                <w:szCs w:val="21"/>
                <w:lang w:eastAsia="en-US"/>
              </w:rPr>
              <w:t>过</w:t>
            </w:r>
            <w:r>
              <w:rPr>
                <w:rFonts w:asciiTheme="majorEastAsia" w:eastAsiaTheme="majorEastAsia" w:hAnsiTheme="majorEastAsia" w:cstheme="majorEastAsia" w:hint="eastAsia"/>
                <w:color w:val="000000"/>
                <w:kern w:val="0"/>
                <w:szCs w:val="21"/>
                <w:lang w:eastAsia="en-US"/>
              </w:rPr>
              <w:t xml:space="preserve"> </w:t>
            </w:r>
            <w:r>
              <w:rPr>
                <w:rFonts w:asciiTheme="majorEastAsia" w:eastAsiaTheme="majorEastAsia" w:hAnsiTheme="majorEastAsia" w:cstheme="majorEastAsia" w:hint="eastAsia"/>
                <w:color w:val="000000"/>
                <w:kern w:val="0"/>
                <w:szCs w:val="21"/>
                <w:lang w:eastAsia="en-US"/>
              </w:rPr>
              <w:t>程</w:t>
            </w:r>
            <w:r>
              <w:rPr>
                <w:rFonts w:ascii="宋体" w:eastAsia="宋体" w:hAnsi="宋体" w:cs="Times New Roman"/>
                <w:color w:val="000000"/>
                <w:kern w:val="0"/>
                <w:lang w:eastAsia="en-US"/>
              </w:rPr>
              <w:t>（</w:t>
            </w:r>
            <w:r>
              <w:rPr>
                <w:rFonts w:ascii="宋体" w:eastAsia="宋体" w:hAnsi="宋体" w:cs="Times New Roman"/>
                <w:color w:val="000000"/>
                <w:kern w:val="0"/>
                <w:lang w:eastAsia="en-US"/>
              </w:rPr>
              <w:t>30</w:t>
            </w:r>
          </w:p>
          <w:p w:rsidR="004E2979" w:rsidRDefault="0081035B">
            <w:pPr>
              <w:widowControl/>
              <w:autoSpaceDE w:val="0"/>
              <w:autoSpaceDN w:val="0"/>
              <w:spacing w:before="30"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分）</w:t>
            </w:r>
          </w:p>
        </w:tc>
        <w:tc>
          <w:tcPr>
            <w:tcW w:w="5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56"/>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lang w:eastAsia="en-US"/>
              </w:rPr>
              <w:t>资产</w:t>
            </w:r>
          </w:p>
          <w:p w:rsidR="004E2979" w:rsidRDefault="0081035B">
            <w:pPr>
              <w:widowControl/>
              <w:autoSpaceDE w:val="0"/>
              <w:autoSpaceDN w:val="0"/>
              <w:spacing w:before="36" w:line="212" w:lineRule="exact"/>
              <w:jc w:val="center"/>
              <w:rPr>
                <w:rFonts w:ascii="Cambria" w:eastAsia="MS Mincho" w:hAnsi="Cambria" w:cs="Times New Roman"/>
                <w:kern w:val="0"/>
                <w:sz w:val="22"/>
                <w:lang w:eastAsia="en-US"/>
              </w:rPr>
            </w:pPr>
            <w:r>
              <w:rPr>
                <w:rFonts w:asciiTheme="majorEastAsia" w:eastAsiaTheme="majorEastAsia" w:hAnsiTheme="majorEastAsia" w:cstheme="majorEastAsia" w:hint="eastAsia"/>
                <w:color w:val="000000"/>
                <w:kern w:val="0"/>
                <w:szCs w:val="21"/>
                <w:lang w:eastAsia="en-US"/>
              </w:rPr>
              <w:t>管理</w:t>
            </w:r>
            <w:r>
              <w:rPr>
                <w:rFonts w:ascii="宋体" w:eastAsia="宋体" w:hAnsi="宋体" w:cs="Times New Roman"/>
                <w:color w:val="000000"/>
                <w:kern w:val="0"/>
                <w:lang w:eastAsia="en-US"/>
              </w:rPr>
              <w:t>（</w:t>
            </w:r>
            <w:r>
              <w:rPr>
                <w:rFonts w:ascii="宋体" w:eastAsia="宋体" w:hAnsi="宋体" w:cs="Times New Roman"/>
                <w:color w:val="000000"/>
                <w:kern w:val="0"/>
                <w:lang w:eastAsia="en-US"/>
              </w:rPr>
              <w:t>5</w:t>
            </w:r>
          </w:p>
          <w:p w:rsidR="004E2979" w:rsidRDefault="0081035B">
            <w:pPr>
              <w:widowControl/>
              <w:autoSpaceDE w:val="0"/>
              <w:autoSpaceDN w:val="0"/>
              <w:spacing w:line="22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分）</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4" w:line="210" w:lineRule="exact"/>
              <w:jc w:val="center"/>
              <w:rPr>
                <w:rFonts w:ascii="Cambria" w:eastAsia="MS Mincho" w:hAnsi="Cambria" w:cs="Times New Roman"/>
                <w:kern w:val="0"/>
                <w:sz w:val="22"/>
              </w:rPr>
            </w:pPr>
            <w:r>
              <w:rPr>
                <w:rFonts w:asciiTheme="majorEastAsia" w:eastAsiaTheme="majorEastAsia" w:hAnsiTheme="majorEastAsia" w:cstheme="majorEastAsia" w:hint="eastAsia"/>
                <w:color w:val="000000"/>
                <w:kern w:val="0"/>
                <w:szCs w:val="21"/>
              </w:rPr>
              <w:t>资产管理安全性（</w:t>
            </w:r>
            <w:r>
              <w:rPr>
                <w:rFonts w:asciiTheme="majorEastAsia" w:eastAsiaTheme="majorEastAsia" w:hAnsiTheme="majorEastAsia" w:cstheme="majorEastAsia" w:hint="eastAsia"/>
                <w:color w:val="000000"/>
                <w:kern w:val="0"/>
                <w:szCs w:val="21"/>
              </w:rPr>
              <w:t>2</w:t>
            </w:r>
            <w:r>
              <w:rPr>
                <w:rFonts w:asciiTheme="majorEastAsia" w:eastAsiaTheme="majorEastAsia" w:hAnsiTheme="majorEastAsia" w:cstheme="majorEastAsia" w:hint="eastAsia"/>
                <w:color w:val="000000"/>
                <w:kern w:val="0"/>
                <w:szCs w:val="21"/>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4" w:line="210" w:lineRule="exact"/>
              <w:jc w:val="center"/>
              <w:rPr>
                <w:rFonts w:ascii="Cambria" w:eastAsia="宋体" w:hAnsi="Cambria" w:cs="Times New Roman"/>
                <w:kern w:val="0"/>
                <w:sz w:val="22"/>
              </w:rPr>
            </w:pPr>
            <w:r>
              <w:rPr>
                <w:rFonts w:ascii="宋体" w:eastAsia="宋体" w:hAnsi="宋体" w:cs="Times New Roman" w:hint="eastAsia"/>
                <w:color w:val="000000"/>
                <w:kern w:val="0"/>
              </w:rPr>
              <w:t>2</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Theme="majorEastAsia" w:eastAsiaTheme="majorEastAsia" w:hAnsiTheme="majorEastAsia" w:cstheme="majorEastAsia" w:hint="eastAsia"/>
                <w:color w:val="000000"/>
                <w:kern w:val="0"/>
                <w:szCs w:val="21"/>
              </w:rPr>
              <w:t>部门的资产是否保存完整、使用合规、配置合理、处置规范、收入及时足额上缴，用以反映和考</w:t>
            </w:r>
            <w:r>
              <w:rPr>
                <w:rFonts w:ascii="宋体" w:eastAsia="宋体" w:hAnsi="宋体" w:cs="Times New Roman"/>
                <w:color w:val="000000"/>
                <w:kern w:val="0"/>
              </w:rPr>
              <w:t>核部门资产安全运行情况。</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Theme="majorEastAsia" w:eastAsiaTheme="majorEastAsia" w:hAnsiTheme="majorEastAsia" w:cstheme="majorEastAsia" w:hint="eastAsia"/>
                <w:color w:val="000000"/>
                <w:kern w:val="0"/>
                <w:szCs w:val="21"/>
              </w:rPr>
              <w:t>①资产保存完整计</w:t>
            </w:r>
            <w:r>
              <w:rPr>
                <w:rFonts w:asciiTheme="majorEastAsia" w:eastAsiaTheme="majorEastAsia" w:hAnsiTheme="majorEastAsia" w:cstheme="majorEastAsia" w:hint="eastAsia"/>
                <w:color w:val="000000"/>
                <w:kern w:val="0"/>
                <w:szCs w:val="21"/>
              </w:rPr>
              <w:t xml:space="preserve"> 0.4 </w:t>
            </w:r>
            <w:r>
              <w:rPr>
                <w:rFonts w:asciiTheme="majorEastAsia" w:eastAsiaTheme="majorEastAsia" w:hAnsiTheme="majorEastAsia" w:cstheme="majorEastAsia" w:hint="eastAsia"/>
                <w:color w:val="000000"/>
                <w:kern w:val="0"/>
                <w:szCs w:val="21"/>
              </w:rPr>
              <w:t>分；②资产配置合理计</w:t>
            </w:r>
            <w:r>
              <w:rPr>
                <w:rFonts w:asciiTheme="majorEastAsia" w:eastAsiaTheme="majorEastAsia" w:hAnsiTheme="majorEastAsia" w:cstheme="majorEastAsia" w:hint="eastAsia"/>
                <w:color w:val="000000"/>
                <w:kern w:val="0"/>
                <w:szCs w:val="21"/>
              </w:rPr>
              <w:t xml:space="preserve">0.4 </w:t>
            </w:r>
            <w:r>
              <w:rPr>
                <w:rFonts w:asciiTheme="majorEastAsia" w:eastAsiaTheme="majorEastAsia" w:hAnsiTheme="majorEastAsia" w:cstheme="majorEastAsia" w:hint="eastAsia"/>
                <w:color w:val="000000"/>
                <w:kern w:val="0"/>
                <w:szCs w:val="21"/>
              </w:rPr>
              <w:t>分；③资产处置规范计</w:t>
            </w:r>
            <w:r>
              <w:rPr>
                <w:rFonts w:asciiTheme="majorEastAsia" w:eastAsiaTheme="majorEastAsia" w:hAnsiTheme="majorEastAsia" w:cstheme="majorEastAsia" w:hint="eastAsia"/>
                <w:color w:val="000000"/>
                <w:kern w:val="0"/>
                <w:szCs w:val="21"/>
              </w:rPr>
              <w:t xml:space="preserve"> 0.4 </w:t>
            </w:r>
            <w:r>
              <w:rPr>
                <w:rFonts w:asciiTheme="majorEastAsia" w:eastAsiaTheme="majorEastAsia" w:hAnsiTheme="majorEastAsia" w:cstheme="majorEastAsia" w:hint="eastAsia"/>
                <w:color w:val="000000"/>
                <w:kern w:val="0"/>
                <w:szCs w:val="21"/>
              </w:rPr>
              <w:t>分；④资产账务管理合规、帐实相符计</w:t>
            </w:r>
            <w:r>
              <w:rPr>
                <w:rFonts w:asciiTheme="majorEastAsia" w:eastAsiaTheme="majorEastAsia" w:hAnsiTheme="majorEastAsia" w:cstheme="majorEastAsia" w:hint="eastAsia"/>
                <w:color w:val="000000"/>
                <w:kern w:val="0"/>
                <w:szCs w:val="21"/>
              </w:rPr>
              <w:t xml:space="preserve"> 0.4 </w:t>
            </w:r>
            <w:r>
              <w:rPr>
                <w:rFonts w:asciiTheme="majorEastAsia" w:eastAsiaTheme="majorEastAsia" w:hAnsiTheme="majorEastAsia" w:cstheme="majorEastAsia" w:hint="eastAsia"/>
                <w:color w:val="000000"/>
                <w:kern w:val="0"/>
                <w:szCs w:val="21"/>
              </w:rPr>
              <w:t>分；⑤资产有偿</w:t>
            </w:r>
            <w:r>
              <w:rPr>
                <w:rFonts w:ascii="宋体" w:eastAsia="宋体" w:hAnsi="宋体" w:cs="Times New Roman"/>
                <w:color w:val="000000"/>
                <w:kern w:val="0"/>
              </w:rPr>
              <w:t>使用及处置收入及时足额上缴计</w:t>
            </w:r>
            <w:r>
              <w:rPr>
                <w:rFonts w:ascii="宋体" w:eastAsia="宋体" w:hAnsi="宋体" w:cs="Times New Roman"/>
                <w:color w:val="000000"/>
                <w:kern w:val="0"/>
              </w:rPr>
              <w:t xml:space="preserve"> 0.4 </w:t>
            </w:r>
            <w:r>
              <w:rPr>
                <w:rFonts w:ascii="宋体" w:eastAsia="宋体" w:hAnsi="宋体" w:cs="Times New Roman"/>
                <w:color w:val="000000"/>
                <w:kern w:val="0"/>
              </w:rPr>
              <w:t>分。</w:t>
            </w:r>
          </w:p>
        </w:tc>
      </w:tr>
      <w:tr w:rsidR="004E2979">
        <w:tblPrEx>
          <w:jc w:val="center"/>
        </w:tblPrEx>
        <w:trPr>
          <w:trHeight w:hRule="exact" w:val="1120"/>
          <w:jc w:val="center"/>
        </w:trPr>
        <w:tc>
          <w:tcPr>
            <w:tcW w:w="550"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line="276" w:lineRule="auto"/>
              <w:jc w:val="center"/>
              <w:rPr>
                <w:rFonts w:ascii="Cambria" w:eastAsia="MS Mincho" w:hAnsi="Cambria" w:cs="Times New Roman"/>
                <w:kern w:val="0"/>
                <w:sz w:val="22"/>
              </w:rPr>
            </w:pPr>
          </w:p>
        </w:tc>
        <w:tc>
          <w:tcPr>
            <w:tcW w:w="566"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line="276" w:lineRule="auto"/>
              <w:jc w:val="center"/>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4" w:line="212" w:lineRule="exact"/>
              <w:jc w:val="center"/>
              <w:rPr>
                <w:rFonts w:ascii="Cambria" w:eastAsia="MS Mincho" w:hAnsi="Cambria" w:cs="Times New Roman"/>
                <w:kern w:val="0"/>
                <w:sz w:val="22"/>
              </w:rPr>
            </w:pPr>
            <w:r>
              <w:rPr>
                <w:rFonts w:ascii="宋体" w:eastAsia="宋体" w:hAnsi="宋体" w:cs="Times New Roman"/>
                <w:color w:val="000000"/>
                <w:kern w:val="0"/>
              </w:rPr>
              <w:t>固定资产利用率（</w:t>
            </w:r>
            <w:r>
              <w:rPr>
                <w:rFonts w:ascii="宋体" w:eastAsia="宋体" w:hAnsi="宋体" w:cs="Times New Roman"/>
                <w:color w:val="000000"/>
                <w:kern w:val="0"/>
              </w:rPr>
              <w:t xml:space="preserve">1 </w:t>
            </w:r>
            <w:r>
              <w:rPr>
                <w:rFonts w:ascii="宋体" w:eastAsia="宋体" w:hAnsi="宋体" w:cs="Times New Roman"/>
                <w:color w:val="000000"/>
                <w:kern w:val="0"/>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336" w:line="212" w:lineRule="exact"/>
              <w:ind w:left="60" w:right="60"/>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1</w:t>
            </w:r>
          </w:p>
          <w:p w:rsidR="004E2979" w:rsidRDefault="004E2979">
            <w:pPr>
              <w:widowControl/>
              <w:autoSpaceDE w:val="0"/>
              <w:autoSpaceDN w:val="0"/>
              <w:spacing w:before="116" w:line="212" w:lineRule="exact"/>
              <w:jc w:val="center"/>
              <w:rPr>
                <w:rFonts w:ascii="Cambria" w:eastAsia="MS Mincho" w:hAnsi="Cambria" w:cs="Times New Roman"/>
                <w:kern w:val="0"/>
                <w:sz w:val="22"/>
                <w:lang w:eastAsia="en-US"/>
              </w:rPr>
            </w:pP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宋体" w:eastAsia="宋体" w:hAnsi="宋体" w:cs="Times New Roman"/>
                <w:color w:val="000000"/>
                <w:kern w:val="0"/>
              </w:rPr>
              <w:t>部门实际在用固定资产总额与所有固定资产总额的比率，用以反映和考核部门固定资产使用效率程度。</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宋体" w:eastAsia="宋体" w:hAnsi="宋体" w:cs="Times New Roman"/>
                <w:color w:val="000000"/>
                <w:kern w:val="0"/>
              </w:rPr>
              <w:t>固定资产利用率</w:t>
            </w:r>
            <w:r>
              <w:rPr>
                <w:rFonts w:ascii="宋体" w:eastAsia="宋体" w:hAnsi="宋体" w:cs="Times New Roman"/>
                <w:color w:val="000000"/>
                <w:kern w:val="0"/>
              </w:rPr>
              <w:t>=</w:t>
            </w:r>
            <w:r>
              <w:rPr>
                <w:rFonts w:ascii="宋体" w:eastAsia="宋体" w:hAnsi="宋体" w:cs="Times New Roman"/>
                <w:color w:val="000000"/>
                <w:kern w:val="0"/>
              </w:rPr>
              <w:t>（实际在用固定资产总额</w:t>
            </w:r>
            <w:r>
              <w:rPr>
                <w:rFonts w:ascii="宋体" w:eastAsia="宋体" w:hAnsi="宋体" w:cs="Times New Roman"/>
                <w:color w:val="000000"/>
                <w:kern w:val="0"/>
              </w:rPr>
              <w:t>/</w:t>
            </w:r>
            <w:r>
              <w:rPr>
                <w:rFonts w:ascii="宋体" w:eastAsia="宋体" w:hAnsi="宋体" w:cs="Times New Roman"/>
                <w:color w:val="000000"/>
                <w:kern w:val="0"/>
              </w:rPr>
              <w:t>所有固定资产总额）</w:t>
            </w:r>
            <w:r>
              <w:rPr>
                <w:rFonts w:ascii="宋体" w:eastAsia="宋体" w:hAnsi="宋体" w:cs="Times New Roman"/>
                <w:color w:val="000000"/>
                <w:kern w:val="0"/>
              </w:rPr>
              <w:t>×100%</w:t>
            </w:r>
            <w:r>
              <w:rPr>
                <w:rFonts w:ascii="宋体" w:eastAsia="宋体" w:hAnsi="宋体" w:cs="Times New Roman"/>
                <w:color w:val="000000"/>
                <w:kern w:val="0"/>
              </w:rPr>
              <w:t>。利用率为</w:t>
            </w:r>
            <w:r>
              <w:rPr>
                <w:rFonts w:ascii="宋体" w:eastAsia="宋体" w:hAnsi="宋体" w:cs="Times New Roman"/>
                <w:color w:val="000000"/>
                <w:kern w:val="0"/>
              </w:rPr>
              <w:t xml:space="preserve"> 100%</w:t>
            </w:r>
            <w:r>
              <w:rPr>
                <w:rFonts w:ascii="宋体" w:eastAsia="宋体" w:hAnsi="宋体" w:cs="Times New Roman"/>
                <w:color w:val="000000"/>
                <w:kern w:val="0"/>
              </w:rPr>
              <w:t>的计</w:t>
            </w:r>
            <w:r>
              <w:rPr>
                <w:rFonts w:ascii="宋体" w:eastAsia="宋体" w:hAnsi="宋体" w:cs="Times New Roman"/>
                <w:color w:val="000000"/>
                <w:kern w:val="0"/>
              </w:rPr>
              <w:t xml:space="preserve"> 1 </w:t>
            </w:r>
            <w:r>
              <w:rPr>
                <w:rFonts w:ascii="宋体" w:eastAsia="宋体" w:hAnsi="宋体" w:cs="Times New Roman"/>
                <w:color w:val="000000"/>
                <w:kern w:val="0"/>
              </w:rPr>
              <w:t>分，每降</w:t>
            </w:r>
            <w:r>
              <w:rPr>
                <w:rFonts w:ascii="宋体" w:eastAsia="宋体" w:hAnsi="宋体" w:cs="Times New Roman"/>
                <w:color w:val="000000"/>
                <w:kern w:val="0"/>
              </w:rPr>
              <w:t xml:space="preserve"> 1 </w:t>
            </w:r>
            <w:r>
              <w:rPr>
                <w:rFonts w:ascii="宋体" w:eastAsia="宋体" w:hAnsi="宋体" w:cs="Times New Roman"/>
                <w:color w:val="000000"/>
                <w:kern w:val="0"/>
              </w:rPr>
              <w:t>个百分点扣</w:t>
            </w:r>
            <w:r>
              <w:rPr>
                <w:rFonts w:ascii="宋体" w:eastAsia="宋体" w:hAnsi="宋体" w:cs="Times New Roman"/>
                <w:color w:val="000000"/>
                <w:kern w:val="0"/>
              </w:rPr>
              <w:t xml:space="preserve"> 0.1 </w:t>
            </w:r>
            <w:r>
              <w:rPr>
                <w:rFonts w:ascii="宋体" w:eastAsia="宋体" w:hAnsi="宋体" w:cs="Times New Roman"/>
                <w:color w:val="000000"/>
                <w:kern w:val="0"/>
              </w:rPr>
              <w:t>分，扣完为止。</w:t>
            </w:r>
          </w:p>
        </w:tc>
      </w:tr>
      <w:tr w:rsidR="004E2979">
        <w:tblPrEx>
          <w:jc w:val="center"/>
        </w:tblPrEx>
        <w:trPr>
          <w:trHeight w:hRule="exact" w:val="1210"/>
          <w:jc w:val="center"/>
        </w:trPr>
        <w:tc>
          <w:tcPr>
            <w:tcW w:w="5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1098"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产</w:t>
            </w:r>
          </w:p>
          <w:p w:rsidR="004E2979" w:rsidRDefault="0081035B">
            <w:pPr>
              <w:widowControl/>
              <w:autoSpaceDE w:val="0"/>
              <w:autoSpaceDN w:val="0"/>
              <w:spacing w:before="314" w:line="212" w:lineRule="exact"/>
              <w:jc w:val="center"/>
              <w:rPr>
                <w:rFonts w:ascii="宋体" w:eastAsia="宋体" w:hAnsi="宋体" w:cs="Times New Roman"/>
                <w:color w:val="000000"/>
                <w:kern w:val="0"/>
              </w:rPr>
            </w:pPr>
            <w:r>
              <w:rPr>
                <w:rFonts w:ascii="宋体" w:eastAsia="宋体" w:hAnsi="宋体" w:cs="Times New Roman"/>
                <w:color w:val="000000"/>
                <w:kern w:val="0"/>
                <w:lang w:eastAsia="en-US"/>
              </w:rPr>
              <w:t>出</w:t>
            </w:r>
          </w:p>
          <w:p w:rsidR="004E2979" w:rsidRDefault="0081035B">
            <w:pPr>
              <w:widowControl/>
              <w:autoSpaceDE w:val="0"/>
              <w:autoSpaceDN w:val="0"/>
              <w:spacing w:before="314"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p>
          <w:p w:rsidR="004E2979" w:rsidRDefault="0081035B">
            <w:pPr>
              <w:widowControl/>
              <w:autoSpaceDE w:val="0"/>
              <w:autoSpaceDN w:val="0"/>
              <w:spacing w:before="262" w:line="210" w:lineRule="exact"/>
              <w:jc w:val="center"/>
              <w:rPr>
                <w:rFonts w:ascii="宋体" w:eastAsia="宋体" w:hAnsi="宋体" w:cs="Times New Roman"/>
                <w:color w:val="000000"/>
                <w:kern w:val="0"/>
              </w:rPr>
            </w:pPr>
            <w:r>
              <w:rPr>
                <w:rFonts w:ascii="宋体" w:eastAsia="宋体" w:hAnsi="宋体" w:cs="Times New Roman"/>
                <w:color w:val="000000"/>
                <w:kern w:val="0"/>
                <w:lang w:eastAsia="en-US"/>
              </w:rPr>
              <w:t>分</w:t>
            </w:r>
          </w:p>
          <w:p w:rsidR="004E2979" w:rsidRDefault="0081035B">
            <w:pPr>
              <w:widowControl/>
              <w:autoSpaceDE w:val="0"/>
              <w:autoSpaceDN w:val="0"/>
              <w:spacing w:before="262"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p>
        </w:tc>
        <w:tc>
          <w:tcPr>
            <w:tcW w:w="5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1634" w:line="258" w:lineRule="exact"/>
              <w:jc w:val="center"/>
              <w:rPr>
                <w:rFonts w:ascii="宋体" w:eastAsia="宋体" w:hAnsi="宋体" w:cs="Times New Roman"/>
                <w:color w:val="000000"/>
                <w:kern w:val="0"/>
              </w:rPr>
            </w:pPr>
            <w:r>
              <w:rPr>
                <w:rFonts w:ascii="宋体" w:eastAsia="宋体" w:hAnsi="宋体" w:cs="Times New Roman"/>
                <w:color w:val="000000"/>
                <w:kern w:val="0"/>
                <w:lang w:eastAsia="en-US"/>
              </w:rPr>
              <w:t>职责</w:t>
            </w:r>
          </w:p>
          <w:p w:rsidR="004E2979" w:rsidRDefault="0081035B">
            <w:pPr>
              <w:widowControl/>
              <w:autoSpaceDE w:val="0"/>
              <w:autoSpaceDN w:val="0"/>
              <w:spacing w:before="1634" w:line="258"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履行</w:t>
            </w: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104" w:line="22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实际完成率（</w:t>
            </w:r>
            <w:r>
              <w:rPr>
                <w:rFonts w:ascii="宋体" w:eastAsia="宋体" w:hAnsi="宋体" w:cs="Times New Roman"/>
                <w:color w:val="000000"/>
                <w:kern w:val="0"/>
                <w:lang w:eastAsia="en-US"/>
              </w:rPr>
              <w:t>8</w:t>
            </w:r>
          </w:p>
          <w:p w:rsidR="004E2979" w:rsidRDefault="0081035B">
            <w:pPr>
              <w:widowControl/>
              <w:autoSpaceDE w:val="0"/>
              <w:autoSpaceDN w:val="0"/>
              <w:spacing w:before="8" w:line="212" w:lineRule="exact"/>
              <w:ind w:left="34" w:right="34"/>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336" w:line="212" w:lineRule="exact"/>
              <w:ind w:left="60" w:right="60"/>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8</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宋体" w:eastAsia="宋体" w:hAnsi="宋体" w:cs="Times New Roman"/>
                <w:color w:val="000000"/>
                <w:kern w:val="0"/>
              </w:rPr>
              <w:t>部门履行职责而实际完成工作数与计划工作数的比率，用以反映和考核部门履职工作任务目标的实现程度。</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宋体" w:eastAsia="宋体" w:hAnsi="宋体" w:cs="Times New Roman"/>
                <w:color w:val="000000"/>
                <w:kern w:val="0"/>
              </w:rPr>
              <w:t>实际完成率得分</w:t>
            </w:r>
            <w:r>
              <w:rPr>
                <w:rFonts w:ascii="宋体" w:eastAsia="宋体" w:hAnsi="宋体" w:cs="Times New Roman"/>
                <w:color w:val="000000"/>
                <w:kern w:val="0"/>
              </w:rPr>
              <w:t>=</w:t>
            </w:r>
            <w:r>
              <w:rPr>
                <w:rFonts w:ascii="宋体" w:eastAsia="宋体" w:hAnsi="宋体" w:cs="Times New Roman"/>
                <w:color w:val="000000"/>
                <w:kern w:val="0"/>
              </w:rPr>
              <w:t>完成市委市政府绩效考核得分或上级主管部门考核指标得分</w:t>
            </w:r>
            <w:r>
              <w:rPr>
                <w:rFonts w:ascii="宋体" w:eastAsia="宋体" w:hAnsi="宋体" w:cs="Times New Roman"/>
                <w:color w:val="000000"/>
                <w:kern w:val="0"/>
              </w:rPr>
              <w:t>/</w:t>
            </w:r>
            <w:r>
              <w:rPr>
                <w:rFonts w:ascii="宋体" w:eastAsia="宋体" w:hAnsi="宋体" w:cs="Times New Roman"/>
                <w:color w:val="000000"/>
                <w:kern w:val="0"/>
              </w:rPr>
              <w:t>指标分值</w:t>
            </w:r>
            <w:r>
              <w:rPr>
                <w:rFonts w:ascii="宋体" w:eastAsia="宋体" w:hAnsi="宋体" w:cs="Times New Roman"/>
                <w:color w:val="000000"/>
                <w:kern w:val="0"/>
              </w:rPr>
              <w:t>*8</w:t>
            </w:r>
            <w:r>
              <w:rPr>
                <w:rFonts w:ascii="宋体" w:eastAsia="宋体" w:hAnsi="宋体" w:cs="Times New Roman"/>
                <w:color w:val="000000"/>
                <w:kern w:val="0"/>
              </w:rPr>
              <w:t>分</w:t>
            </w:r>
          </w:p>
        </w:tc>
      </w:tr>
      <w:tr w:rsidR="004E2979">
        <w:tblPrEx>
          <w:jc w:val="center"/>
        </w:tblPrEx>
        <w:trPr>
          <w:trHeight w:hRule="exact" w:val="1182"/>
          <w:jc w:val="center"/>
        </w:trPr>
        <w:tc>
          <w:tcPr>
            <w:tcW w:w="550"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line="276" w:lineRule="auto"/>
              <w:jc w:val="center"/>
              <w:rPr>
                <w:rFonts w:ascii="Cambria" w:eastAsia="MS Mincho" w:hAnsi="Cambria" w:cs="Times New Roman"/>
                <w:kern w:val="0"/>
                <w:sz w:val="22"/>
              </w:rPr>
            </w:pPr>
          </w:p>
        </w:tc>
        <w:tc>
          <w:tcPr>
            <w:tcW w:w="566"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line="276" w:lineRule="auto"/>
              <w:jc w:val="center"/>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108" w:line="22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完成及时率（</w:t>
            </w:r>
            <w:r>
              <w:rPr>
                <w:rFonts w:ascii="宋体" w:eastAsia="宋体" w:hAnsi="宋体" w:cs="Times New Roman"/>
                <w:color w:val="000000"/>
                <w:kern w:val="0"/>
                <w:lang w:eastAsia="en-US"/>
              </w:rPr>
              <w:t>4</w:t>
            </w:r>
          </w:p>
          <w:p w:rsidR="004E2979" w:rsidRDefault="0081035B">
            <w:pPr>
              <w:widowControl/>
              <w:autoSpaceDE w:val="0"/>
              <w:autoSpaceDN w:val="0"/>
              <w:spacing w:before="10" w:line="210" w:lineRule="exact"/>
              <w:ind w:left="34" w:right="34"/>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336" w:line="212" w:lineRule="exact"/>
              <w:ind w:left="60" w:right="60"/>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4</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宋体" w:eastAsia="宋体" w:hAnsi="宋体" w:cs="Times New Roman"/>
                <w:color w:val="000000"/>
                <w:kern w:val="0"/>
              </w:rPr>
              <w:t>部门在规定时限内及时完成的实际工作数与计划工作数的比率</w:t>
            </w:r>
            <w:r>
              <w:rPr>
                <w:rFonts w:ascii="宋体" w:eastAsia="宋体" w:hAnsi="宋体" w:cs="Times New Roman"/>
                <w:color w:val="000000"/>
                <w:kern w:val="0"/>
              </w:rPr>
              <w:t>,</w:t>
            </w:r>
            <w:r>
              <w:rPr>
                <w:rFonts w:ascii="宋体" w:eastAsia="宋体" w:hAnsi="宋体" w:cs="Times New Roman"/>
                <w:color w:val="000000"/>
                <w:kern w:val="0"/>
              </w:rPr>
              <w:t>用以反映和考核部门履职时效目标的实现程度。</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宋体" w:eastAsia="宋体" w:hAnsi="宋体" w:cs="Times New Roman"/>
                <w:color w:val="000000"/>
                <w:kern w:val="0"/>
              </w:rPr>
            </w:pPr>
            <w:r>
              <w:rPr>
                <w:rFonts w:ascii="宋体" w:eastAsia="宋体" w:hAnsi="宋体" w:cs="Times New Roman"/>
                <w:color w:val="000000"/>
                <w:kern w:val="0"/>
              </w:rPr>
              <w:t>完成及时率</w:t>
            </w:r>
            <w:r>
              <w:rPr>
                <w:rFonts w:ascii="宋体" w:eastAsia="宋体" w:hAnsi="宋体" w:cs="Times New Roman"/>
                <w:color w:val="000000"/>
                <w:kern w:val="0"/>
              </w:rPr>
              <w:t>=</w:t>
            </w:r>
            <w:r>
              <w:rPr>
                <w:rFonts w:ascii="宋体" w:eastAsia="宋体" w:hAnsi="宋体" w:cs="Times New Roman"/>
                <w:color w:val="000000"/>
                <w:kern w:val="0"/>
              </w:rPr>
              <w:t>（及时完成实际工作数</w:t>
            </w:r>
            <w:r>
              <w:rPr>
                <w:rFonts w:ascii="宋体" w:eastAsia="宋体" w:hAnsi="宋体" w:cs="Times New Roman"/>
                <w:color w:val="000000"/>
                <w:kern w:val="0"/>
              </w:rPr>
              <w:t>/</w:t>
            </w:r>
            <w:r>
              <w:rPr>
                <w:rFonts w:ascii="宋体" w:eastAsia="宋体" w:hAnsi="宋体" w:cs="Times New Roman"/>
                <w:color w:val="000000"/>
                <w:kern w:val="0"/>
              </w:rPr>
              <w:t>计划工作数）</w:t>
            </w:r>
            <w:r>
              <w:rPr>
                <w:rFonts w:ascii="宋体" w:eastAsia="宋体" w:hAnsi="宋体" w:cs="Times New Roman"/>
                <w:color w:val="000000"/>
                <w:kern w:val="0"/>
              </w:rPr>
              <w:t>×100%</w:t>
            </w:r>
            <w:r>
              <w:rPr>
                <w:rFonts w:ascii="宋体" w:eastAsia="宋体" w:hAnsi="宋体" w:cs="Times New Roman"/>
                <w:color w:val="000000"/>
                <w:kern w:val="0"/>
              </w:rPr>
              <w:t>。</w:t>
            </w:r>
            <w:r>
              <w:rPr>
                <w:rFonts w:ascii="宋体" w:eastAsia="宋体" w:hAnsi="宋体" w:cs="Times New Roman"/>
                <w:color w:val="000000"/>
                <w:kern w:val="0"/>
                <w:lang w:eastAsia="en-US"/>
              </w:rPr>
              <w:t xml:space="preserve">1-4 </w:t>
            </w:r>
            <w:r>
              <w:rPr>
                <w:rFonts w:ascii="宋体" w:eastAsia="宋体" w:hAnsi="宋体" w:cs="Times New Roman"/>
                <w:color w:val="000000"/>
                <w:kern w:val="0"/>
                <w:lang w:eastAsia="en-US"/>
              </w:rPr>
              <w:t>季度各得</w:t>
            </w:r>
            <w:r>
              <w:rPr>
                <w:rFonts w:ascii="宋体" w:eastAsia="宋体" w:hAnsi="宋体" w:cs="Times New Roman"/>
                <w:color w:val="000000"/>
                <w:kern w:val="0"/>
                <w:lang w:eastAsia="en-US"/>
              </w:rPr>
              <w:t xml:space="preserve"> 1 </w:t>
            </w:r>
            <w:r>
              <w:rPr>
                <w:rFonts w:ascii="宋体" w:eastAsia="宋体" w:hAnsi="宋体" w:cs="Times New Roman"/>
                <w:color w:val="000000"/>
                <w:kern w:val="0"/>
                <w:lang w:eastAsia="en-US"/>
              </w:rPr>
              <w:t>分</w:t>
            </w:r>
          </w:p>
          <w:p w:rsidR="004E2979" w:rsidRDefault="004E2979">
            <w:pPr>
              <w:widowControl/>
              <w:autoSpaceDE w:val="0"/>
              <w:autoSpaceDN w:val="0"/>
              <w:ind w:leftChars="20" w:left="42" w:right="113"/>
              <w:rPr>
                <w:rFonts w:ascii="Cambria" w:eastAsia="MS Mincho" w:hAnsi="Cambria" w:cs="Times New Roman"/>
                <w:kern w:val="0"/>
                <w:sz w:val="22"/>
                <w:lang w:eastAsia="en-US"/>
              </w:rPr>
            </w:pPr>
          </w:p>
        </w:tc>
      </w:tr>
      <w:tr w:rsidR="004E2979">
        <w:tblPrEx>
          <w:jc w:val="center"/>
        </w:tblPrEx>
        <w:trPr>
          <w:trHeight w:hRule="exact" w:val="1225"/>
          <w:jc w:val="center"/>
        </w:trPr>
        <w:tc>
          <w:tcPr>
            <w:tcW w:w="550"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line="276" w:lineRule="auto"/>
              <w:jc w:val="center"/>
              <w:rPr>
                <w:rFonts w:ascii="Cambria" w:eastAsia="MS Mincho" w:hAnsi="Cambria" w:cs="Times New Roman"/>
                <w:kern w:val="0"/>
                <w:sz w:val="22"/>
                <w:lang w:eastAsia="en-US"/>
              </w:rPr>
            </w:pPr>
          </w:p>
        </w:tc>
        <w:tc>
          <w:tcPr>
            <w:tcW w:w="566"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line="276" w:lineRule="auto"/>
              <w:jc w:val="center"/>
              <w:rPr>
                <w:rFonts w:ascii="Cambria" w:eastAsia="MS Mincho" w:hAnsi="Cambria" w:cs="Times New Roman"/>
                <w:kern w:val="0"/>
                <w:sz w:val="22"/>
                <w:lang w:eastAsia="en-US"/>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108" w:line="22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质量达标率（</w:t>
            </w:r>
            <w:r>
              <w:rPr>
                <w:rFonts w:ascii="宋体" w:eastAsia="宋体" w:hAnsi="宋体" w:cs="Times New Roman"/>
                <w:color w:val="000000"/>
                <w:kern w:val="0"/>
                <w:lang w:eastAsia="en-US"/>
              </w:rPr>
              <w:t>8</w:t>
            </w:r>
          </w:p>
          <w:p w:rsidR="004E2979" w:rsidRDefault="0081035B">
            <w:pPr>
              <w:widowControl/>
              <w:autoSpaceDE w:val="0"/>
              <w:autoSpaceDN w:val="0"/>
              <w:spacing w:before="10" w:line="210" w:lineRule="exact"/>
              <w:ind w:left="34" w:right="34"/>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336" w:line="212" w:lineRule="exact"/>
              <w:ind w:left="60" w:right="60"/>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6</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宋体" w:eastAsia="宋体" w:hAnsi="宋体" w:cs="Times New Roman"/>
                <w:color w:val="000000"/>
                <w:kern w:val="0"/>
              </w:rPr>
              <w:t>达到质量标准（绩效标准值）的实际工作数与计划工作数的比率</w:t>
            </w:r>
            <w:r>
              <w:rPr>
                <w:rFonts w:ascii="宋体" w:eastAsia="宋体" w:hAnsi="宋体" w:cs="Times New Roman"/>
                <w:color w:val="000000"/>
                <w:kern w:val="0"/>
              </w:rPr>
              <w:t>,</w:t>
            </w:r>
            <w:r>
              <w:rPr>
                <w:rFonts w:ascii="宋体" w:eastAsia="宋体" w:hAnsi="宋体" w:cs="Times New Roman"/>
                <w:color w:val="000000"/>
                <w:kern w:val="0"/>
              </w:rPr>
              <w:t>用以反映和考核部门履职质量目标的实现程度。</w:t>
            </w: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lang w:eastAsia="en-US"/>
              </w:rPr>
            </w:pPr>
            <w:r>
              <w:rPr>
                <w:rFonts w:ascii="宋体" w:eastAsia="宋体" w:hAnsi="宋体" w:cs="Times New Roman"/>
                <w:color w:val="000000"/>
                <w:kern w:val="0"/>
              </w:rPr>
              <w:t>质量达标率</w:t>
            </w:r>
            <w:r>
              <w:rPr>
                <w:rFonts w:ascii="宋体" w:eastAsia="宋体" w:hAnsi="宋体" w:cs="Times New Roman"/>
                <w:color w:val="000000"/>
                <w:kern w:val="0"/>
              </w:rPr>
              <w:t>=</w:t>
            </w:r>
            <w:r>
              <w:rPr>
                <w:rFonts w:ascii="宋体" w:eastAsia="宋体" w:hAnsi="宋体" w:cs="Times New Roman"/>
                <w:color w:val="000000"/>
                <w:kern w:val="0"/>
              </w:rPr>
              <w:t>（质量达标实际工作数</w:t>
            </w:r>
            <w:r>
              <w:rPr>
                <w:rFonts w:ascii="宋体" w:eastAsia="宋体" w:hAnsi="宋体" w:cs="Times New Roman"/>
                <w:color w:val="000000"/>
                <w:kern w:val="0"/>
              </w:rPr>
              <w:t>/</w:t>
            </w:r>
            <w:r>
              <w:rPr>
                <w:rFonts w:ascii="宋体" w:eastAsia="宋体" w:hAnsi="宋体" w:cs="Times New Roman"/>
                <w:color w:val="000000"/>
                <w:kern w:val="0"/>
              </w:rPr>
              <w:t>计划工作数）</w:t>
            </w:r>
            <w:r>
              <w:rPr>
                <w:rFonts w:ascii="宋体" w:eastAsia="宋体" w:hAnsi="宋体" w:cs="Times New Roman"/>
                <w:color w:val="000000"/>
                <w:kern w:val="0"/>
              </w:rPr>
              <w:t>×100%</w:t>
            </w:r>
            <w:r>
              <w:rPr>
                <w:rFonts w:ascii="宋体" w:eastAsia="宋体" w:hAnsi="宋体" w:cs="Times New Roman"/>
                <w:color w:val="000000"/>
                <w:kern w:val="0"/>
              </w:rPr>
              <w:t>。</w:t>
            </w:r>
            <w:r>
              <w:rPr>
                <w:rFonts w:ascii="宋体" w:eastAsia="宋体" w:hAnsi="宋体" w:cs="Times New Roman"/>
                <w:color w:val="000000"/>
                <w:kern w:val="0"/>
                <w:lang w:eastAsia="en-US"/>
              </w:rPr>
              <w:t>实际得分</w:t>
            </w:r>
            <w:r>
              <w:rPr>
                <w:rFonts w:ascii="宋体" w:eastAsia="宋体" w:hAnsi="宋体" w:cs="Times New Roman"/>
                <w:color w:val="000000"/>
                <w:kern w:val="0"/>
                <w:lang w:eastAsia="en-US"/>
              </w:rPr>
              <w:t>=</w:t>
            </w:r>
            <w:r>
              <w:rPr>
                <w:rFonts w:ascii="宋体" w:eastAsia="宋体" w:hAnsi="宋体" w:cs="Times New Roman"/>
                <w:color w:val="000000"/>
                <w:kern w:val="0"/>
                <w:lang w:eastAsia="en-US"/>
              </w:rPr>
              <w:t>达标率</w:t>
            </w:r>
            <w:r>
              <w:rPr>
                <w:rFonts w:ascii="宋体" w:eastAsia="宋体" w:hAnsi="宋体" w:cs="Times New Roman"/>
                <w:color w:val="000000"/>
                <w:kern w:val="0"/>
                <w:lang w:eastAsia="en-US"/>
              </w:rPr>
              <w:t xml:space="preserve">*8 </w:t>
            </w:r>
            <w:r>
              <w:rPr>
                <w:rFonts w:ascii="宋体" w:eastAsia="宋体" w:hAnsi="宋体" w:cs="Times New Roman"/>
                <w:color w:val="000000"/>
                <w:kern w:val="0"/>
                <w:lang w:eastAsia="en-US"/>
              </w:rPr>
              <w:t>分</w:t>
            </w:r>
          </w:p>
        </w:tc>
      </w:tr>
      <w:tr w:rsidR="004E2979">
        <w:tblPrEx>
          <w:jc w:val="center"/>
        </w:tblPrEx>
        <w:trPr>
          <w:trHeight w:hRule="exact" w:val="1120"/>
          <w:jc w:val="center"/>
        </w:trPr>
        <w:tc>
          <w:tcPr>
            <w:tcW w:w="550" w:type="dxa"/>
            <w:vMerge/>
            <w:tcBorders>
              <w:top w:val="single" w:sz="4" w:space="0" w:color="000000"/>
              <w:left w:val="single" w:sz="4" w:space="0" w:color="000000"/>
              <w:bottom w:val="single" w:sz="4" w:space="0" w:color="000000"/>
            </w:tcBorders>
            <w:vAlign w:val="center"/>
          </w:tcPr>
          <w:p w:rsidR="004E2979" w:rsidRDefault="004E2979">
            <w:pPr>
              <w:widowControl/>
              <w:spacing w:after="200" w:line="276" w:lineRule="auto"/>
              <w:jc w:val="center"/>
              <w:rPr>
                <w:rFonts w:ascii="Cambria" w:eastAsia="MS Mincho" w:hAnsi="Cambria" w:cs="Times New Roman"/>
                <w:kern w:val="0"/>
                <w:sz w:val="22"/>
                <w:lang w:eastAsia="en-US"/>
              </w:rPr>
            </w:pPr>
          </w:p>
        </w:tc>
        <w:tc>
          <w:tcPr>
            <w:tcW w:w="566" w:type="dxa"/>
            <w:vMerge/>
            <w:tcBorders>
              <w:top w:val="single" w:sz="4" w:space="0" w:color="000000"/>
              <w:bottom w:val="single" w:sz="4" w:space="0" w:color="000000"/>
              <w:right w:val="single" w:sz="4" w:space="0" w:color="000000"/>
            </w:tcBorders>
            <w:vAlign w:val="center"/>
          </w:tcPr>
          <w:p w:rsidR="004E2979" w:rsidRDefault="004E2979">
            <w:pPr>
              <w:widowControl/>
              <w:spacing w:after="200" w:line="276" w:lineRule="auto"/>
              <w:jc w:val="center"/>
              <w:rPr>
                <w:rFonts w:ascii="Cambria" w:eastAsia="MS Mincho" w:hAnsi="Cambria" w:cs="Times New Roman"/>
                <w:kern w:val="0"/>
                <w:sz w:val="22"/>
                <w:lang w:eastAsia="en-US"/>
              </w:rPr>
            </w:pPr>
          </w:p>
        </w:tc>
        <w:tc>
          <w:tcPr>
            <w:tcW w:w="706"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4E2979" w:rsidRDefault="0081035B">
            <w:pPr>
              <w:widowControl/>
              <w:autoSpaceDE w:val="0"/>
              <w:autoSpaceDN w:val="0"/>
              <w:spacing w:before="4" w:line="210" w:lineRule="exact"/>
              <w:jc w:val="center"/>
              <w:rPr>
                <w:rFonts w:ascii="Cambria" w:eastAsia="MS Mincho" w:hAnsi="Cambria" w:cs="Times New Roman"/>
                <w:kern w:val="0"/>
                <w:sz w:val="22"/>
              </w:rPr>
            </w:pPr>
            <w:r>
              <w:rPr>
                <w:rFonts w:ascii="宋体" w:eastAsia="宋体" w:hAnsi="宋体" w:cs="Times New Roman"/>
                <w:color w:val="000000"/>
                <w:kern w:val="0"/>
              </w:rPr>
              <w:t>重点工</w:t>
            </w:r>
          </w:p>
          <w:p w:rsidR="004E2979" w:rsidRDefault="0081035B">
            <w:pPr>
              <w:widowControl/>
              <w:autoSpaceDE w:val="0"/>
              <w:autoSpaceDN w:val="0"/>
              <w:spacing w:before="10" w:line="212" w:lineRule="exact"/>
              <w:ind w:left="136" w:right="136"/>
              <w:jc w:val="center"/>
              <w:rPr>
                <w:rFonts w:ascii="Cambria" w:eastAsia="MS Mincho" w:hAnsi="Cambria" w:cs="Times New Roman"/>
                <w:kern w:val="0"/>
                <w:sz w:val="22"/>
              </w:rPr>
            </w:pPr>
            <w:r>
              <w:rPr>
                <w:rFonts w:ascii="宋体" w:eastAsia="宋体" w:hAnsi="宋体" w:cs="Times New Roman"/>
                <w:color w:val="000000"/>
                <w:kern w:val="0"/>
              </w:rPr>
              <w:t>作</w:t>
            </w:r>
          </w:p>
          <w:p w:rsidR="004E2979" w:rsidRDefault="0081035B">
            <w:pPr>
              <w:widowControl/>
              <w:autoSpaceDE w:val="0"/>
              <w:autoSpaceDN w:val="0"/>
              <w:spacing w:before="10" w:line="210" w:lineRule="exact"/>
              <w:jc w:val="center"/>
              <w:rPr>
                <w:rFonts w:ascii="Cambria" w:eastAsia="MS Mincho" w:hAnsi="Cambria" w:cs="Times New Roman"/>
                <w:kern w:val="0"/>
                <w:sz w:val="22"/>
              </w:rPr>
            </w:pPr>
            <w:r>
              <w:rPr>
                <w:rFonts w:ascii="宋体" w:eastAsia="宋体" w:hAnsi="宋体" w:cs="Times New Roman"/>
                <w:color w:val="000000"/>
                <w:kern w:val="0"/>
              </w:rPr>
              <w:t>办结率</w:t>
            </w:r>
          </w:p>
          <w:p w:rsidR="004E2979" w:rsidRDefault="0081035B">
            <w:pPr>
              <w:widowControl/>
              <w:autoSpaceDE w:val="0"/>
              <w:autoSpaceDN w:val="0"/>
              <w:spacing w:line="220" w:lineRule="exact"/>
              <w:ind w:left="138" w:right="34"/>
              <w:jc w:val="center"/>
              <w:rPr>
                <w:rFonts w:ascii="宋体" w:eastAsia="宋体" w:hAnsi="宋体" w:cs="Times New Roman"/>
                <w:color w:val="000000"/>
                <w:kern w:val="0"/>
              </w:rPr>
            </w:pPr>
            <w:r>
              <w:rPr>
                <w:rFonts w:ascii="宋体" w:eastAsia="宋体" w:hAnsi="宋体" w:cs="Times New Roman"/>
                <w:color w:val="000000"/>
                <w:kern w:val="0"/>
              </w:rPr>
              <w:t>（</w:t>
            </w:r>
            <w:r>
              <w:rPr>
                <w:rFonts w:ascii="宋体" w:eastAsia="宋体" w:hAnsi="宋体" w:cs="Times New Roman"/>
                <w:color w:val="000000"/>
                <w:kern w:val="0"/>
              </w:rPr>
              <w:t>10</w:t>
            </w:r>
          </w:p>
          <w:p w:rsidR="004E2979" w:rsidRDefault="0081035B">
            <w:pPr>
              <w:widowControl/>
              <w:autoSpaceDE w:val="0"/>
              <w:autoSpaceDN w:val="0"/>
              <w:spacing w:line="220" w:lineRule="exact"/>
              <w:ind w:left="138" w:right="34"/>
              <w:jc w:val="center"/>
              <w:rPr>
                <w:rFonts w:ascii="Cambria" w:eastAsia="MS Mincho" w:hAnsi="Cambria" w:cs="Times New Roman"/>
                <w:kern w:val="0"/>
                <w:sz w:val="22"/>
              </w:rPr>
            </w:pPr>
            <w:r>
              <w:rPr>
                <w:rFonts w:ascii="宋体" w:eastAsia="宋体" w:hAnsi="宋体" w:cs="Times New Roman"/>
                <w:color w:val="000000"/>
                <w:kern w:val="0"/>
              </w:rPr>
              <w:t>分）</w:t>
            </w:r>
          </w:p>
        </w:tc>
        <w:tc>
          <w:tcPr>
            <w:tcW w:w="444"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4E2979" w:rsidRDefault="0081035B">
            <w:pPr>
              <w:widowControl/>
              <w:autoSpaceDE w:val="0"/>
              <w:autoSpaceDN w:val="0"/>
              <w:spacing w:before="448" w:line="210" w:lineRule="exact"/>
              <w:ind w:left="60" w:right="60"/>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8</w:t>
            </w:r>
          </w:p>
        </w:tc>
        <w:tc>
          <w:tcPr>
            <w:tcW w:w="2978" w:type="dxa"/>
            <w:gridSpan w:val="2"/>
            <w:tcBorders>
              <w:top w:val="single" w:sz="4" w:space="0" w:color="000000"/>
              <w:left w:val="single" w:sz="4" w:space="0" w:color="000000"/>
              <w:bottom w:val="single" w:sz="2"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宋体" w:eastAsia="宋体" w:hAnsi="宋体" w:cs="Times New Roman"/>
                <w:color w:val="000000"/>
                <w:kern w:val="0"/>
              </w:rPr>
              <w:t>部门年度重点工作实际完成数与交办或下达数的比率，用以反映部门对重点工作的办理落实程度。</w:t>
            </w:r>
          </w:p>
        </w:tc>
        <w:tc>
          <w:tcPr>
            <w:tcW w:w="4124" w:type="dxa"/>
            <w:tcBorders>
              <w:top w:val="single" w:sz="4" w:space="0" w:color="000000"/>
              <w:left w:val="single" w:sz="2" w:space="0" w:color="000000"/>
              <w:bottom w:val="single" w:sz="2"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宋体" w:eastAsia="宋体" w:hAnsi="宋体" w:cs="Times New Roman"/>
                <w:color w:val="000000"/>
                <w:kern w:val="0"/>
              </w:rPr>
              <w:t>重点工作办结率</w:t>
            </w:r>
            <w:r>
              <w:rPr>
                <w:rFonts w:ascii="宋体" w:eastAsia="宋体" w:hAnsi="宋体" w:cs="Times New Roman"/>
                <w:color w:val="000000"/>
                <w:kern w:val="0"/>
              </w:rPr>
              <w:t>=</w:t>
            </w:r>
            <w:r>
              <w:rPr>
                <w:rFonts w:ascii="宋体" w:eastAsia="宋体" w:hAnsi="宋体" w:cs="Times New Roman"/>
                <w:color w:val="000000"/>
                <w:kern w:val="0"/>
              </w:rPr>
              <w:t>（重点工作实际完成数</w:t>
            </w:r>
            <w:r>
              <w:rPr>
                <w:rFonts w:ascii="宋体" w:eastAsia="宋体" w:hAnsi="宋体" w:cs="Times New Roman"/>
                <w:color w:val="000000"/>
                <w:kern w:val="0"/>
              </w:rPr>
              <w:t>/</w:t>
            </w:r>
            <w:r>
              <w:rPr>
                <w:rFonts w:ascii="宋体" w:eastAsia="宋体" w:hAnsi="宋体" w:cs="Times New Roman"/>
                <w:color w:val="000000"/>
                <w:kern w:val="0"/>
              </w:rPr>
              <w:t>交办或下达数）</w:t>
            </w:r>
            <w:r>
              <w:rPr>
                <w:rFonts w:ascii="宋体" w:eastAsia="宋体" w:hAnsi="宋体" w:cs="Times New Roman"/>
                <w:color w:val="000000"/>
                <w:kern w:val="0"/>
              </w:rPr>
              <w:t>×100%</w:t>
            </w:r>
            <w:r>
              <w:rPr>
                <w:rFonts w:ascii="宋体" w:eastAsia="宋体" w:hAnsi="宋体" w:cs="Times New Roman"/>
                <w:color w:val="000000"/>
                <w:kern w:val="0"/>
              </w:rPr>
              <w:t>。实际得分</w:t>
            </w:r>
            <w:r>
              <w:rPr>
                <w:rFonts w:ascii="宋体" w:eastAsia="宋体" w:hAnsi="宋体" w:cs="Times New Roman"/>
                <w:color w:val="000000"/>
                <w:kern w:val="0"/>
              </w:rPr>
              <w:t>=</w:t>
            </w:r>
            <w:r>
              <w:rPr>
                <w:rFonts w:ascii="宋体" w:eastAsia="宋体" w:hAnsi="宋体" w:cs="Times New Roman"/>
                <w:color w:val="000000"/>
                <w:kern w:val="0"/>
              </w:rPr>
              <w:t>办结率</w:t>
            </w:r>
            <w:r>
              <w:rPr>
                <w:rFonts w:ascii="宋体" w:eastAsia="宋体" w:hAnsi="宋体" w:cs="Times New Roman"/>
                <w:color w:val="000000"/>
                <w:kern w:val="0"/>
              </w:rPr>
              <w:t xml:space="preserve">*10 </w:t>
            </w:r>
            <w:r>
              <w:rPr>
                <w:rFonts w:ascii="宋体" w:eastAsia="宋体" w:hAnsi="宋体" w:cs="Times New Roman"/>
                <w:color w:val="000000"/>
                <w:kern w:val="0"/>
              </w:rPr>
              <w:t>分</w:t>
            </w:r>
          </w:p>
        </w:tc>
      </w:tr>
      <w:tr w:rsidR="004E2979">
        <w:tblPrEx>
          <w:jc w:val="center"/>
        </w:tblPrEx>
        <w:trPr>
          <w:trHeight w:hRule="exact" w:val="680"/>
          <w:jc w:val="center"/>
        </w:trPr>
        <w:tc>
          <w:tcPr>
            <w:tcW w:w="5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988"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效</w:t>
            </w:r>
          </w:p>
          <w:p w:rsidR="004E2979" w:rsidRDefault="0081035B">
            <w:pPr>
              <w:widowControl/>
              <w:autoSpaceDE w:val="0"/>
              <w:autoSpaceDN w:val="0"/>
              <w:spacing w:before="316" w:line="210" w:lineRule="exact"/>
              <w:jc w:val="center"/>
              <w:rPr>
                <w:rFonts w:ascii="宋体" w:eastAsia="宋体" w:hAnsi="宋体" w:cs="Times New Roman"/>
                <w:color w:val="000000"/>
                <w:kern w:val="0"/>
              </w:rPr>
            </w:pPr>
            <w:r>
              <w:rPr>
                <w:rFonts w:ascii="宋体" w:eastAsia="宋体" w:hAnsi="宋体" w:cs="Times New Roman"/>
                <w:color w:val="000000"/>
                <w:kern w:val="0"/>
                <w:lang w:eastAsia="en-US"/>
              </w:rPr>
              <w:t>果</w:t>
            </w:r>
          </w:p>
          <w:p w:rsidR="004E2979" w:rsidRDefault="0081035B">
            <w:pPr>
              <w:widowControl/>
              <w:autoSpaceDE w:val="0"/>
              <w:autoSpaceDN w:val="0"/>
              <w:spacing w:before="316" w:line="21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p>
          <w:p w:rsidR="004E2979" w:rsidRDefault="0081035B">
            <w:pPr>
              <w:widowControl/>
              <w:autoSpaceDE w:val="0"/>
              <w:autoSpaceDN w:val="0"/>
              <w:spacing w:before="266" w:line="208" w:lineRule="exact"/>
              <w:jc w:val="center"/>
              <w:rPr>
                <w:rFonts w:ascii="宋体" w:eastAsia="宋体" w:hAnsi="宋体" w:cs="Times New Roman"/>
                <w:color w:val="000000"/>
                <w:kern w:val="0"/>
              </w:rPr>
            </w:pPr>
            <w:r>
              <w:rPr>
                <w:rFonts w:ascii="宋体" w:eastAsia="宋体" w:hAnsi="宋体" w:cs="Times New Roman"/>
                <w:color w:val="000000"/>
                <w:kern w:val="0"/>
                <w:lang w:eastAsia="en-US"/>
              </w:rPr>
              <w:t>分</w:t>
            </w:r>
          </w:p>
          <w:p w:rsidR="004E2979" w:rsidRDefault="0081035B">
            <w:pPr>
              <w:widowControl/>
              <w:autoSpaceDE w:val="0"/>
              <w:autoSpaceDN w:val="0"/>
              <w:spacing w:before="266" w:line="208"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p>
        </w:tc>
        <w:tc>
          <w:tcPr>
            <w:tcW w:w="5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742" w:line="780" w:lineRule="exact"/>
              <w:jc w:val="center"/>
              <w:rPr>
                <w:rFonts w:ascii="宋体" w:eastAsia="宋体" w:hAnsi="宋体" w:cs="Times New Roman"/>
                <w:color w:val="000000"/>
                <w:kern w:val="0"/>
              </w:rPr>
            </w:pPr>
            <w:r>
              <w:rPr>
                <w:rFonts w:ascii="宋体" w:eastAsia="宋体" w:hAnsi="宋体" w:cs="Times New Roman"/>
                <w:color w:val="000000"/>
                <w:kern w:val="0"/>
                <w:lang w:eastAsia="en-US"/>
              </w:rPr>
              <w:t>履职</w:t>
            </w:r>
          </w:p>
          <w:p w:rsidR="004E2979" w:rsidRDefault="0081035B">
            <w:pPr>
              <w:widowControl/>
              <w:autoSpaceDE w:val="0"/>
              <w:autoSpaceDN w:val="0"/>
              <w:spacing w:before="742" w:line="780"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分）</w:t>
            </w:r>
          </w:p>
          <w:p w:rsidR="004E2979" w:rsidRDefault="0081035B">
            <w:pPr>
              <w:widowControl/>
              <w:autoSpaceDE w:val="0"/>
              <w:autoSpaceDN w:val="0"/>
              <w:spacing w:line="132" w:lineRule="atLeast"/>
              <w:jc w:val="center"/>
              <w:rPr>
                <w:rFonts w:ascii="宋体" w:eastAsia="宋体" w:hAnsi="宋体" w:cs="Times New Roman"/>
                <w:color w:val="000000"/>
                <w:kern w:val="0"/>
              </w:rPr>
            </w:pPr>
            <w:r>
              <w:rPr>
                <w:rFonts w:ascii="宋体" w:eastAsia="宋体" w:hAnsi="宋体" w:cs="Times New Roman"/>
                <w:color w:val="000000"/>
                <w:kern w:val="0"/>
                <w:lang w:eastAsia="en-US"/>
              </w:rPr>
              <w:t>效益</w:t>
            </w:r>
          </w:p>
          <w:p w:rsidR="004E2979" w:rsidRDefault="0081035B">
            <w:pPr>
              <w:widowControl/>
              <w:autoSpaceDE w:val="0"/>
              <w:autoSpaceDN w:val="0"/>
              <w:spacing w:line="132" w:lineRule="atLeas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w:t>
            </w:r>
            <w:r>
              <w:rPr>
                <w:rFonts w:ascii="宋体" w:eastAsia="宋体" w:hAnsi="宋体" w:cs="Times New Roman"/>
                <w:color w:val="000000"/>
                <w:kern w:val="0"/>
                <w:lang w:eastAsia="en-US"/>
              </w:rPr>
              <w:t>20</w:t>
            </w:r>
          </w:p>
        </w:tc>
        <w:tc>
          <w:tcPr>
            <w:tcW w:w="706"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tabs>
                <w:tab w:val="left" w:pos="84"/>
                <w:tab w:val="left" w:pos="138"/>
              </w:tabs>
              <w:autoSpaceDE w:val="0"/>
              <w:autoSpaceDN w:val="0"/>
              <w:spacing w:line="218" w:lineRule="exact"/>
              <w:ind w:left="32" w:right="28"/>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经济效</w:t>
            </w:r>
            <w:r>
              <w:rPr>
                <w:rFonts w:ascii="Cambria" w:eastAsia="MS Mincho" w:hAnsi="Cambria" w:cs="Times New Roman"/>
                <w:kern w:val="0"/>
                <w:sz w:val="22"/>
                <w:lang w:eastAsia="en-US"/>
              </w:rPr>
              <w:tab/>
            </w:r>
            <w:r>
              <w:rPr>
                <w:rFonts w:ascii="宋体" w:eastAsia="宋体" w:hAnsi="宋体" w:cs="Times New Roman"/>
                <w:color w:val="000000"/>
                <w:kern w:val="0"/>
                <w:lang w:eastAsia="en-US"/>
              </w:rPr>
              <w:t>益（</w:t>
            </w:r>
            <w:r>
              <w:rPr>
                <w:rFonts w:ascii="宋体" w:eastAsia="宋体" w:hAnsi="宋体" w:cs="Times New Roman"/>
                <w:color w:val="000000"/>
                <w:kern w:val="0"/>
                <w:lang w:eastAsia="en-US"/>
              </w:rPr>
              <w:t>5</w:t>
            </w:r>
            <w:r>
              <w:rPr>
                <w:rFonts w:ascii="Cambria" w:eastAsia="MS Mincho" w:hAnsi="Cambria" w:cs="Times New Roman"/>
                <w:kern w:val="0"/>
                <w:sz w:val="22"/>
                <w:lang w:eastAsia="en-US"/>
              </w:rPr>
              <w:tab/>
            </w:r>
            <w:r>
              <w:rPr>
                <w:rFonts w:ascii="Cambria" w:eastAsia="MS Mincho" w:hAnsi="Cambria" w:cs="Times New Roman"/>
                <w:kern w:val="0"/>
                <w:sz w:val="22"/>
                <w:lang w:eastAsia="en-US"/>
              </w:rPr>
              <w:tab/>
            </w:r>
            <w:r>
              <w:rPr>
                <w:rFonts w:ascii="宋体" w:eastAsia="宋体" w:hAnsi="宋体" w:cs="Times New Roman"/>
                <w:color w:val="000000"/>
                <w:kern w:val="0"/>
                <w:lang w:eastAsia="en-US"/>
              </w:rPr>
              <w:t>分）</w:t>
            </w:r>
          </w:p>
        </w:tc>
        <w:tc>
          <w:tcPr>
            <w:tcW w:w="444"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228" w:line="210" w:lineRule="exact"/>
              <w:ind w:left="60" w:right="60"/>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5</w:t>
            </w:r>
          </w:p>
        </w:tc>
        <w:tc>
          <w:tcPr>
            <w:tcW w:w="2978" w:type="dxa"/>
            <w:gridSpan w:val="2"/>
            <w:tcBorders>
              <w:top w:val="single" w:sz="2"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宋体" w:eastAsia="宋体" w:hAnsi="宋体" w:cs="Times New Roman"/>
                <w:color w:val="000000"/>
                <w:kern w:val="0"/>
              </w:rPr>
              <w:t>部门履行职责对经济发展所带来的直接或间接影响。</w:t>
            </w:r>
          </w:p>
        </w:tc>
        <w:tc>
          <w:tcPr>
            <w:tcW w:w="4124" w:type="dxa"/>
            <w:vMerge w:val="restart"/>
            <w:tcBorders>
              <w:top w:val="single" w:sz="2" w:space="0" w:color="000000"/>
              <w:left w:val="single" w:sz="2" w:space="0" w:color="000000"/>
              <w:bottom w:val="single" w:sz="2"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宋体" w:eastAsia="宋体" w:hAnsi="宋体" w:cs="Times New Roman"/>
                <w:color w:val="000000"/>
                <w:kern w:val="0"/>
              </w:rPr>
              <w:t>按经济效益实现程度计算得分（</w:t>
            </w:r>
            <w:r>
              <w:rPr>
                <w:rFonts w:ascii="宋体" w:eastAsia="宋体" w:hAnsi="宋体" w:cs="Times New Roman"/>
                <w:color w:val="000000"/>
                <w:kern w:val="0"/>
              </w:rPr>
              <w:t xml:space="preserve">5 </w:t>
            </w:r>
            <w:r>
              <w:rPr>
                <w:rFonts w:ascii="宋体" w:eastAsia="宋体" w:hAnsi="宋体" w:cs="Times New Roman"/>
                <w:color w:val="000000"/>
                <w:kern w:val="0"/>
              </w:rPr>
              <w:t>分）；按社会效益实现程度计算得分（</w:t>
            </w:r>
            <w:r>
              <w:rPr>
                <w:rFonts w:ascii="宋体" w:eastAsia="宋体" w:hAnsi="宋体" w:cs="Times New Roman"/>
                <w:color w:val="000000"/>
                <w:kern w:val="0"/>
              </w:rPr>
              <w:t xml:space="preserve">5 </w:t>
            </w:r>
            <w:r>
              <w:rPr>
                <w:rFonts w:ascii="宋体" w:eastAsia="宋体" w:hAnsi="宋体" w:cs="Times New Roman"/>
                <w:color w:val="000000"/>
                <w:kern w:val="0"/>
              </w:rPr>
              <w:t>分）；按生态效益实现程度计算得分（</w:t>
            </w:r>
            <w:r>
              <w:rPr>
                <w:rFonts w:ascii="宋体" w:eastAsia="宋体" w:hAnsi="宋体" w:cs="Times New Roman"/>
                <w:color w:val="000000"/>
                <w:kern w:val="0"/>
              </w:rPr>
              <w:t xml:space="preserve">5 </w:t>
            </w:r>
            <w:r>
              <w:rPr>
                <w:rFonts w:ascii="宋体" w:eastAsia="宋体" w:hAnsi="宋体" w:cs="Times New Roman"/>
                <w:color w:val="000000"/>
                <w:kern w:val="0"/>
              </w:rPr>
              <w:t>分）</w:t>
            </w:r>
          </w:p>
        </w:tc>
      </w:tr>
      <w:tr w:rsidR="004E2979">
        <w:tblPrEx>
          <w:jc w:val="center"/>
        </w:tblPrEx>
        <w:trPr>
          <w:trHeight w:hRule="exact" w:val="680"/>
          <w:jc w:val="center"/>
        </w:trPr>
        <w:tc>
          <w:tcPr>
            <w:tcW w:w="550"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line="276" w:lineRule="auto"/>
              <w:jc w:val="center"/>
              <w:rPr>
                <w:rFonts w:ascii="Cambria" w:eastAsia="MS Mincho" w:hAnsi="Cambria" w:cs="Times New Roman"/>
                <w:kern w:val="0"/>
                <w:sz w:val="22"/>
              </w:rPr>
            </w:pPr>
          </w:p>
        </w:tc>
        <w:tc>
          <w:tcPr>
            <w:tcW w:w="566"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line="276" w:lineRule="auto"/>
              <w:jc w:val="center"/>
              <w:rPr>
                <w:rFonts w:ascii="Cambria" w:eastAsia="MS Mincho" w:hAnsi="Cambria" w:cs="Times New Roman"/>
                <w:kern w:val="0"/>
                <w:sz w:val="22"/>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tabs>
                <w:tab w:val="left" w:pos="84"/>
                <w:tab w:val="left" w:pos="138"/>
              </w:tabs>
              <w:autoSpaceDE w:val="0"/>
              <w:autoSpaceDN w:val="0"/>
              <w:spacing w:line="220" w:lineRule="exact"/>
              <w:ind w:left="32" w:right="28"/>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社会效</w:t>
            </w:r>
            <w:r>
              <w:rPr>
                <w:rFonts w:ascii="Cambria" w:eastAsia="MS Mincho" w:hAnsi="Cambria" w:cs="Times New Roman"/>
                <w:kern w:val="0"/>
                <w:sz w:val="22"/>
                <w:lang w:eastAsia="en-US"/>
              </w:rPr>
              <w:tab/>
            </w:r>
            <w:r>
              <w:rPr>
                <w:rFonts w:ascii="宋体" w:eastAsia="宋体" w:hAnsi="宋体" w:cs="Times New Roman"/>
                <w:color w:val="000000"/>
                <w:kern w:val="0"/>
                <w:lang w:eastAsia="en-US"/>
              </w:rPr>
              <w:t>益（</w:t>
            </w:r>
            <w:r>
              <w:rPr>
                <w:rFonts w:ascii="宋体" w:eastAsia="宋体" w:hAnsi="宋体" w:cs="Times New Roman"/>
                <w:color w:val="000000"/>
                <w:kern w:val="0"/>
                <w:lang w:eastAsia="en-US"/>
              </w:rPr>
              <w:t>5</w:t>
            </w:r>
            <w:r>
              <w:rPr>
                <w:rFonts w:ascii="Cambria" w:eastAsia="MS Mincho" w:hAnsi="Cambria" w:cs="Times New Roman"/>
                <w:kern w:val="0"/>
                <w:sz w:val="22"/>
                <w:lang w:eastAsia="en-US"/>
              </w:rPr>
              <w:tab/>
            </w:r>
            <w:r>
              <w:rPr>
                <w:rFonts w:ascii="Cambria" w:eastAsia="MS Mincho" w:hAnsi="Cambria" w:cs="Times New Roman"/>
                <w:kern w:val="0"/>
                <w:sz w:val="22"/>
                <w:lang w:eastAsia="en-US"/>
              </w:rPr>
              <w:tab/>
            </w:r>
            <w:r>
              <w:rPr>
                <w:rFonts w:ascii="宋体" w:eastAsia="宋体" w:hAnsi="宋体" w:cs="Times New Roman"/>
                <w:color w:val="000000"/>
                <w:kern w:val="0"/>
                <w:lang w:eastAsia="en-US"/>
              </w:rPr>
              <w:t>分）</w:t>
            </w: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224" w:line="212" w:lineRule="exact"/>
              <w:ind w:left="60" w:right="60"/>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5</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宋体" w:eastAsia="宋体" w:hAnsi="宋体" w:cs="Times New Roman"/>
                <w:color w:val="000000"/>
                <w:kern w:val="0"/>
              </w:rPr>
              <w:t>部门履行职责对社会发展所带来的直接或间接影响。</w:t>
            </w:r>
          </w:p>
        </w:tc>
        <w:tc>
          <w:tcPr>
            <w:tcW w:w="4124" w:type="dxa"/>
            <w:vMerge/>
            <w:tcBorders>
              <w:top w:val="single" w:sz="2" w:space="0" w:color="000000"/>
              <w:left w:val="single" w:sz="2" w:space="0" w:color="000000"/>
              <w:bottom w:val="single" w:sz="2" w:space="0" w:color="000000"/>
              <w:right w:val="single" w:sz="2" w:space="0" w:color="000000"/>
            </w:tcBorders>
            <w:vAlign w:val="center"/>
          </w:tcPr>
          <w:p w:rsidR="004E2979" w:rsidRDefault="004E2979">
            <w:pPr>
              <w:widowControl/>
              <w:spacing w:after="200"/>
              <w:ind w:leftChars="20" w:left="42" w:right="113"/>
              <w:rPr>
                <w:rFonts w:ascii="Cambria" w:eastAsia="MS Mincho" w:hAnsi="Cambria" w:cs="Times New Roman"/>
                <w:kern w:val="0"/>
                <w:sz w:val="22"/>
              </w:rPr>
            </w:pPr>
          </w:p>
        </w:tc>
      </w:tr>
      <w:tr w:rsidR="004E2979">
        <w:tblPrEx>
          <w:jc w:val="center"/>
        </w:tblPrEx>
        <w:trPr>
          <w:trHeight w:hRule="exact" w:val="680"/>
          <w:jc w:val="center"/>
        </w:trPr>
        <w:tc>
          <w:tcPr>
            <w:tcW w:w="550"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line="276" w:lineRule="auto"/>
              <w:jc w:val="center"/>
              <w:rPr>
                <w:rFonts w:ascii="Cambria" w:eastAsia="MS Mincho" w:hAnsi="Cambria" w:cs="Times New Roman"/>
                <w:kern w:val="0"/>
                <w:sz w:val="22"/>
              </w:rPr>
            </w:pPr>
          </w:p>
        </w:tc>
        <w:tc>
          <w:tcPr>
            <w:tcW w:w="566"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line="276" w:lineRule="auto"/>
              <w:jc w:val="center"/>
              <w:rPr>
                <w:rFonts w:ascii="Cambria" w:eastAsia="MS Mincho" w:hAnsi="Cambria" w:cs="Times New Roman"/>
                <w:kern w:val="0"/>
                <w:sz w:val="22"/>
              </w:rPr>
            </w:pPr>
          </w:p>
        </w:tc>
        <w:tc>
          <w:tcPr>
            <w:tcW w:w="706"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4E2979" w:rsidRDefault="0081035B">
            <w:pPr>
              <w:widowControl/>
              <w:tabs>
                <w:tab w:val="left" w:pos="84"/>
                <w:tab w:val="left" w:pos="138"/>
              </w:tabs>
              <w:autoSpaceDE w:val="0"/>
              <w:autoSpaceDN w:val="0"/>
              <w:spacing w:line="220" w:lineRule="exact"/>
              <w:ind w:left="32" w:right="28"/>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生态效</w:t>
            </w:r>
            <w:r>
              <w:rPr>
                <w:rFonts w:ascii="Cambria" w:eastAsia="MS Mincho" w:hAnsi="Cambria" w:cs="Times New Roman"/>
                <w:kern w:val="0"/>
                <w:sz w:val="22"/>
                <w:lang w:eastAsia="en-US"/>
              </w:rPr>
              <w:tab/>
            </w:r>
            <w:r>
              <w:rPr>
                <w:rFonts w:ascii="宋体" w:eastAsia="宋体" w:hAnsi="宋体" w:cs="Times New Roman"/>
                <w:color w:val="000000"/>
                <w:kern w:val="0"/>
                <w:lang w:eastAsia="en-US"/>
              </w:rPr>
              <w:t>益（</w:t>
            </w:r>
            <w:r>
              <w:rPr>
                <w:rFonts w:ascii="宋体" w:eastAsia="宋体" w:hAnsi="宋体" w:cs="Times New Roman"/>
                <w:color w:val="000000"/>
                <w:kern w:val="0"/>
                <w:lang w:eastAsia="en-US"/>
              </w:rPr>
              <w:t>5</w:t>
            </w:r>
            <w:r>
              <w:rPr>
                <w:rFonts w:ascii="Cambria" w:eastAsia="MS Mincho" w:hAnsi="Cambria" w:cs="Times New Roman"/>
                <w:kern w:val="0"/>
                <w:sz w:val="22"/>
                <w:lang w:eastAsia="en-US"/>
              </w:rPr>
              <w:tab/>
            </w:r>
            <w:r>
              <w:rPr>
                <w:rFonts w:ascii="Cambria" w:eastAsia="MS Mincho" w:hAnsi="Cambria" w:cs="Times New Roman"/>
                <w:kern w:val="0"/>
                <w:sz w:val="22"/>
                <w:lang w:eastAsia="en-US"/>
              </w:rPr>
              <w:tab/>
            </w:r>
            <w:r>
              <w:rPr>
                <w:rFonts w:ascii="宋体" w:eastAsia="宋体" w:hAnsi="宋体" w:cs="Times New Roman"/>
                <w:color w:val="000000"/>
                <w:kern w:val="0"/>
                <w:lang w:eastAsia="en-US"/>
              </w:rPr>
              <w:t>分）</w:t>
            </w:r>
          </w:p>
        </w:tc>
        <w:tc>
          <w:tcPr>
            <w:tcW w:w="444"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4E2979" w:rsidRDefault="0081035B">
            <w:pPr>
              <w:widowControl/>
              <w:autoSpaceDE w:val="0"/>
              <w:autoSpaceDN w:val="0"/>
              <w:spacing w:before="224" w:line="212" w:lineRule="exact"/>
              <w:ind w:left="60" w:right="60"/>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5</w:t>
            </w:r>
          </w:p>
        </w:tc>
        <w:tc>
          <w:tcPr>
            <w:tcW w:w="2978" w:type="dxa"/>
            <w:gridSpan w:val="2"/>
            <w:tcBorders>
              <w:top w:val="single" w:sz="4" w:space="0" w:color="000000"/>
              <w:left w:val="single" w:sz="4" w:space="0" w:color="000000"/>
              <w:bottom w:val="single" w:sz="2"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宋体" w:eastAsia="宋体" w:hAnsi="宋体" w:cs="Times New Roman"/>
                <w:color w:val="000000"/>
                <w:kern w:val="0"/>
              </w:rPr>
              <w:t>部门履行职责对生态环境所带来的直接或间接影响。</w:t>
            </w:r>
          </w:p>
        </w:tc>
        <w:tc>
          <w:tcPr>
            <w:tcW w:w="4124" w:type="dxa"/>
            <w:vMerge/>
            <w:tcBorders>
              <w:top w:val="single" w:sz="2" w:space="0" w:color="000000"/>
              <w:left w:val="single" w:sz="2" w:space="0" w:color="000000"/>
              <w:bottom w:val="single" w:sz="2" w:space="0" w:color="000000"/>
              <w:right w:val="single" w:sz="2" w:space="0" w:color="000000"/>
            </w:tcBorders>
            <w:vAlign w:val="center"/>
          </w:tcPr>
          <w:p w:rsidR="004E2979" w:rsidRDefault="004E2979">
            <w:pPr>
              <w:widowControl/>
              <w:spacing w:after="200"/>
              <w:ind w:leftChars="20" w:left="42" w:right="113"/>
              <w:rPr>
                <w:rFonts w:ascii="Cambria" w:eastAsia="MS Mincho" w:hAnsi="Cambria" w:cs="Times New Roman"/>
                <w:kern w:val="0"/>
                <w:sz w:val="22"/>
              </w:rPr>
            </w:pPr>
          </w:p>
        </w:tc>
      </w:tr>
      <w:tr w:rsidR="004E2979">
        <w:tblPrEx>
          <w:jc w:val="center"/>
        </w:tblPrEx>
        <w:trPr>
          <w:trHeight w:hRule="exact" w:val="1562"/>
          <w:jc w:val="center"/>
        </w:trPr>
        <w:tc>
          <w:tcPr>
            <w:tcW w:w="550"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line="276" w:lineRule="auto"/>
              <w:jc w:val="center"/>
              <w:rPr>
                <w:rFonts w:ascii="Cambria" w:eastAsia="MS Mincho" w:hAnsi="Cambria" w:cs="Times New Roman"/>
                <w:kern w:val="0"/>
                <w:sz w:val="22"/>
              </w:rPr>
            </w:pPr>
          </w:p>
        </w:tc>
        <w:tc>
          <w:tcPr>
            <w:tcW w:w="566" w:type="dxa"/>
            <w:vMerge/>
            <w:tcBorders>
              <w:top w:val="single" w:sz="4" w:space="0" w:color="000000"/>
              <w:left w:val="single" w:sz="4" w:space="0" w:color="000000"/>
              <w:bottom w:val="single" w:sz="4" w:space="0" w:color="000000"/>
              <w:right w:val="single" w:sz="4" w:space="0" w:color="000000"/>
            </w:tcBorders>
            <w:vAlign w:val="center"/>
          </w:tcPr>
          <w:p w:rsidR="004E2979" w:rsidRDefault="004E2979">
            <w:pPr>
              <w:widowControl/>
              <w:spacing w:after="200" w:line="276" w:lineRule="auto"/>
              <w:jc w:val="center"/>
              <w:rPr>
                <w:rFonts w:ascii="Cambria" w:eastAsia="MS Mincho" w:hAnsi="Cambria" w:cs="Times New Roman"/>
                <w:kern w:val="0"/>
                <w:sz w:val="22"/>
              </w:rPr>
            </w:pPr>
          </w:p>
        </w:tc>
        <w:tc>
          <w:tcPr>
            <w:tcW w:w="706"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6" w:line="212" w:lineRule="exact"/>
              <w:jc w:val="center"/>
              <w:rPr>
                <w:rFonts w:ascii="Cambria" w:eastAsia="MS Mincho" w:hAnsi="Cambria" w:cs="Times New Roman"/>
                <w:kern w:val="0"/>
                <w:sz w:val="22"/>
              </w:rPr>
            </w:pPr>
            <w:r>
              <w:rPr>
                <w:rFonts w:ascii="宋体" w:eastAsia="宋体" w:hAnsi="宋体" w:cs="Times New Roman"/>
                <w:color w:val="000000"/>
                <w:kern w:val="0"/>
              </w:rPr>
              <w:t>社会公</w:t>
            </w:r>
          </w:p>
          <w:p w:rsidR="004E2979" w:rsidRDefault="0081035B">
            <w:pPr>
              <w:widowControl/>
              <w:autoSpaceDE w:val="0"/>
              <w:autoSpaceDN w:val="0"/>
              <w:spacing w:before="10" w:line="210" w:lineRule="exact"/>
              <w:ind w:left="136" w:right="136"/>
              <w:jc w:val="center"/>
              <w:rPr>
                <w:rFonts w:ascii="Cambria" w:eastAsia="MS Mincho" w:hAnsi="Cambria" w:cs="Times New Roman"/>
                <w:kern w:val="0"/>
                <w:sz w:val="22"/>
              </w:rPr>
            </w:pPr>
            <w:r>
              <w:rPr>
                <w:rFonts w:ascii="宋体" w:eastAsia="宋体" w:hAnsi="宋体" w:cs="Times New Roman"/>
                <w:color w:val="000000"/>
                <w:kern w:val="0"/>
              </w:rPr>
              <w:t>众</w:t>
            </w:r>
          </w:p>
          <w:p w:rsidR="004E2979" w:rsidRDefault="0081035B">
            <w:pPr>
              <w:widowControl/>
              <w:autoSpaceDE w:val="0"/>
              <w:autoSpaceDN w:val="0"/>
              <w:spacing w:before="8" w:line="212" w:lineRule="exact"/>
              <w:jc w:val="center"/>
              <w:rPr>
                <w:rFonts w:ascii="Cambria" w:eastAsia="MS Mincho" w:hAnsi="Cambria" w:cs="Times New Roman"/>
                <w:kern w:val="0"/>
                <w:sz w:val="22"/>
              </w:rPr>
            </w:pPr>
            <w:r>
              <w:rPr>
                <w:rFonts w:ascii="宋体" w:eastAsia="宋体" w:hAnsi="宋体" w:cs="Times New Roman"/>
                <w:color w:val="000000"/>
                <w:kern w:val="0"/>
              </w:rPr>
              <w:t>或服务</w:t>
            </w:r>
          </w:p>
          <w:p w:rsidR="004E2979" w:rsidRDefault="0081035B">
            <w:pPr>
              <w:widowControl/>
              <w:autoSpaceDE w:val="0"/>
              <w:autoSpaceDN w:val="0"/>
              <w:spacing w:before="8" w:line="212" w:lineRule="exact"/>
              <w:ind w:left="136" w:right="136"/>
              <w:jc w:val="center"/>
              <w:rPr>
                <w:rFonts w:ascii="Cambria" w:eastAsia="MS Mincho" w:hAnsi="Cambria" w:cs="Times New Roman"/>
                <w:kern w:val="0"/>
                <w:sz w:val="22"/>
              </w:rPr>
            </w:pPr>
            <w:r>
              <w:rPr>
                <w:rFonts w:ascii="宋体" w:eastAsia="宋体" w:hAnsi="宋体" w:cs="Times New Roman"/>
                <w:color w:val="000000"/>
                <w:kern w:val="0"/>
              </w:rPr>
              <w:t>对</w:t>
            </w:r>
          </w:p>
          <w:p w:rsidR="004E2979" w:rsidRDefault="0081035B">
            <w:pPr>
              <w:widowControl/>
              <w:tabs>
                <w:tab w:val="left" w:pos="84"/>
                <w:tab w:val="left" w:pos="138"/>
              </w:tabs>
              <w:autoSpaceDE w:val="0"/>
              <w:autoSpaceDN w:val="0"/>
              <w:spacing w:line="220" w:lineRule="exact"/>
              <w:ind w:left="32" w:right="28"/>
              <w:jc w:val="center"/>
              <w:rPr>
                <w:rFonts w:ascii="Cambria" w:eastAsia="MS Mincho" w:hAnsi="Cambria" w:cs="Times New Roman"/>
                <w:kern w:val="0"/>
                <w:sz w:val="22"/>
              </w:rPr>
            </w:pPr>
            <w:r>
              <w:rPr>
                <w:rFonts w:ascii="宋体" w:eastAsia="宋体" w:hAnsi="宋体" w:cs="Times New Roman"/>
                <w:color w:val="000000"/>
                <w:kern w:val="0"/>
              </w:rPr>
              <w:t>象满意</w:t>
            </w:r>
            <w:r>
              <w:rPr>
                <w:rFonts w:ascii="Cambria" w:eastAsia="MS Mincho" w:hAnsi="Cambria" w:cs="Times New Roman"/>
                <w:kern w:val="0"/>
                <w:sz w:val="22"/>
              </w:rPr>
              <w:tab/>
            </w:r>
            <w:r>
              <w:rPr>
                <w:rFonts w:ascii="宋体" w:eastAsia="宋体" w:hAnsi="宋体" w:cs="Times New Roman"/>
                <w:color w:val="000000"/>
                <w:kern w:val="0"/>
              </w:rPr>
              <w:t>度（</w:t>
            </w:r>
            <w:r>
              <w:rPr>
                <w:rFonts w:ascii="宋体" w:eastAsia="宋体" w:hAnsi="宋体" w:cs="Times New Roman"/>
                <w:color w:val="000000"/>
                <w:kern w:val="0"/>
              </w:rPr>
              <w:t>5</w:t>
            </w:r>
            <w:r>
              <w:rPr>
                <w:rFonts w:ascii="Cambria" w:eastAsia="MS Mincho" w:hAnsi="Cambria" w:cs="Times New Roman"/>
                <w:kern w:val="0"/>
                <w:sz w:val="22"/>
              </w:rPr>
              <w:tab/>
            </w:r>
            <w:r>
              <w:rPr>
                <w:rFonts w:ascii="Cambria" w:eastAsia="MS Mincho" w:hAnsi="Cambria" w:cs="Times New Roman"/>
                <w:kern w:val="0"/>
                <w:sz w:val="22"/>
              </w:rPr>
              <w:tab/>
            </w:r>
            <w:r>
              <w:rPr>
                <w:rFonts w:ascii="宋体" w:eastAsia="宋体" w:hAnsi="宋体" w:cs="Times New Roman"/>
                <w:color w:val="000000"/>
                <w:kern w:val="0"/>
              </w:rPr>
              <w:t>分）</w:t>
            </w:r>
          </w:p>
        </w:tc>
        <w:tc>
          <w:tcPr>
            <w:tcW w:w="444"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666" w:line="212" w:lineRule="exact"/>
              <w:ind w:left="60" w:right="60"/>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5</w:t>
            </w:r>
          </w:p>
        </w:tc>
        <w:tc>
          <w:tcPr>
            <w:tcW w:w="2978" w:type="dxa"/>
            <w:gridSpan w:val="2"/>
            <w:tcBorders>
              <w:top w:val="single" w:sz="2" w:space="0" w:color="000000"/>
              <w:left w:val="single" w:sz="4"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宋体" w:eastAsia="宋体" w:hAnsi="宋体" w:cs="Times New Roman"/>
                <w:color w:val="000000"/>
                <w:kern w:val="0"/>
              </w:rPr>
              <w:t>社会公众或部门的服务对象对部门履职效果的满意程度。</w:t>
            </w:r>
          </w:p>
        </w:tc>
        <w:tc>
          <w:tcPr>
            <w:tcW w:w="4124" w:type="dxa"/>
            <w:tcBorders>
              <w:top w:val="single" w:sz="2" w:space="0" w:color="000000"/>
              <w:left w:val="single" w:sz="2" w:space="0" w:color="000000"/>
              <w:bottom w:val="single" w:sz="4" w:space="0" w:color="000000"/>
              <w:right w:val="single" w:sz="2" w:space="0" w:color="000000"/>
            </w:tcBorders>
            <w:tcMar>
              <w:left w:w="0" w:type="dxa"/>
              <w:right w:w="0" w:type="dxa"/>
            </w:tcMar>
            <w:vAlign w:val="center"/>
          </w:tcPr>
          <w:p w:rsidR="004E2979" w:rsidRDefault="0081035B">
            <w:pPr>
              <w:widowControl/>
              <w:autoSpaceDE w:val="0"/>
              <w:autoSpaceDN w:val="0"/>
              <w:ind w:leftChars="20" w:left="42" w:right="113"/>
              <w:rPr>
                <w:rFonts w:ascii="Cambria" w:eastAsia="MS Mincho" w:hAnsi="Cambria" w:cs="Times New Roman"/>
                <w:kern w:val="0"/>
                <w:sz w:val="22"/>
              </w:rPr>
            </w:pPr>
            <w:r>
              <w:rPr>
                <w:rFonts w:ascii="宋体" w:eastAsia="宋体" w:hAnsi="宋体" w:cs="Times New Roman"/>
                <w:color w:val="000000"/>
                <w:kern w:val="0"/>
              </w:rPr>
              <w:t>按收集到的服务对象的满意率计算得分（</w:t>
            </w:r>
            <w:r>
              <w:rPr>
                <w:rFonts w:ascii="宋体" w:eastAsia="宋体" w:hAnsi="宋体" w:cs="Times New Roman"/>
                <w:color w:val="000000"/>
                <w:kern w:val="0"/>
              </w:rPr>
              <w:t>5</w:t>
            </w:r>
            <w:r>
              <w:rPr>
                <w:rFonts w:ascii="宋体" w:eastAsia="宋体" w:hAnsi="宋体" w:cs="Times New Roman"/>
                <w:color w:val="000000"/>
                <w:kern w:val="0"/>
              </w:rPr>
              <w:t>分）</w:t>
            </w:r>
          </w:p>
        </w:tc>
      </w:tr>
      <w:tr w:rsidR="004E2979">
        <w:tblPrEx>
          <w:jc w:val="center"/>
        </w:tblPrEx>
        <w:trPr>
          <w:trHeight w:hRule="exact" w:val="588"/>
          <w:jc w:val="center"/>
        </w:trPr>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180" w:line="212" w:lineRule="exact"/>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总分</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4E2979">
            <w:pPr>
              <w:widowControl/>
              <w:autoSpaceDE w:val="0"/>
              <w:autoSpaceDN w:val="0"/>
              <w:spacing w:before="190" w:line="210" w:lineRule="exact"/>
              <w:ind w:left="176" w:right="176"/>
              <w:jc w:val="center"/>
              <w:rPr>
                <w:rFonts w:ascii="Cambria" w:eastAsia="MS Mincho" w:hAnsi="Cambria" w:cs="Times New Roman"/>
                <w:kern w:val="0"/>
                <w:sz w:val="22"/>
                <w:lang w:eastAsia="en-US"/>
              </w:rPr>
            </w:pPr>
          </w:p>
        </w:tc>
        <w:tc>
          <w:tcPr>
            <w:tcW w:w="7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4E2979">
            <w:pPr>
              <w:widowControl/>
              <w:autoSpaceDE w:val="0"/>
              <w:autoSpaceDN w:val="0"/>
              <w:spacing w:before="178" w:line="210" w:lineRule="exact"/>
              <w:ind w:left="244" w:right="244"/>
              <w:jc w:val="center"/>
              <w:rPr>
                <w:rFonts w:ascii="Cambria" w:eastAsia="MS Mincho" w:hAnsi="Cambria" w:cs="Times New Roman"/>
                <w:kern w:val="0"/>
                <w:sz w:val="22"/>
                <w:lang w:eastAsia="en-US"/>
              </w:rPr>
            </w:pPr>
          </w:p>
        </w:tc>
        <w:tc>
          <w:tcPr>
            <w:tcW w:w="4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E2979" w:rsidRDefault="0081035B">
            <w:pPr>
              <w:widowControl/>
              <w:autoSpaceDE w:val="0"/>
              <w:autoSpaceDN w:val="0"/>
              <w:spacing w:before="178" w:line="210" w:lineRule="exact"/>
              <w:ind w:left="4" w:right="4"/>
              <w:jc w:val="center"/>
              <w:rPr>
                <w:rFonts w:ascii="Cambria" w:eastAsia="MS Mincho" w:hAnsi="Cambria" w:cs="Times New Roman"/>
                <w:kern w:val="0"/>
                <w:sz w:val="22"/>
                <w:lang w:eastAsia="en-US"/>
              </w:rPr>
            </w:pPr>
            <w:r>
              <w:rPr>
                <w:rFonts w:ascii="宋体" w:eastAsia="宋体" w:hAnsi="宋体" w:cs="Times New Roman"/>
                <w:color w:val="000000"/>
                <w:kern w:val="0"/>
                <w:lang w:eastAsia="en-US"/>
              </w:rPr>
              <w:t>93</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4E2979" w:rsidRDefault="004E2979">
            <w:pPr>
              <w:widowControl/>
              <w:spacing w:after="200"/>
              <w:ind w:leftChars="20" w:left="42" w:right="113"/>
              <w:rPr>
                <w:rFonts w:ascii="Cambria" w:eastAsia="MS Mincho" w:hAnsi="Cambria" w:cs="Times New Roman"/>
                <w:kern w:val="0"/>
                <w:sz w:val="22"/>
                <w:lang w:eastAsia="en-US"/>
              </w:rPr>
            </w:pPr>
          </w:p>
        </w:tc>
        <w:tc>
          <w:tcPr>
            <w:tcW w:w="4124"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4E2979" w:rsidRDefault="004E2979">
            <w:pPr>
              <w:widowControl/>
              <w:autoSpaceDE w:val="0"/>
              <w:autoSpaceDN w:val="0"/>
              <w:ind w:leftChars="20" w:left="42" w:right="113"/>
              <w:rPr>
                <w:rFonts w:ascii="Cambria" w:eastAsia="MS Mincho" w:hAnsi="Cambria" w:cs="Times New Roman"/>
                <w:kern w:val="0"/>
                <w:sz w:val="22"/>
                <w:lang w:eastAsia="en-US"/>
              </w:rPr>
            </w:pPr>
          </w:p>
        </w:tc>
      </w:tr>
    </w:tbl>
    <w:p w:rsidR="004E2979" w:rsidRDefault="004E2979">
      <w:pPr>
        <w:widowControl/>
        <w:autoSpaceDE w:val="0"/>
        <w:autoSpaceDN w:val="0"/>
        <w:spacing w:line="524" w:lineRule="exact"/>
        <w:jc w:val="left"/>
        <w:rPr>
          <w:rFonts w:ascii="Cambria" w:eastAsia="MS Mincho" w:hAnsi="Cambria" w:cs="Times New Roman"/>
          <w:kern w:val="0"/>
          <w:sz w:val="22"/>
          <w:lang w:eastAsia="en-US"/>
        </w:rPr>
      </w:pPr>
    </w:p>
    <w:p w:rsidR="004E2979" w:rsidRDefault="004E2979">
      <w:pPr>
        <w:widowControl/>
        <w:autoSpaceDE w:val="0"/>
        <w:autoSpaceDN w:val="0"/>
        <w:spacing w:line="524" w:lineRule="exact"/>
        <w:jc w:val="left"/>
        <w:rPr>
          <w:rFonts w:ascii="Cambria" w:eastAsia="MS Mincho" w:hAnsi="Cambria" w:cs="Times New Roman"/>
          <w:kern w:val="0"/>
          <w:sz w:val="22"/>
          <w:lang w:eastAsia="en-US"/>
        </w:rPr>
      </w:pPr>
    </w:p>
    <w:p w:rsidR="004E2979" w:rsidRDefault="004E2979">
      <w:pPr>
        <w:widowControl/>
        <w:autoSpaceDE w:val="0"/>
        <w:autoSpaceDN w:val="0"/>
        <w:spacing w:line="14" w:lineRule="exact"/>
        <w:jc w:val="left"/>
        <w:rPr>
          <w:rFonts w:ascii="Cambria" w:eastAsia="MS Mincho" w:hAnsi="Cambria" w:cs="Times New Roman"/>
          <w:kern w:val="0"/>
          <w:sz w:val="22"/>
        </w:rPr>
      </w:pPr>
    </w:p>
    <w:p w:rsidR="004E2979" w:rsidRDefault="004E2979">
      <w:pPr>
        <w:widowControl/>
        <w:autoSpaceDE w:val="0"/>
        <w:autoSpaceDN w:val="0"/>
        <w:spacing w:line="14" w:lineRule="exact"/>
        <w:jc w:val="left"/>
        <w:rPr>
          <w:rFonts w:ascii="Cambria" w:eastAsia="MS Mincho" w:hAnsi="Cambria" w:cs="Times New Roman"/>
          <w:kern w:val="0"/>
          <w:sz w:val="22"/>
        </w:rPr>
      </w:pPr>
    </w:p>
    <w:p w:rsidR="004E2979" w:rsidRDefault="004E2979"/>
    <w:sectPr w:rsidR="004E2979" w:rsidSect="004E297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30A6B89" w15:done="0"/>
  <w15:commentEx w15:paraId="0BDB301C" w15:done="0"/>
  <w15:commentEx w15:paraId="073256AE"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少天">
    <w15:presenceInfo w15:providerId="WPS Office" w15:userId="92781022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I2NGYwNjMwOTQzNDY5ODBkY2Q4ODVmYjhiMzAyNGEifQ=="/>
  </w:docVars>
  <w:rsids>
    <w:rsidRoot w:val="5A007238"/>
    <w:rsid w:val="004E2979"/>
    <w:rsid w:val="0081035B"/>
    <w:rsid w:val="5A0072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9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4E2979"/>
    <w:pPr>
      <w:jc w:val="left"/>
    </w:pPr>
  </w:style>
  <w:style w:type="character" w:styleId="a4">
    <w:name w:val="annotation reference"/>
    <w:basedOn w:val="a0"/>
    <w:rsid w:val="004E2979"/>
    <w:rPr>
      <w:sz w:val="21"/>
      <w:szCs w:val="21"/>
    </w:rPr>
  </w:style>
  <w:style w:type="paragraph" w:styleId="a5">
    <w:name w:val="Balloon Text"/>
    <w:basedOn w:val="a"/>
    <w:link w:val="Char"/>
    <w:rsid w:val="0081035B"/>
    <w:rPr>
      <w:sz w:val="18"/>
      <w:szCs w:val="18"/>
    </w:rPr>
  </w:style>
  <w:style w:type="character" w:customStyle="1" w:styleId="Char">
    <w:name w:val="批注框文本 Char"/>
    <w:basedOn w:val="a0"/>
    <w:link w:val="a5"/>
    <w:rsid w:val="0081035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5682</Words>
  <Characters>867</Characters>
  <Application>Microsoft Office Word</Application>
  <DocSecurity>0</DocSecurity>
  <Lines>7</Lines>
  <Paragraphs>13</Paragraphs>
  <ScaleCrop>false</ScaleCrop>
  <Company/>
  <LinksUpToDate>false</LinksUpToDate>
  <CharactersWithSpaces>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小小张</dc:creator>
  <cp:lastModifiedBy>xbany</cp:lastModifiedBy>
  <cp:revision>2</cp:revision>
  <dcterms:created xsi:type="dcterms:W3CDTF">2023-06-27T03:11:00Z</dcterms:created>
  <dcterms:modified xsi:type="dcterms:W3CDTF">2023-10-05T11:59:00Z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CFEB71527CBC45AAACB63E1512A13357_11</vt:lpwstr>
  </property>
</Properties>
</file>