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spacing w:val="28"/>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spacing w:val="28"/>
          <w:sz w:val="36"/>
          <w:szCs w:val="36"/>
          <w:lang w:val="en-US" w:eastAsia="zh-CN"/>
        </w:rPr>
      </w:pPr>
      <w:r>
        <w:rPr>
          <w:rFonts w:hint="eastAsia" w:ascii="黑体" w:hAnsi="黑体" w:eastAsia="黑体" w:cs="黑体"/>
          <w:spacing w:val="28"/>
          <w:sz w:val="36"/>
          <w:szCs w:val="36"/>
          <w:lang w:val="en-US" w:eastAsia="zh-CN"/>
        </w:rPr>
        <w:t>益阳市赫山区乡村振兴局2021年度</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 w:hAnsi="仿宋" w:eastAsia="仿宋" w:cs="仿宋"/>
          <w:sz w:val="30"/>
          <w:szCs w:val="30"/>
        </w:rPr>
      </w:pPr>
      <w:r>
        <w:rPr>
          <w:rFonts w:hint="eastAsia" w:ascii="黑体" w:hAnsi="黑体" w:eastAsia="黑体" w:cs="黑体"/>
          <w:spacing w:val="28"/>
          <w:sz w:val="36"/>
          <w:szCs w:val="36"/>
        </w:rPr>
        <w:t>项目支出绩效评价报告</w:t>
      </w:r>
    </w:p>
    <w:p>
      <w:pPr>
        <w:pStyle w:val="2"/>
      </w:pPr>
    </w:p>
    <w:p>
      <w:pPr>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一、预算支出基本情况</w:t>
      </w:r>
    </w:p>
    <w:p>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（一）预算支出概况</w:t>
      </w:r>
    </w:p>
    <w:p>
      <w:pPr>
        <w:pStyle w:val="7"/>
        <w:spacing w:line="600" w:lineRule="exact"/>
        <w:ind w:firstLine="600"/>
        <w:rPr>
          <w:rFonts w:ascii="仿宋" w:hAnsi="仿宋" w:eastAsia="仿宋" w:cs="仿宋"/>
          <w:sz w:val="30"/>
          <w:szCs w:val="30"/>
        </w:rPr>
      </w:pPr>
      <w:r>
        <w:rPr>
          <w:rFonts w:hint="eastAsia" w:ascii="仿宋" w:hAnsi="仿宋" w:eastAsia="仿宋" w:cs="仿宋"/>
          <w:sz w:val="30"/>
          <w:szCs w:val="30"/>
        </w:rPr>
        <w:t>2021年度各级各部门共安排赫山区乡村振兴局衔接推进乡村振兴补助资金3502万元，其中基础设施建设资金1797万元；产业发展资金1160万元；小额信贷贴息资金189万元；雨露计划资金345万元；易地搬迁扶持资金11万元。</w:t>
      </w:r>
    </w:p>
    <w:p>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（二）预算资金使用管理情况</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我局于2022年3月9日制定并下发了《赫山区财政衔接推进乡村振兴补助资金项目管理实施细则》，对项目申报、实施、验收全流程进行规范。收到上级衔接资金后，我局根据乡村振兴建设任务进行资金预分配，由各村填报项目实施申报表并经乡镇盖章认可，并根据项目实施申报表对项目实施前进行审核、现场抽查，确保项目真实性、必要性，最后根据各村申报项目制定资金分配文件。项目实施前，项目村对项目的资金来源、建设内容等信息进行公示。确保衔接资金使用公开、透明。使用衔接资金5万元及以上项目，项目完工后在项目实施地点设置永久性标识牌。项目验收由各乡镇（街道、园区）组织人员进行，区乡村振兴局和区财政局牵头对乡镇已验收项目进行抽查，验收合格的项目，由项目村按要求制作报账资料送区乡村振兴局审批，乡镇财政所根据审批意见及时向项目施工方支付工程款。</w:t>
      </w:r>
    </w:p>
    <w:p>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（三）预算支出绩效目标完成程度</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加强风险预警，充分发挥防返贫监测与帮扶平台预警作用，妥善处理风险数据16923条和政策未落实数据6192条。出台《防止返贫动态监测和帮扶机制实施方案》区、镇、村三级联动，动态管理监测对象，按程序和标准新纳入监测对象318户619人，做到“应纳尽纳”；基础设施建设投入金额1797万元，涉及项目260个，完工率100%，已全部完成报账；产业发展资金1160万元，带动2000余户农户增收。小额信贷健康管理,按照“应贷尽贷”原则，2021年累计发放脱贫人口小额贷款3587.6万元，贴息189万元，整体实现“零逾期”；“雨露计划”职业教育补助2090人次，</w:t>
      </w:r>
      <w:r>
        <w:rPr>
          <w:rFonts w:hint="eastAsia" w:ascii="仿宋" w:hAnsi="仿宋" w:eastAsia="仿宋" w:cs="仿宋"/>
          <w:color w:val="333333"/>
          <w:kern w:val="0"/>
          <w:sz w:val="30"/>
          <w:szCs w:val="30"/>
          <w:shd w:val="clear" w:color="auto" w:fill="FFFFFF"/>
        </w:rPr>
        <w:t>331.8万元</w:t>
      </w:r>
      <w:r>
        <w:rPr>
          <w:rFonts w:hint="eastAsia" w:ascii="仿宋" w:hAnsi="仿宋" w:eastAsia="仿宋" w:cs="仿宋"/>
          <w:sz w:val="30"/>
          <w:szCs w:val="30"/>
        </w:rPr>
        <w:t>；致富带头人培训30人，培训费用13.2万元；全区易地扶贫搬迁共285户、864人，其中分散安置237户719人、集中安置48户145人。</w:t>
      </w:r>
    </w:p>
    <w:p>
      <w:pPr>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二、绩效评价工作情况</w:t>
      </w:r>
    </w:p>
    <w:p>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（一）绩效评价目的</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为进一步规范衔接推进乡村振兴补助资金管理，牢固树立预算绩效理念，强化部门支出责任，有力保障巩固拓展脱贫攻坚成果同乡村振兴有效衔接开局之年各项工作的稳步推进。</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（二）项目资金落实、总投入等情况，项目资金（主要指财政资金）实际使用等情况</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2021年度各级各部门共安排赫山区乡村振兴局衔接推进乡村振兴补助资金3502万元。上级专项资金3502万元；项目资金目前为止实际支出3502万元，结转结余0万元。详细使用情况如下：</w:t>
      </w:r>
    </w:p>
    <w:p>
      <w:pPr>
        <w:pStyle w:val="7"/>
        <w:spacing w:line="600" w:lineRule="exact"/>
        <w:ind w:firstLine="6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财政预算安排基础设施建设资金1797万元，实际支出1797万元，用于支持15个乡镇（街道），166个村的基础设施建设。公路硬化里程40余公路，极大方便了群众出行，改善了当地生产生活条件，有力促进当地经济社会发展。</w:t>
      </w:r>
    </w:p>
    <w:p>
      <w:pPr>
        <w:pStyle w:val="7"/>
        <w:spacing w:line="600" w:lineRule="exact"/>
        <w:ind w:firstLine="6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财政预算安排产业发展资金1160万元，实际支出1160万元，用于支持12个乡镇（街道），85个村的产业配套基础设施建设和产业项目发展，实现沟渠清淤硬化14.8公里，山塘清淤护坡30座。提高了当地蓄水灌溉效能，增加灌溉面积1万余亩，受益农户3万余人，人均增收3000元。</w:t>
      </w:r>
    </w:p>
    <w:p>
      <w:pPr>
        <w:pStyle w:val="7"/>
        <w:spacing w:line="600" w:lineRule="exact"/>
        <w:ind w:firstLine="6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财政预算安排小额信贷贴息资金189万元，实际支出189万元。2021年第一季度受益脱贫户、监测户1036户，第二季度受益脱贫户、监测户1035户，第三季度受益脱贫户、监测户761户，第四季受益脱贫户、监测户度850户。通过发放脱贫人口小额信贷和实施贴息政策，有效的增强了脱贫户、监测户的产业发展动力和减少了脱贫户、监测户产业发展成本，提高了收入。</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4.财政预算安排雨露计划资金及致富带头人培训资金345万元，实际支出345万元。</w:t>
      </w:r>
      <w:r>
        <w:rPr>
          <w:rFonts w:hint="eastAsia" w:ascii="仿宋" w:hAnsi="仿宋" w:eastAsia="仿宋" w:cs="仿宋"/>
          <w:kern w:val="0"/>
          <w:sz w:val="30"/>
          <w:szCs w:val="30"/>
          <w:shd w:val="clear" w:color="auto" w:fill="FFFFFF"/>
        </w:rPr>
        <w:t>赫山区各乡镇、街道、园区经过摸底、审查、复核，将补助学生名单提交赫山区乡村振兴局，我局对名单进行校核后再发放补助资金。2021年共计发放春季、秋季“雨露计划”2090人次，共补助资金331.8万元。通过职业教育能力培训，提升了脱贫家庭子女就业能力，为脱贫户致富打下了坚实基础。项目已于2021年12月底前竣工验收，验收合格率100%，脱贫户对项目的推进满意度100%。2021年赫山区致富带头人培训30人，培训费用13.2万元。赫山区乡村振兴局通过培育致富带头人助力乡村振兴，有效地促进了农业产业结构调整、农村经济的发展，增强了创业致富带头人带动能力。</w:t>
      </w:r>
    </w:p>
    <w:p>
      <w:pPr>
        <w:pStyle w:val="2"/>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财政预算安排易地搬迁扶持资金11万元，实际支出11万元。全区易地扶贫搬迁共285户、864人，其中分散安置237户719人、集中安置48户145人。按照搬迁群众“稳得住、有就业、能致富”要求，做好易地扶贫搬迁后续扶持。</w:t>
      </w:r>
      <w:r>
        <w:rPr>
          <w:rStyle w:val="8"/>
          <w:rFonts w:hint="eastAsia" w:ascii="仿宋" w:hAnsi="仿宋" w:eastAsia="仿宋" w:cs="仿宋"/>
          <w:sz w:val="30"/>
          <w:szCs w:val="30"/>
        </w:rPr>
        <w:t>完善安置点基础设施及基本公共服务，做好两个集中安置点的社区化管理。</w:t>
      </w:r>
    </w:p>
    <w:p>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（三）项目管理情况</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项目管理严格按照《赫山区财政衔接推进乡村振兴补助资金项目管理实施细则》文件执行。所有项目从区级巩固拓展脱贫攻坚成果和乡村振兴项目库中选择，优先实施群众反映强烈、影响群众生产生活较大的项目。</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项目实施坚持实施前申报审核，完工后逐级验收。</w:t>
      </w:r>
      <w:r>
        <w:rPr>
          <w:rFonts w:hint="eastAsia" w:ascii="仿宋" w:hAnsi="仿宋" w:eastAsia="仿宋" w:cs="仿宋"/>
          <w:sz w:val="30"/>
          <w:szCs w:val="30"/>
          <w:shd w:val="clear" w:color="auto" w:fill="FFFFFF"/>
        </w:rPr>
        <w:t>实行分级分类公告公示制度。实施前，在村务公示栏对项目基本信息进行公示，使用衔接资金5万元及以上项目，项目实施后，在项目实施地点设置永久性标识牌。</w:t>
      </w:r>
    </w:p>
    <w:p>
      <w:pPr>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三、预算支出主要绩效及评价结论</w:t>
      </w:r>
    </w:p>
    <w:p>
      <w:pPr>
        <w:spacing w:line="600" w:lineRule="exact"/>
        <w:ind w:firstLine="600" w:firstLineChars="200"/>
        <w:rPr>
          <w:rFonts w:ascii="仿宋" w:hAnsi="仿宋" w:eastAsia="仿宋" w:cs="仿宋"/>
          <w:b/>
          <w:bCs/>
          <w:sz w:val="30"/>
          <w:szCs w:val="30"/>
        </w:rPr>
      </w:pPr>
      <w:r>
        <w:rPr>
          <w:rFonts w:hint="eastAsia" w:ascii="仿宋" w:hAnsi="仿宋" w:eastAsia="仿宋" w:cs="仿宋"/>
          <w:sz w:val="30"/>
          <w:szCs w:val="30"/>
        </w:rPr>
        <w:t>区乡村振兴局强化资金和项目的管理，做到资金到项目、管理到项目、核算到项目、责任到项目、严格落实绩效管理的各项要求。对项目成本严格控制，严格预算安排，不超预算指标数。当年项目原则上当年完成，质量验收合格后完成报账手续。</w:t>
      </w:r>
    </w:p>
    <w:p>
      <w:pPr>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四、绩效指标评价指标分析</w:t>
      </w:r>
    </w:p>
    <w:p>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（一）预算支出决策情况</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2021年赫山区乡村振兴局项目共计336个，各预算项目立项依据基本充分，均设定了各项目绩效目标，每一具体项目都有相关的政策文件支撑，资金配置均有明确的测算依据。</w:t>
      </w:r>
    </w:p>
    <w:p>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（二）预算执行过程情况</w:t>
      </w:r>
    </w:p>
    <w:p>
      <w:pPr>
        <w:pStyle w:val="4"/>
        <w:shd w:val="clear" w:color="auto" w:fill="FFFFFF"/>
        <w:spacing w:beforeAutospacing="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1.2021年，乡村振兴局在收到上级各部门下达衔接资金文件后，对到县资金，均在30日内完成资金分配。资金下达进度符合《湖南省财政衔接推进乡村振兴补助资金管理办法》要求，赫山区乡村振兴局全面落实公示公开制度，做到“谁分配、谁公开，谁使用、谁公开，分配到哪里、公开到哪里”，分级分项公告公示到位，对衔接推进乡村振兴补助资金实行事前公示、事后公告，接受社会监督，保障群众知情权、参与权和监督权。赫山区乡村振兴局对资金分配方案在政府门户网站公示公开，乡镇、村和项目实施单位主要在乡镇政府、村委会或项目实施地等政务信息公示栏上公示公开。</w:t>
      </w:r>
    </w:p>
    <w:p>
      <w:pPr>
        <w:pStyle w:val="4"/>
        <w:shd w:val="clear" w:color="auto" w:fill="FFFFFF"/>
        <w:spacing w:beforeAutospacing="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2.赫山区乡村振兴局本级项目经费管理情况。2021年未</w:t>
      </w:r>
      <w:r>
        <w:rPr>
          <w:rFonts w:hint="eastAsia" w:ascii="仿宋" w:hAnsi="仿宋" w:eastAsia="仿宋" w:cs="仿宋"/>
          <w:spacing w:val="13"/>
          <w:sz w:val="30"/>
          <w:szCs w:val="30"/>
        </w:rPr>
        <w:t>安排项目管理费。</w:t>
      </w:r>
    </w:p>
    <w:p>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（三）预算支出产出情况</w:t>
      </w:r>
    </w:p>
    <w:p>
      <w:pPr>
        <w:pStyle w:val="4"/>
        <w:shd w:val="clear" w:color="auto" w:fill="FFFFFF"/>
        <w:spacing w:beforeAutospacing="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1.产出数量。2021年赫山区乡村振兴局项目共计336个，已完成336个。</w:t>
      </w:r>
    </w:p>
    <w:p>
      <w:pPr>
        <w:pStyle w:val="4"/>
        <w:shd w:val="clear" w:color="auto" w:fill="FFFFFF"/>
        <w:spacing w:beforeAutospacing="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2.产出质量、时效及成本。2021年赫山区乡村振兴局项目共计336个，共设质量、时效及成本指标7个，质量、时效及成本指标全部完成。</w:t>
      </w:r>
    </w:p>
    <w:p>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（四）预算支出效益情况</w:t>
      </w:r>
    </w:p>
    <w:p>
      <w:pPr>
        <w:pStyle w:val="4"/>
        <w:shd w:val="clear" w:color="auto" w:fill="FFFFFF"/>
        <w:spacing w:beforeAutospacing="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1.项目预期目标完成程度。</w:t>
      </w:r>
    </w:p>
    <w:p>
      <w:pPr>
        <w:pStyle w:val="4"/>
        <w:shd w:val="clear" w:color="auto" w:fill="FFFFFF"/>
        <w:spacing w:beforeAutospacing="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2021年赫山区乡村振兴局共计实施项目336个，基本实现预期目标。</w:t>
      </w:r>
    </w:p>
    <w:p>
      <w:pPr>
        <w:pStyle w:val="4"/>
        <w:shd w:val="clear" w:color="auto" w:fill="FFFFFF"/>
        <w:spacing w:beforeAutospacing="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2.项目实施对经济和社会的影响。</w:t>
      </w:r>
    </w:p>
    <w:p>
      <w:pPr>
        <w:pStyle w:val="4"/>
        <w:shd w:val="clear" w:color="auto" w:fill="FFFFFF"/>
        <w:spacing w:beforeAutospacing="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赫山区乡村振兴局深入贯彻落实习近平总书记关于“三农”工作的重要论述和全国脱贫攻坚总结表彰大会上的重要讲话精神，始终把巩固拓展脱贫攻坚成果同乡村振兴有效衔接放在突出位置、作为首要任务来抓，坚持“四个不摘”，狠抓工作落实，坚决守住不发生规模性返贫的底线，切实把脱贫成果巩固住、拓展好，努力推动巩固拓展脱贫攻坚成果同乡村振兴有效衔接。</w:t>
      </w:r>
    </w:p>
    <w:p>
      <w:pPr>
        <w:pStyle w:val="4"/>
        <w:shd w:val="clear" w:color="auto" w:fill="FFFFFF"/>
        <w:spacing w:beforeAutospacing="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五、主要经验及做法、存在的问题及原因分析</w:t>
      </w:r>
    </w:p>
    <w:p>
      <w:pPr>
        <w:pStyle w:val="4"/>
        <w:shd w:val="clear" w:color="auto" w:fill="FFFFFF"/>
        <w:spacing w:beforeAutospacing="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shd w:val="clear" w:color="auto" w:fill="FFFFFF"/>
        </w:rPr>
        <w:t>各项目实施单位绩效评价意识薄弱，项目实施未充分考虑现实需求、群众意愿。</w:t>
      </w:r>
    </w:p>
    <w:p>
      <w:pPr>
        <w:pStyle w:val="4"/>
        <w:shd w:val="clear" w:color="auto" w:fill="FFFFFF"/>
        <w:spacing w:beforeAutospacing="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六、有关建议</w:t>
      </w:r>
    </w:p>
    <w:p>
      <w:pPr>
        <w:pStyle w:val="4"/>
        <w:shd w:val="clear" w:color="auto" w:fill="FFFFFF"/>
        <w:spacing w:beforeAutospacing="0" w:afterAutospacing="0" w:line="600" w:lineRule="exact"/>
        <w:ind w:firstLine="600" w:firstLineChars="200"/>
        <w:jc w:val="both"/>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提高绩效意识，强化相关股室工作人员资金绩效管理意识，真正做到事前有目标、事中有监控、事后有评价。加强资金绩效评价培训和绩效评价人员队伍建设。</w:t>
      </w:r>
    </w:p>
    <w:p>
      <w:pPr>
        <w:pStyle w:val="4"/>
        <w:shd w:val="clear" w:color="auto" w:fill="FFFFFF"/>
        <w:spacing w:beforeAutospacing="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七、其它需要说明的问题</w:t>
      </w:r>
    </w:p>
    <w:p>
      <w:pPr>
        <w:spacing w:line="600" w:lineRule="exact"/>
        <w:ind w:firstLine="600" w:firstLineChars="200"/>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认真学习《中华人民共和国政府采购法》及《中华人民共和国政府采购法实施条例》，增强依法采购意识，提高依法采购水平，同时加强政府采购预算、计划编制，采购实施按规定、按计划执行。</w:t>
      </w:r>
    </w:p>
    <w:p>
      <w:pPr>
        <w:spacing w:afterLines="50" w:line="600" w:lineRule="exact"/>
        <w:ind w:firstLine="600" w:firstLineChars="200"/>
        <w:jc w:val="left"/>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附件：2021年度项目支出绩效自评指标计分表</w:t>
      </w:r>
    </w:p>
    <w:p>
      <w:pPr>
        <w:spacing w:afterLines="50" w:line="400" w:lineRule="exact"/>
        <w:jc w:val="center"/>
        <w:rPr>
          <w:rFonts w:ascii="黑体" w:hAnsi="黑体" w:eastAsia="黑体" w:cs="黑体"/>
          <w:sz w:val="36"/>
          <w:szCs w:val="36"/>
        </w:rPr>
      </w:pPr>
    </w:p>
    <w:p>
      <w:pPr>
        <w:spacing w:afterLines="50" w:line="400" w:lineRule="exact"/>
        <w:jc w:val="both"/>
        <w:rPr>
          <w:rFonts w:ascii="黑体" w:hAnsi="黑体" w:eastAsia="黑体" w:cs="黑体"/>
          <w:sz w:val="36"/>
          <w:szCs w:val="36"/>
        </w:rPr>
      </w:pPr>
      <w:bookmarkStart w:id="0" w:name="_GoBack"/>
      <w:bookmarkEnd w:id="0"/>
    </w:p>
    <w:p>
      <w:pPr>
        <w:spacing w:afterLines="50" w:line="400" w:lineRule="exact"/>
        <w:jc w:val="center"/>
        <w:rPr>
          <w:rFonts w:ascii="方正小标宋简体" w:eastAsia="方正小标宋简体" w:cs="方正小标宋_GBK"/>
          <w:sz w:val="36"/>
          <w:szCs w:val="36"/>
        </w:rPr>
      </w:pPr>
      <w:r>
        <w:rPr>
          <w:rFonts w:hint="eastAsia" w:ascii="黑体" w:hAnsi="黑体" w:eastAsia="黑体" w:cs="黑体"/>
          <w:sz w:val="36"/>
          <w:szCs w:val="36"/>
        </w:rPr>
        <w:t>2021年度项目支出绩效自评指标计分表</w:t>
      </w:r>
    </w:p>
    <w:tbl>
      <w:tblPr>
        <w:tblStyle w:val="5"/>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5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83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40" w:type="dxa"/>
          </w:tcPr>
          <w:p>
            <w:pPr>
              <w:spacing w:line="240" w:lineRule="exact"/>
              <w:jc w:val="center"/>
              <w:rPr>
                <w:rFonts w:ascii="宋体"/>
                <w:b/>
                <w:bCs/>
              </w:rPr>
            </w:pPr>
            <w:r>
              <w:rPr>
                <w:rFonts w:hint="eastAsia" w:ascii="宋体" w:hAnsi="宋体" w:cs="宋体"/>
                <w:b/>
                <w:bCs/>
              </w:rPr>
              <w:t>自评分</w:t>
            </w:r>
          </w:p>
        </w:tc>
        <w:tc>
          <w:tcPr>
            <w:tcW w:w="2625"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54" w:type="dxa"/>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40" w:type="dxa"/>
          </w:tcPr>
          <w:p>
            <w:pPr>
              <w:spacing w:line="240" w:lineRule="exact"/>
              <w:ind w:left="105" w:leftChars="50" w:right="105" w:rightChars="50"/>
              <w:rPr>
                <w:rFonts w:ascii="宋体"/>
              </w:rPr>
            </w:pPr>
          </w:p>
          <w:p>
            <w:pPr>
              <w:spacing w:line="240" w:lineRule="exact"/>
              <w:ind w:left="105" w:leftChars="50" w:right="105" w:rightChars="50"/>
              <w:rPr>
                <w:rFonts w:ascii="宋体" w:eastAsia="宋体"/>
              </w:rPr>
            </w:pPr>
            <w:r>
              <w:rPr>
                <w:rFonts w:hint="eastAsia" w:ascii="宋体"/>
              </w:rPr>
              <w:t>99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p>
        </w:tc>
      </w:tr>
    </w:tbl>
    <w:p/>
    <w:p>
      <w:pPr>
        <w:pStyle w:val="2"/>
        <w:spacing w:line="600" w:lineRule="exact"/>
        <w:ind w:firstLine="600" w:firstLineChars="200"/>
        <w:rPr>
          <w:rFonts w:ascii="仿宋" w:hAnsi="仿宋" w:eastAsia="仿宋" w:cs="仿宋"/>
          <w:kern w:val="0"/>
          <w:sz w:val="30"/>
          <w:szCs w:val="30"/>
          <w:shd w:val="clear" w:color="auto" w:fill="FFFFFF"/>
        </w:rPr>
      </w:pPr>
    </w:p>
    <w:p>
      <w:pPr>
        <w:pStyle w:val="2"/>
      </w:pPr>
    </w:p>
    <w:p/>
    <w:sectPr>
      <w:footerReference r:id="rId3" w:type="default"/>
      <w:pgSz w:w="11906" w:h="16838"/>
      <w:pgMar w:top="1134" w:right="1531" w:bottom="1134" w:left="1531" w:header="708" w:footer="1417" w:gutter="0"/>
      <w:pgNumType w:fmt="numberInDash" w:start="1"/>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125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rPr>
      <w:rFonts w:ascii="Calibri" w:hAnsi="Calibri" w:eastAsia="宋体"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paragraph" w:styleId="7">
    <w:name w:val="List Paragraph"/>
    <w:basedOn w:val="1"/>
    <w:qFormat/>
    <w:uiPriority w:val="34"/>
    <w:pPr>
      <w:ind w:firstLine="420" w:firstLineChars="200"/>
    </w:p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2023-06-20T09:26:56Z</dcterms:created>
  <dc:creator>admin-3</dc:creator>
  <cp:lastModifiedBy>admin-3</cp:lastModifiedBy>
  <dcterms:modified xsi:type="dcterms:W3CDTF">2023-06-20T09:27:18Z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06DBA7DE923B478A998EC81F049E311D_12</vt:lpwstr>
  </property>
</Properties>
</file>