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spacing w:val="28"/>
          <w:sz w:val="36"/>
          <w:szCs w:val="36"/>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spacing w:val="28"/>
          <w:sz w:val="36"/>
          <w:szCs w:val="36"/>
          <w:lang w:val="en-US" w:eastAsia="zh-CN"/>
        </w:rPr>
      </w:pPr>
      <w:r>
        <w:rPr>
          <w:rFonts w:hint="eastAsia" w:ascii="黑体" w:hAnsi="黑体" w:eastAsia="黑体" w:cs="黑体"/>
          <w:spacing w:val="28"/>
          <w:sz w:val="36"/>
          <w:szCs w:val="36"/>
          <w:lang w:val="en-US" w:eastAsia="zh-CN"/>
        </w:rPr>
        <w:t>益阳市赫山区乡村振兴局2021年度</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仿宋" w:hAnsi="仿宋" w:eastAsia="仿宋" w:cs="仿宋"/>
          <w:sz w:val="30"/>
          <w:szCs w:val="30"/>
        </w:rPr>
      </w:pPr>
      <w:r>
        <w:rPr>
          <w:rFonts w:hint="eastAsia" w:ascii="黑体" w:hAnsi="黑体" w:eastAsia="黑体" w:cs="黑体"/>
          <w:spacing w:val="28"/>
          <w:sz w:val="36"/>
          <w:szCs w:val="36"/>
        </w:rPr>
        <w:t>项目支出绩效评价报告</w:t>
      </w:r>
    </w:p>
    <w:p>
      <w:pPr>
        <w:pStyle w:val="2"/>
      </w:pPr>
    </w:p>
    <w:p>
      <w:pPr>
        <w:spacing w:line="600" w:lineRule="exact"/>
        <w:ind w:firstLine="600" w:firstLineChars="200"/>
        <w:rPr>
          <w:rFonts w:ascii="黑体" w:hAnsi="黑体" w:eastAsia="黑体" w:cs="黑体"/>
          <w:sz w:val="30"/>
          <w:szCs w:val="30"/>
        </w:rPr>
      </w:pPr>
      <w:r>
        <w:rPr>
          <w:rFonts w:hint="eastAsia" w:ascii="黑体" w:hAnsi="黑体" w:eastAsia="黑体" w:cs="黑体"/>
          <w:sz w:val="30"/>
          <w:szCs w:val="30"/>
        </w:rPr>
        <w:t>一、预算支出基本情况</w:t>
      </w:r>
    </w:p>
    <w:p>
      <w:pPr>
        <w:spacing w:line="60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（一）预算支出概况</w:t>
      </w:r>
    </w:p>
    <w:p>
      <w:pPr>
        <w:pStyle w:val="7"/>
        <w:spacing w:line="600" w:lineRule="exact"/>
        <w:ind w:firstLine="600"/>
        <w:rPr>
          <w:rFonts w:ascii="仿宋" w:hAnsi="仿宋" w:eastAsia="仿宋" w:cs="仿宋"/>
          <w:sz w:val="30"/>
          <w:szCs w:val="30"/>
        </w:rPr>
      </w:pPr>
      <w:r>
        <w:rPr>
          <w:rFonts w:hint="eastAsia" w:ascii="仿宋" w:hAnsi="仿宋" w:eastAsia="仿宋" w:cs="仿宋"/>
          <w:sz w:val="30"/>
          <w:szCs w:val="30"/>
        </w:rPr>
        <w:t>2021年度各级各部门共安排赫山区乡村振兴局衔接推进乡村振兴补助资金3502万元，其中基础设施建设资金1797万元；产业发展资金1160万元；小额信贷贴息资金189万元；雨露计划资金345万元；易地搬迁扶持资金11万元。</w:t>
      </w:r>
    </w:p>
    <w:p>
      <w:pPr>
        <w:spacing w:line="60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（二）预算资金使用管理情况</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我局于2022年3月9日制定并下发了《赫山区财政衔接推进乡村振兴补助资金项目管理实施细则》，对项目申报、实施、验收全流程进行规范。收到上级衔接资金后，我局根据乡村振兴建设任务进行资金预分配，由各村填报项目实施申报表并经乡镇盖章认可，并根据项目实施申报表对项目实施前进行审核、现场抽查，确保项目真实性、必要性，最后根据各村申报项目制定资金分配文件。项目实施前，项目村对项目的资金来源、建设内容等信息进行公示。确保衔接资金使用公开、透明。使用衔接资金5万元及以上项目，项目完工后在项目实施地点设置永久性标识牌。项目验收由各乡镇（街道、园区）组织人员进行，区乡村振兴局和区财政局牵头对乡镇已验收项目进行抽查，验收合格的项目，由项目村按要求制作报账资料送区乡村振兴局审批，乡镇财政所根据审批意见及时向项目施工方支付工程款。</w:t>
      </w:r>
    </w:p>
    <w:p>
      <w:pPr>
        <w:spacing w:line="60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（三）预算支出绩效目标完成程度</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2021年，加强风险预警，充分发挥防返贫监测与帮扶平台预警作用，妥善处理风险数据16923条和政策未落实数据6192条。出台《防止返贫动态监测和帮扶机制实施方案》区、镇、村三级联动，动态管理监测对象，按程序和标准新纳入监测对象318户619人，做到“应纳尽纳”；基础设施建设投入金额1797万元，涉及项目260个，完工率100%，已全部完成报账；产业发展资金1160万元，带动2000余户农户增收。小额信贷健康管理,按照“应贷尽贷”原则，2021年累计发放脱贫人口小额贷款3587.6万元，贴息189万元，整体实现“零逾期”；“雨露计划”职业教育补助2090人次，</w:t>
      </w:r>
      <w:r>
        <w:rPr>
          <w:rFonts w:hint="eastAsia" w:ascii="仿宋" w:hAnsi="仿宋" w:eastAsia="仿宋" w:cs="仿宋"/>
          <w:color w:val="333333"/>
          <w:kern w:val="0"/>
          <w:sz w:val="30"/>
          <w:szCs w:val="30"/>
          <w:shd w:val="clear" w:color="auto" w:fill="FFFFFF"/>
        </w:rPr>
        <w:t>331.8万元</w:t>
      </w:r>
      <w:r>
        <w:rPr>
          <w:rFonts w:hint="eastAsia" w:ascii="仿宋" w:hAnsi="仿宋" w:eastAsia="仿宋" w:cs="仿宋"/>
          <w:sz w:val="30"/>
          <w:szCs w:val="30"/>
        </w:rPr>
        <w:t>；致富带头人培训30人，培训费用13.2万元；全区易地扶贫搬迁共285户、864人，其中分散安置237户719人、集中安置48户145人。</w:t>
      </w:r>
    </w:p>
    <w:p>
      <w:pPr>
        <w:spacing w:line="600" w:lineRule="exact"/>
        <w:ind w:firstLine="600" w:firstLineChars="200"/>
        <w:rPr>
          <w:rFonts w:ascii="黑体" w:hAnsi="黑体" w:eastAsia="黑体" w:cs="黑体"/>
          <w:sz w:val="30"/>
          <w:szCs w:val="30"/>
        </w:rPr>
      </w:pPr>
      <w:r>
        <w:rPr>
          <w:rFonts w:hint="eastAsia" w:ascii="黑体" w:hAnsi="黑体" w:eastAsia="黑体" w:cs="黑体"/>
          <w:sz w:val="30"/>
          <w:szCs w:val="30"/>
        </w:rPr>
        <w:t>二、绩效评价工作情况</w:t>
      </w:r>
    </w:p>
    <w:p>
      <w:pPr>
        <w:spacing w:line="60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（一）绩效评价目的</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为进一步规范衔接推进乡村振兴补助资金管理，牢固树立预算绩效理念，强化部门支出责任，有力保障巩固拓展脱贫攻坚成果同乡村振兴有效衔接开局之年各项工作的稳步推进。</w:t>
      </w:r>
    </w:p>
    <w:p>
      <w:pPr>
        <w:spacing w:line="600" w:lineRule="exact"/>
        <w:ind w:firstLine="602" w:firstLineChars="200"/>
        <w:rPr>
          <w:rFonts w:ascii="仿宋" w:hAnsi="仿宋" w:eastAsia="仿宋" w:cs="仿宋"/>
          <w:sz w:val="30"/>
          <w:szCs w:val="30"/>
        </w:rPr>
      </w:pPr>
      <w:r>
        <w:rPr>
          <w:rFonts w:hint="eastAsia" w:ascii="仿宋" w:hAnsi="仿宋" w:eastAsia="仿宋" w:cs="仿宋"/>
          <w:b/>
          <w:bCs/>
          <w:sz w:val="30"/>
          <w:szCs w:val="30"/>
        </w:rPr>
        <w:t>（二）项目资金落实、总投入等情况，项目资金（主要指财政资金）实际使用等情况</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2021年度各级各部门共安排赫山区乡村振兴局衔接推进乡村振兴补助资金3502万元。上级专项资金3502万元；项目资金目前为止实际支出3502万元，结转结余0万元。详细使用情况如下：</w:t>
      </w:r>
    </w:p>
    <w:p>
      <w:pPr>
        <w:pStyle w:val="7"/>
        <w:spacing w:line="600" w:lineRule="exact"/>
        <w:ind w:firstLine="600"/>
        <w:rPr>
          <w:rFonts w:ascii="仿宋" w:hAnsi="仿宋" w:eastAsia="仿宋" w:cs="仿宋"/>
          <w:sz w:val="30"/>
          <w:szCs w:val="30"/>
        </w:rPr>
      </w:pPr>
      <w:r>
        <w:rPr>
          <w:rFonts w:ascii="仿宋" w:hAnsi="仿宋" w:eastAsia="仿宋" w:cs="仿宋"/>
          <w:sz w:val="30"/>
          <w:szCs w:val="30"/>
        </w:rPr>
        <w:t>1.</w:t>
      </w:r>
      <w:r>
        <w:rPr>
          <w:rFonts w:hint="eastAsia" w:ascii="仿宋" w:hAnsi="仿宋" w:eastAsia="仿宋" w:cs="仿宋"/>
          <w:sz w:val="30"/>
          <w:szCs w:val="30"/>
        </w:rPr>
        <w:t>财政预算安排基础设施建设资金1797万元，实际支出1797万元，用于支持15个乡镇（街道），166个村的基础设施建设。公路硬化里程40余公路，极大方便了群众出行，改善了当地生产生活条件，有力促进当地经济社会发展。</w:t>
      </w:r>
    </w:p>
    <w:p>
      <w:pPr>
        <w:pStyle w:val="7"/>
        <w:spacing w:line="600" w:lineRule="exact"/>
        <w:ind w:firstLine="600"/>
        <w:rPr>
          <w:rFonts w:ascii="仿宋" w:hAnsi="仿宋" w:eastAsia="仿宋" w:cs="仿宋"/>
          <w:sz w:val="30"/>
          <w:szCs w:val="30"/>
        </w:rPr>
      </w:pPr>
      <w:r>
        <w:rPr>
          <w:rFonts w:ascii="仿宋" w:hAnsi="仿宋" w:eastAsia="仿宋" w:cs="仿宋"/>
          <w:sz w:val="30"/>
          <w:szCs w:val="30"/>
        </w:rPr>
        <w:t>2.</w:t>
      </w:r>
      <w:r>
        <w:rPr>
          <w:rFonts w:hint="eastAsia" w:ascii="仿宋" w:hAnsi="仿宋" w:eastAsia="仿宋" w:cs="仿宋"/>
          <w:sz w:val="30"/>
          <w:szCs w:val="30"/>
        </w:rPr>
        <w:t>财政预算安排产业发展资金1160万元，实际支出1160万元，用于支持12个乡镇（街道），85个村的产业配套基础设施建设和产业项目发展，实现沟渠清淤硬化14.8公里，山塘清淤护坡30座。提高了当地蓄水灌溉效能，增加灌溉面积1万余亩，受益农户3万余人，人均增收3000元。</w:t>
      </w:r>
    </w:p>
    <w:p>
      <w:pPr>
        <w:pStyle w:val="7"/>
        <w:spacing w:line="600" w:lineRule="exact"/>
        <w:ind w:firstLine="600"/>
        <w:rPr>
          <w:rFonts w:ascii="仿宋" w:hAnsi="仿宋" w:eastAsia="仿宋" w:cs="仿宋"/>
          <w:sz w:val="30"/>
          <w:szCs w:val="30"/>
        </w:rPr>
      </w:pPr>
      <w:r>
        <w:rPr>
          <w:rFonts w:ascii="仿宋" w:hAnsi="仿宋" w:eastAsia="仿宋" w:cs="仿宋"/>
          <w:sz w:val="30"/>
          <w:szCs w:val="30"/>
        </w:rPr>
        <w:t>3.</w:t>
      </w:r>
      <w:r>
        <w:rPr>
          <w:rFonts w:hint="eastAsia" w:ascii="仿宋" w:hAnsi="仿宋" w:eastAsia="仿宋" w:cs="仿宋"/>
          <w:sz w:val="30"/>
          <w:szCs w:val="30"/>
        </w:rPr>
        <w:t>财政预算安排小额信贷贴息资金189万元，实际支出189万元。2021年第一季度受益脱贫户、监测户1036户，第二季度受益脱贫户、监测户1035户，第三季度受益脱贫户、监测户761户，第四季受益脱贫户、监测户度850户。通过发放脱贫人口小额信贷和实施贴息政策，有效的增强了脱贫户、监测户的产业发展动力和减少了脱贫户、监测户产业发展成本，提高了收入。</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4.财政预算安排雨露计划资金及致富带头人培训资金345万元，实际支出345万元。</w:t>
      </w:r>
      <w:r>
        <w:rPr>
          <w:rFonts w:hint="eastAsia" w:ascii="仿宋" w:hAnsi="仿宋" w:eastAsia="仿宋" w:cs="仿宋"/>
          <w:kern w:val="0"/>
          <w:sz w:val="30"/>
          <w:szCs w:val="30"/>
          <w:shd w:val="clear" w:color="auto" w:fill="FFFFFF"/>
        </w:rPr>
        <w:t>赫山区各乡镇、街道、园区经过摸底、审查、复核，将补助学生名单提交赫山区乡村振兴局，我局对名单进行校核后再发放补助资金。2021年共计发放春季、秋季“雨露计划”2090人次，共补助资金331.8万元。通过职业教育能力培训，提升了脱贫家庭子女就业能力，为脱贫户致富打下了坚实基础。项目已于2021年12月底前竣工验收，验收合格率100%，脱贫户对项目的推进满意度100%。2021年赫山区致富带头人培训30人，培训费用13.2万元。赫山区乡村振兴局通过培育致富带头人助力乡村振兴，有效地促进了农业产业结构调整、农村经济的发展，增强了创业致富带头人带动能力。</w:t>
      </w:r>
    </w:p>
    <w:p>
      <w:pPr>
        <w:pStyle w:val="2"/>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5.财政预算安排易地搬迁扶持资金11万元，实际支出11万元。全区易地扶贫搬迁共285户、864人，其中分散安置237户719人、集中安置48户145人。按照搬迁群众“稳得住、有就业、能致富”要求，做好易地扶贫搬迁后续扶持。</w:t>
      </w:r>
      <w:r>
        <w:rPr>
          <w:rStyle w:val="8"/>
          <w:rFonts w:hint="eastAsia" w:ascii="仿宋" w:hAnsi="仿宋" w:eastAsia="仿宋" w:cs="仿宋"/>
          <w:sz w:val="30"/>
          <w:szCs w:val="30"/>
        </w:rPr>
        <w:t>完善安置点基础设施及基本公共服务，做好两个集中安置点的社区化管理。</w:t>
      </w:r>
    </w:p>
    <w:p>
      <w:pPr>
        <w:spacing w:line="60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（三）项目管理情况</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项目管理严格按照《赫山区财政衔接推进乡村振兴补助资金项目管理实施细则》文件执行。所有项目从区级巩固拓展脱贫攻坚成果和乡村振兴项目库中选择，优先实施群众反映强烈、影响群众生产生活较大的项目。</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项目实施坚持实施前申报审核，完工后逐级验收。</w:t>
      </w:r>
      <w:r>
        <w:rPr>
          <w:rFonts w:hint="eastAsia" w:ascii="仿宋" w:hAnsi="仿宋" w:eastAsia="仿宋" w:cs="仿宋"/>
          <w:sz w:val="30"/>
          <w:szCs w:val="30"/>
          <w:shd w:val="clear" w:color="auto" w:fill="FFFFFF"/>
        </w:rPr>
        <w:t>实行分级分类公告公示制度。实施前，在村务公示栏对项目基本信息进行公示，使用衔接资金5万元及以上项目，项目实施后，在项目实施地点设置永久性标识牌。</w:t>
      </w:r>
    </w:p>
    <w:p>
      <w:pPr>
        <w:spacing w:line="600" w:lineRule="exact"/>
        <w:ind w:firstLine="600" w:firstLineChars="200"/>
        <w:rPr>
          <w:rFonts w:ascii="黑体" w:hAnsi="黑体" w:eastAsia="黑体" w:cs="黑体"/>
          <w:sz w:val="30"/>
          <w:szCs w:val="30"/>
        </w:rPr>
      </w:pPr>
      <w:r>
        <w:rPr>
          <w:rFonts w:hint="eastAsia" w:ascii="黑体" w:hAnsi="黑体" w:eastAsia="黑体" w:cs="黑体"/>
          <w:sz w:val="30"/>
          <w:szCs w:val="30"/>
        </w:rPr>
        <w:t>三、预算支出主要绩效及评价结论</w:t>
      </w:r>
    </w:p>
    <w:p>
      <w:pPr>
        <w:spacing w:line="600" w:lineRule="exact"/>
        <w:ind w:firstLine="600" w:firstLineChars="200"/>
        <w:rPr>
          <w:rFonts w:ascii="仿宋" w:hAnsi="仿宋" w:eastAsia="仿宋" w:cs="仿宋"/>
          <w:b/>
          <w:bCs/>
          <w:sz w:val="30"/>
          <w:szCs w:val="30"/>
        </w:rPr>
      </w:pPr>
      <w:r>
        <w:rPr>
          <w:rFonts w:hint="eastAsia" w:ascii="仿宋" w:hAnsi="仿宋" w:eastAsia="仿宋" w:cs="仿宋"/>
          <w:sz w:val="30"/>
          <w:szCs w:val="30"/>
        </w:rPr>
        <w:t>区乡村振兴局强化资金和项目的管理，做到资金到项目、管理到项目、核算到项目、责任到项目、严格落实绩效管理的各项要求。对项目成本严格控制，严格预算安排，不超预算指标数。当年项目原则上当年完成，质量验收合格后完成报账手续。</w:t>
      </w:r>
    </w:p>
    <w:p>
      <w:pPr>
        <w:spacing w:line="600" w:lineRule="exact"/>
        <w:ind w:firstLine="600" w:firstLineChars="200"/>
        <w:rPr>
          <w:rFonts w:ascii="黑体" w:hAnsi="黑体" w:eastAsia="黑体" w:cs="黑体"/>
          <w:sz w:val="30"/>
          <w:szCs w:val="30"/>
        </w:rPr>
      </w:pPr>
      <w:r>
        <w:rPr>
          <w:rFonts w:hint="eastAsia" w:ascii="黑体" w:hAnsi="黑体" w:eastAsia="黑体" w:cs="黑体"/>
          <w:sz w:val="30"/>
          <w:szCs w:val="30"/>
        </w:rPr>
        <w:t>四、绩效指标评价指标分析</w:t>
      </w:r>
    </w:p>
    <w:p>
      <w:pPr>
        <w:spacing w:line="60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（一）预算支出决策情况</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2021年赫山区乡村振兴局项目共计336个，各预算项目立项依据基本充分，均设定了各项目绩效目标，每一具体项目都有相关的政策文件支撑，资金配置均有明确的测算依据。</w:t>
      </w:r>
    </w:p>
    <w:p>
      <w:pPr>
        <w:spacing w:line="60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（二）预算执行过程情况</w:t>
      </w:r>
    </w:p>
    <w:p>
      <w:pPr>
        <w:pStyle w:val="4"/>
        <w:shd w:val="clear" w:color="auto" w:fill="FFFFFF"/>
        <w:spacing w:beforeAutospacing="0" w:afterAutospacing="0" w:line="600" w:lineRule="exact"/>
        <w:ind w:firstLine="600" w:firstLineChars="200"/>
        <w:jc w:val="both"/>
        <w:rPr>
          <w:rFonts w:ascii="仿宋" w:hAnsi="仿宋" w:eastAsia="仿宋" w:cs="仿宋"/>
          <w:sz w:val="30"/>
          <w:szCs w:val="30"/>
        </w:rPr>
      </w:pPr>
      <w:r>
        <w:rPr>
          <w:rFonts w:hint="eastAsia" w:ascii="仿宋" w:hAnsi="仿宋" w:eastAsia="仿宋" w:cs="仿宋"/>
          <w:sz w:val="30"/>
          <w:szCs w:val="30"/>
        </w:rPr>
        <w:t>1.2021年，乡村振兴局在收到上级各部门下达衔接资金文件后，对到县资金，均在30日内完成资金分配。资金下达进度符合《湖南省财政衔接推进乡村振兴补助资金管理办法》要求，赫山区乡村振兴局全面落实公示公开制度，做到“谁分配、谁公开，谁使用、谁公开，分配到哪里、公开到哪里”，分级分项公告公示到位，对衔接推进乡村振兴补助资金实行事前公示、事后公告，接受社会监督，保障群众知情权、参与权和监督权。赫山区乡村振兴局对资金分配方案在政府门户网站公示公开，乡镇、村和项目实施单位主要在乡镇政府、村委会或项目实施地等政务信息公示栏上公示公开。</w:t>
      </w:r>
    </w:p>
    <w:p>
      <w:pPr>
        <w:pStyle w:val="4"/>
        <w:shd w:val="clear" w:color="auto" w:fill="FFFFFF"/>
        <w:spacing w:beforeAutospacing="0" w:afterAutospacing="0" w:line="600" w:lineRule="exact"/>
        <w:ind w:firstLine="600" w:firstLineChars="200"/>
        <w:jc w:val="both"/>
        <w:rPr>
          <w:rFonts w:ascii="仿宋" w:hAnsi="仿宋" w:eastAsia="仿宋" w:cs="仿宋"/>
          <w:sz w:val="30"/>
          <w:szCs w:val="30"/>
        </w:rPr>
      </w:pPr>
      <w:r>
        <w:rPr>
          <w:rFonts w:hint="eastAsia" w:ascii="仿宋" w:hAnsi="仿宋" w:eastAsia="仿宋" w:cs="仿宋"/>
          <w:sz w:val="30"/>
          <w:szCs w:val="30"/>
        </w:rPr>
        <w:t>2.赫山区乡村振兴局本级项目经费管理情况。2021年未</w:t>
      </w:r>
      <w:r>
        <w:rPr>
          <w:rFonts w:hint="eastAsia" w:ascii="仿宋" w:hAnsi="仿宋" w:eastAsia="仿宋" w:cs="仿宋"/>
          <w:spacing w:val="13"/>
          <w:sz w:val="30"/>
          <w:szCs w:val="30"/>
        </w:rPr>
        <w:t>安排项目管理费。</w:t>
      </w:r>
    </w:p>
    <w:p>
      <w:pPr>
        <w:spacing w:line="60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（三）预算支出产出情况</w:t>
      </w:r>
    </w:p>
    <w:p>
      <w:pPr>
        <w:pStyle w:val="4"/>
        <w:shd w:val="clear" w:color="auto" w:fill="FFFFFF"/>
        <w:spacing w:beforeAutospacing="0" w:afterAutospacing="0" w:line="600" w:lineRule="exact"/>
        <w:ind w:firstLine="600" w:firstLineChars="200"/>
        <w:jc w:val="both"/>
        <w:rPr>
          <w:rFonts w:ascii="仿宋" w:hAnsi="仿宋" w:eastAsia="仿宋" w:cs="仿宋"/>
          <w:sz w:val="30"/>
          <w:szCs w:val="30"/>
        </w:rPr>
      </w:pPr>
      <w:r>
        <w:rPr>
          <w:rFonts w:hint="eastAsia" w:ascii="仿宋" w:hAnsi="仿宋" w:eastAsia="仿宋" w:cs="仿宋"/>
          <w:sz w:val="30"/>
          <w:szCs w:val="30"/>
        </w:rPr>
        <w:t>1.产出数量。2021年赫山区乡村振兴局项目共计336个，已完成336个。</w:t>
      </w:r>
    </w:p>
    <w:p>
      <w:pPr>
        <w:pStyle w:val="4"/>
        <w:shd w:val="clear" w:color="auto" w:fill="FFFFFF"/>
        <w:spacing w:beforeAutospacing="0" w:afterAutospacing="0" w:line="600" w:lineRule="exact"/>
        <w:ind w:firstLine="600" w:firstLineChars="200"/>
        <w:jc w:val="both"/>
        <w:rPr>
          <w:rFonts w:ascii="仿宋" w:hAnsi="仿宋" w:eastAsia="仿宋" w:cs="仿宋"/>
          <w:sz w:val="30"/>
          <w:szCs w:val="30"/>
        </w:rPr>
      </w:pPr>
      <w:r>
        <w:rPr>
          <w:rFonts w:hint="eastAsia" w:ascii="仿宋" w:hAnsi="仿宋" w:eastAsia="仿宋" w:cs="仿宋"/>
          <w:sz w:val="30"/>
          <w:szCs w:val="30"/>
        </w:rPr>
        <w:t>2.产出质量、时效及成本。2021年赫山区乡村振兴局项目共计336个，共设质量、时效及成本指标7个，质量、时效及成本指标全部完成。</w:t>
      </w:r>
    </w:p>
    <w:p>
      <w:pPr>
        <w:spacing w:line="60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（四）预算支出效益情况</w:t>
      </w:r>
    </w:p>
    <w:p>
      <w:pPr>
        <w:pStyle w:val="4"/>
        <w:shd w:val="clear" w:color="auto" w:fill="FFFFFF"/>
        <w:spacing w:beforeAutospacing="0" w:afterAutospacing="0" w:line="600" w:lineRule="exact"/>
        <w:ind w:firstLine="600" w:firstLineChars="200"/>
        <w:jc w:val="both"/>
        <w:rPr>
          <w:rFonts w:ascii="仿宋" w:hAnsi="仿宋" w:eastAsia="仿宋" w:cs="仿宋"/>
          <w:sz w:val="30"/>
          <w:szCs w:val="30"/>
        </w:rPr>
      </w:pPr>
      <w:r>
        <w:rPr>
          <w:rFonts w:hint="eastAsia" w:ascii="仿宋" w:hAnsi="仿宋" w:eastAsia="仿宋" w:cs="仿宋"/>
          <w:sz w:val="30"/>
          <w:szCs w:val="30"/>
        </w:rPr>
        <w:t>1.项目预期目标完成程度。</w:t>
      </w:r>
    </w:p>
    <w:p>
      <w:pPr>
        <w:pStyle w:val="4"/>
        <w:shd w:val="clear" w:color="auto" w:fill="FFFFFF"/>
        <w:spacing w:beforeAutospacing="0" w:afterAutospacing="0" w:line="600" w:lineRule="exact"/>
        <w:ind w:firstLine="600" w:firstLineChars="200"/>
        <w:jc w:val="both"/>
        <w:rPr>
          <w:rFonts w:ascii="仿宋" w:hAnsi="仿宋" w:eastAsia="仿宋" w:cs="仿宋"/>
          <w:sz w:val="30"/>
          <w:szCs w:val="30"/>
        </w:rPr>
      </w:pPr>
      <w:r>
        <w:rPr>
          <w:rFonts w:hint="eastAsia" w:ascii="仿宋" w:hAnsi="仿宋" w:eastAsia="仿宋" w:cs="仿宋"/>
          <w:sz w:val="30"/>
          <w:szCs w:val="30"/>
        </w:rPr>
        <w:t>2021年赫山区乡村振兴局共计实施项目336个，基本实现预期目标。</w:t>
      </w:r>
    </w:p>
    <w:p>
      <w:pPr>
        <w:pStyle w:val="4"/>
        <w:shd w:val="clear" w:color="auto" w:fill="FFFFFF"/>
        <w:spacing w:beforeAutospacing="0" w:afterAutospacing="0" w:line="600" w:lineRule="exact"/>
        <w:ind w:firstLine="600" w:firstLineChars="200"/>
        <w:jc w:val="both"/>
        <w:rPr>
          <w:rFonts w:ascii="仿宋" w:hAnsi="仿宋" w:eastAsia="仿宋" w:cs="仿宋"/>
          <w:sz w:val="30"/>
          <w:szCs w:val="30"/>
        </w:rPr>
      </w:pPr>
      <w:r>
        <w:rPr>
          <w:rFonts w:hint="eastAsia" w:ascii="仿宋" w:hAnsi="仿宋" w:eastAsia="仿宋" w:cs="仿宋"/>
          <w:sz w:val="30"/>
          <w:szCs w:val="30"/>
        </w:rPr>
        <w:t>2.项目实施对经济和社会的影响。</w:t>
      </w:r>
    </w:p>
    <w:p>
      <w:pPr>
        <w:pStyle w:val="4"/>
        <w:shd w:val="clear" w:color="auto" w:fill="FFFFFF"/>
        <w:spacing w:beforeAutospacing="0" w:afterAutospacing="0" w:line="600" w:lineRule="exact"/>
        <w:ind w:firstLine="600" w:firstLineChars="200"/>
        <w:jc w:val="both"/>
        <w:rPr>
          <w:rFonts w:ascii="仿宋" w:hAnsi="仿宋" w:eastAsia="仿宋" w:cs="仿宋"/>
          <w:sz w:val="30"/>
          <w:szCs w:val="30"/>
        </w:rPr>
      </w:pPr>
      <w:r>
        <w:rPr>
          <w:rFonts w:hint="eastAsia" w:ascii="仿宋" w:hAnsi="仿宋" w:eastAsia="仿宋" w:cs="仿宋"/>
          <w:sz w:val="30"/>
          <w:szCs w:val="30"/>
        </w:rPr>
        <w:t>赫山区乡村振兴局深入贯彻落实习近平总书记关于“三农”工作的重要论述和全国脱贫攻坚总结表彰大会上的重要讲话精神，始终把巩固拓展脱贫攻坚成果同乡村振兴有效衔接放在突出位置、作为首要任务来抓，坚持“四个不摘”，狠抓工作落实，坚决守住不发生规模性返贫的底线，切实把脱贫成果巩固住、拓展好，努力推动巩固拓展脱贫攻坚成果同乡村振兴有效衔接。</w:t>
      </w:r>
    </w:p>
    <w:p>
      <w:pPr>
        <w:pStyle w:val="4"/>
        <w:shd w:val="clear" w:color="auto" w:fill="FFFFFF"/>
        <w:spacing w:beforeAutospacing="0" w:afterAutospacing="0" w:line="600" w:lineRule="exact"/>
        <w:ind w:firstLine="600" w:firstLineChars="200"/>
        <w:jc w:val="both"/>
        <w:rPr>
          <w:rFonts w:ascii="黑体" w:hAnsi="黑体" w:eastAsia="黑体" w:cs="黑体"/>
          <w:sz w:val="30"/>
          <w:szCs w:val="30"/>
        </w:rPr>
      </w:pPr>
      <w:r>
        <w:rPr>
          <w:rFonts w:hint="eastAsia" w:ascii="黑体" w:hAnsi="黑体" w:eastAsia="黑体" w:cs="黑体"/>
          <w:sz w:val="30"/>
          <w:szCs w:val="30"/>
        </w:rPr>
        <w:t>五、主要经验及做法、存在的问题及原因分析</w:t>
      </w:r>
    </w:p>
    <w:p>
      <w:pPr>
        <w:pStyle w:val="4"/>
        <w:shd w:val="clear" w:color="auto" w:fill="FFFFFF"/>
        <w:spacing w:beforeAutospacing="0" w:afterAutospacing="0" w:line="600" w:lineRule="exact"/>
        <w:ind w:firstLine="600" w:firstLineChars="200"/>
        <w:jc w:val="both"/>
        <w:rPr>
          <w:rFonts w:ascii="仿宋" w:hAnsi="仿宋" w:eastAsia="仿宋" w:cs="仿宋"/>
          <w:sz w:val="30"/>
          <w:szCs w:val="30"/>
        </w:rPr>
      </w:pPr>
      <w:r>
        <w:rPr>
          <w:rFonts w:hint="eastAsia" w:ascii="仿宋" w:hAnsi="仿宋" w:eastAsia="仿宋" w:cs="仿宋"/>
          <w:sz w:val="30"/>
          <w:szCs w:val="30"/>
          <w:shd w:val="clear" w:color="auto" w:fill="FFFFFF"/>
        </w:rPr>
        <w:t>各项目实施单位绩效评价意识薄弱，项目实施未充分考虑现实需求、群众意愿。</w:t>
      </w:r>
    </w:p>
    <w:p>
      <w:pPr>
        <w:pStyle w:val="4"/>
        <w:shd w:val="clear" w:color="auto" w:fill="FFFFFF"/>
        <w:spacing w:beforeAutospacing="0" w:afterAutospacing="0" w:line="600" w:lineRule="exact"/>
        <w:ind w:firstLine="600" w:firstLineChars="200"/>
        <w:jc w:val="both"/>
        <w:rPr>
          <w:rFonts w:ascii="黑体" w:hAnsi="黑体" w:eastAsia="黑体" w:cs="黑体"/>
          <w:sz w:val="30"/>
          <w:szCs w:val="30"/>
        </w:rPr>
      </w:pPr>
      <w:r>
        <w:rPr>
          <w:rFonts w:hint="eastAsia" w:ascii="黑体" w:hAnsi="黑体" w:eastAsia="黑体" w:cs="黑体"/>
          <w:sz w:val="30"/>
          <w:szCs w:val="30"/>
        </w:rPr>
        <w:t>六、有关建议</w:t>
      </w:r>
    </w:p>
    <w:p>
      <w:pPr>
        <w:pStyle w:val="4"/>
        <w:shd w:val="clear" w:color="auto" w:fill="FFFFFF"/>
        <w:spacing w:beforeAutospacing="0" w:afterAutospacing="0" w:line="600" w:lineRule="exact"/>
        <w:ind w:firstLine="600" w:firstLineChars="200"/>
        <w:jc w:val="both"/>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提高绩效意识，强化相关股室工作人员资金绩效管理意识，真正做到事前有目标、事中有监控、事后有评价。加强资金绩效评价培训和绩效评价人员队伍建设。</w:t>
      </w:r>
    </w:p>
    <w:p>
      <w:pPr>
        <w:pStyle w:val="4"/>
        <w:shd w:val="clear" w:color="auto" w:fill="FFFFFF"/>
        <w:spacing w:beforeAutospacing="0" w:afterAutospacing="0" w:line="600" w:lineRule="exact"/>
        <w:ind w:firstLine="600" w:firstLineChars="200"/>
        <w:jc w:val="both"/>
        <w:rPr>
          <w:rFonts w:ascii="黑体" w:hAnsi="黑体" w:eastAsia="黑体" w:cs="黑体"/>
          <w:sz w:val="30"/>
          <w:szCs w:val="30"/>
        </w:rPr>
      </w:pPr>
      <w:r>
        <w:rPr>
          <w:rFonts w:hint="eastAsia" w:ascii="黑体" w:hAnsi="黑体" w:eastAsia="黑体" w:cs="黑体"/>
          <w:sz w:val="30"/>
          <w:szCs w:val="30"/>
        </w:rPr>
        <w:t>七、其它需要说明的问题</w:t>
      </w:r>
    </w:p>
    <w:p>
      <w:pPr>
        <w:spacing w:line="600" w:lineRule="exact"/>
        <w:ind w:firstLine="600" w:firstLineChars="200"/>
        <w:rPr>
          <w:rFonts w:ascii="仿宋" w:hAnsi="仿宋" w:eastAsia="仿宋" w:cs="仿宋"/>
          <w:kern w:val="0"/>
          <w:sz w:val="30"/>
          <w:szCs w:val="30"/>
          <w:shd w:val="clear" w:color="auto" w:fill="FFFFFF"/>
        </w:rPr>
      </w:pPr>
      <w:r>
        <w:rPr>
          <w:rFonts w:hint="eastAsia" w:ascii="仿宋" w:hAnsi="仿宋" w:eastAsia="仿宋" w:cs="仿宋"/>
          <w:kern w:val="0"/>
          <w:sz w:val="30"/>
          <w:szCs w:val="30"/>
          <w:shd w:val="clear" w:color="auto" w:fill="FFFFFF"/>
        </w:rPr>
        <w:t>认真学习《中华人民共和国政府采购法》及《中华人民共和国政府采购法实施条例》，增强依法采购意识，提高依法采购水平，同时加强政府采购预算、计划编制，采购实施按规定、按计划执行。</w:t>
      </w:r>
    </w:p>
    <w:p>
      <w:pPr>
        <w:spacing w:afterLines="50" w:line="600" w:lineRule="exact"/>
        <w:ind w:firstLine="600" w:firstLineChars="200"/>
        <w:jc w:val="left"/>
        <w:rPr>
          <w:rFonts w:ascii="仿宋" w:hAnsi="仿宋" w:eastAsia="仿宋" w:cs="仿宋"/>
          <w:kern w:val="0"/>
          <w:sz w:val="30"/>
          <w:szCs w:val="30"/>
          <w:shd w:val="clear" w:color="auto" w:fill="FFFFFF"/>
        </w:rPr>
      </w:pPr>
      <w:r>
        <w:rPr>
          <w:rFonts w:hint="eastAsia" w:ascii="仿宋" w:hAnsi="仿宋" w:eastAsia="仿宋" w:cs="仿宋"/>
          <w:kern w:val="0"/>
          <w:sz w:val="30"/>
          <w:szCs w:val="30"/>
          <w:shd w:val="clear" w:color="auto" w:fill="FFFFFF"/>
        </w:rPr>
        <w:t>附件：2021年度项目支出绩效自评指标计分表</w:t>
      </w:r>
    </w:p>
    <w:p>
      <w:pPr>
        <w:spacing w:afterLines="50" w:line="400" w:lineRule="exact"/>
        <w:jc w:val="center"/>
        <w:rPr>
          <w:rFonts w:ascii="黑体" w:hAnsi="黑体" w:eastAsia="黑体" w:cs="黑体"/>
          <w:sz w:val="36"/>
          <w:szCs w:val="36"/>
        </w:rPr>
      </w:pPr>
    </w:p>
    <w:p>
      <w:pPr>
        <w:spacing w:afterLines="50" w:line="400" w:lineRule="exact"/>
        <w:jc w:val="both"/>
        <w:rPr>
          <w:rFonts w:ascii="黑体" w:hAnsi="黑体" w:eastAsia="黑体" w:cs="黑体"/>
          <w:sz w:val="36"/>
          <w:szCs w:val="36"/>
        </w:rPr>
      </w:pPr>
      <w:bookmarkStart w:id="0" w:name="_GoBack"/>
      <w:bookmarkEnd w:id="0"/>
    </w:p>
    <w:p>
      <w:pPr>
        <w:spacing w:afterLines="50" w:line="400" w:lineRule="exact"/>
        <w:jc w:val="center"/>
        <w:rPr>
          <w:rFonts w:ascii="方正小标宋简体" w:eastAsia="方正小标宋简体" w:cs="方正小标宋_GBK"/>
          <w:sz w:val="36"/>
          <w:szCs w:val="36"/>
        </w:rPr>
      </w:pPr>
      <w:r>
        <w:rPr>
          <w:rFonts w:hint="eastAsia" w:ascii="黑体" w:hAnsi="黑体" w:eastAsia="黑体" w:cs="黑体"/>
          <w:sz w:val="36"/>
          <w:szCs w:val="36"/>
        </w:rPr>
        <w:t>2021年度项目支出绩效自评指标计分表</w:t>
      </w:r>
    </w:p>
    <w:tbl>
      <w:tblPr>
        <w:tblStyle w:val="5"/>
        <w:tblW w:w="9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3"/>
        <w:gridCol w:w="454"/>
        <w:gridCol w:w="834"/>
        <w:gridCol w:w="540"/>
        <w:gridCol w:w="2625"/>
        <w:gridCol w:w="4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543" w:type="dxa"/>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一级</w:t>
            </w:r>
            <w:r>
              <w:rPr>
                <w:rFonts w:ascii="宋体"/>
                <w:b/>
                <w:bCs/>
              </w:rPr>
              <w:br w:type="textWrapping"/>
            </w:r>
            <w:r>
              <w:rPr>
                <w:rFonts w:hint="eastAsia" w:ascii="宋体" w:hAnsi="宋体" w:cs="宋体"/>
                <w:b/>
                <w:bCs/>
              </w:rPr>
              <w:t>指标</w:t>
            </w:r>
          </w:p>
        </w:tc>
        <w:tc>
          <w:tcPr>
            <w:tcW w:w="454" w:type="dxa"/>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二级</w:t>
            </w:r>
            <w:r>
              <w:rPr>
                <w:rFonts w:ascii="宋体"/>
                <w:b/>
                <w:bCs/>
              </w:rPr>
              <w:br w:type="textWrapping"/>
            </w:r>
            <w:r>
              <w:rPr>
                <w:rFonts w:hint="eastAsia" w:ascii="宋体" w:hAnsi="宋体" w:cs="宋体"/>
                <w:b/>
                <w:bCs/>
              </w:rPr>
              <w:t>指标</w:t>
            </w:r>
          </w:p>
        </w:tc>
        <w:tc>
          <w:tcPr>
            <w:tcW w:w="834" w:type="dxa"/>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三级指标</w:t>
            </w:r>
          </w:p>
        </w:tc>
        <w:tc>
          <w:tcPr>
            <w:tcW w:w="540" w:type="dxa"/>
          </w:tcPr>
          <w:p>
            <w:pPr>
              <w:spacing w:line="240" w:lineRule="exact"/>
              <w:jc w:val="center"/>
              <w:rPr>
                <w:rFonts w:ascii="宋体"/>
                <w:b/>
                <w:bCs/>
              </w:rPr>
            </w:pPr>
            <w:r>
              <w:rPr>
                <w:rFonts w:hint="eastAsia" w:ascii="宋体" w:hAnsi="宋体" w:cs="宋体"/>
                <w:b/>
                <w:bCs/>
              </w:rPr>
              <w:t>自评分</w:t>
            </w:r>
          </w:p>
        </w:tc>
        <w:tc>
          <w:tcPr>
            <w:tcW w:w="2625" w:type="dxa"/>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指标解释</w:t>
            </w:r>
          </w:p>
        </w:tc>
        <w:tc>
          <w:tcPr>
            <w:tcW w:w="4194" w:type="dxa"/>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restart"/>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决</w:t>
            </w:r>
            <w:r>
              <w:rPr>
                <w:rFonts w:ascii="宋体" w:hAnsi="宋体" w:cs="宋体"/>
              </w:rPr>
              <w:t xml:space="preserve">  </w:t>
            </w:r>
            <w:r>
              <w:rPr>
                <w:rFonts w:hint="eastAsia" w:ascii="宋体" w:hAnsi="宋体" w:cs="宋体"/>
              </w:rPr>
              <w:t>策（</w:t>
            </w:r>
            <w:r>
              <w:rPr>
                <w:rFonts w:ascii="宋体" w:hAnsi="宋体" w:cs="宋体"/>
              </w:rPr>
              <w:t>20</w:t>
            </w:r>
            <w:r>
              <w:rPr>
                <w:rFonts w:hint="eastAsia" w:ascii="宋体" w:hAnsi="宋体" w:cs="宋体"/>
              </w:rPr>
              <w:t>分）</w:t>
            </w:r>
          </w:p>
        </w:tc>
        <w:tc>
          <w:tcPr>
            <w:tcW w:w="454"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预算支出决策</w:t>
            </w:r>
          </w:p>
          <w:p>
            <w:pPr>
              <w:spacing w:line="240" w:lineRule="exact"/>
              <w:jc w:val="center"/>
              <w:rPr>
                <w:rFonts w:ascii="宋体"/>
              </w:rPr>
            </w:pPr>
            <w:r>
              <w:rPr>
                <w:rFonts w:hint="eastAsia" w:ascii="宋体" w:hAnsi="宋体" w:cs="宋体"/>
              </w:rPr>
              <w:t>（项目立项）（</w:t>
            </w:r>
            <w:r>
              <w:rPr>
                <w:rFonts w:ascii="宋体" w:hAnsi="宋体" w:cs="宋体"/>
              </w:rPr>
              <w:t>8</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预算支出决策（项目立项）依据</w:t>
            </w:r>
          </w:p>
          <w:p>
            <w:pPr>
              <w:spacing w:line="240" w:lineRule="exact"/>
              <w:ind w:left="105" w:leftChars="50" w:right="105" w:rightChars="50"/>
              <w:jc w:val="center"/>
              <w:rPr>
                <w:rFonts w:ascii="宋体"/>
              </w:rPr>
            </w:pPr>
            <w:r>
              <w:rPr>
                <w:rFonts w:hint="eastAsia" w:ascii="宋体" w:hAnsi="宋体" w:cs="宋体"/>
              </w:rPr>
              <w:t>充分性（</w:t>
            </w:r>
            <w:r>
              <w:rPr>
                <w:rFonts w:ascii="宋体" w:hAnsi="宋体" w:cs="宋体"/>
              </w:rPr>
              <w:t>4</w:t>
            </w:r>
            <w:r>
              <w:rPr>
                <w:rFonts w:hint="eastAsia" w:ascii="宋体" w:hAnsi="宋体" w:cs="宋体"/>
              </w:rPr>
              <w:t>分）</w:t>
            </w:r>
          </w:p>
        </w:tc>
        <w:tc>
          <w:tcPr>
            <w:tcW w:w="540" w:type="dxa"/>
          </w:tcPr>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ascii="宋体" w:eastAsia="宋体"/>
              </w:rPr>
            </w:pPr>
            <w:r>
              <w:rPr>
                <w:rFonts w:hint="eastAsia" w:ascii="宋体"/>
              </w:rPr>
              <w:t>4</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预算支出决策（项目立项）是否符合法律法规、相关政策、发展规划以及部门职责，用以反映和考核决策（立项）的依据情况。</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①决策（立项）是否符合国家相关法律法规、国民经济发展规划和相关政策；</w:t>
            </w:r>
            <w:r>
              <w:rPr>
                <w:rFonts w:ascii="宋体"/>
              </w:rPr>
              <w:br w:type="textWrapping"/>
            </w:r>
            <w:r>
              <w:rPr>
                <w:rFonts w:hint="eastAsia" w:ascii="宋体" w:hAnsi="宋体" w:cs="宋体"/>
              </w:rPr>
              <w:t>②决策（立项）是否符合行业发展规划和政策要求；</w:t>
            </w:r>
            <w:r>
              <w:rPr>
                <w:rFonts w:ascii="宋体"/>
              </w:rPr>
              <w:br w:type="textWrapping"/>
            </w:r>
            <w:r>
              <w:rPr>
                <w:rFonts w:hint="eastAsia" w:ascii="宋体" w:hAnsi="宋体" w:cs="宋体"/>
              </w:rPr>
              <w:t>③决策（立项）是否与部门职责范围相符，属于部门履职所需；</w:t>
            </w:r>
            <w:r>
              <w:rPr>
                <w:rFonts w:ascii="宋体"/>
              </w:rPr>
              <w:br w:type="textWrapping"/>
            </w:r>
            <w:r>
              <w:rPr>
                <w:rFonts w:hint="eastAsia" w:ascii="宋体" w:hAnsi="宋体" w:cs="宋体"/>
              </w:rPr>
              <w:t>④预算支出是否属于公共财政支持范围，是否符合中央、地方事权支出责任划分原则；</w:t>
            </w:r>
          </w:p>
          <w:p>
            <w:pPr>
              <w:spacing w:line="240" w:lineRule="exact"/>
              <w:ind w:left="105" w:leftChars="50" w:right="105" w:rightChars="50"/>
              <w:rPr>
                <w:rFonts w:ascii="宋体"/>
              </w:rPr>
            </w:pPr>
            <w:r>
              <w:rPr>
                <w:rFonts w:hint="eastAsia" w:ascii="宋体" w:hAnsi="宋体" w:cs="宋体"/>
              </w:rPr>
              <w:t>⑤预算支出是否与相关部门同类预算支出或部门内部相关预算支出重复。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0" w:hRule="atLeast"/>
          <w:jc w:val="center"/>
        </w:trPr>
        <w:tc>
          <w:tcPr>
            <w:tcW w:w="543" w:type="dxa"/>
            <w:vMerge w:val="continue"/>
            <w:tcMar>
              <w:top w:w="10" w:type="dxa"/>
              <w:left w:w="10" w:type="dxa"/>
              <w:bottom w:w="0" w:type="dxa"/>
              <w:right w:w="10" w:type="dxa"/>
            </w:tcMar>
            <w:textDirection w:val="tbRlV"/>
            <w:vAlign w:val="center"/>
          </w:tcPr>
          <w:p>
            <w:pPr>
              <w:spacing w:line="240" w:lineRule="exact"/>
              <w:jc w:val="center"/>
              <w:rPr>
                <w:rFonts w:ascii="宋体"/>
              </w:rPr>
            </w:pPr>
          </w:p>
        </w:tc>
        <w:tc>
          <w:tcPr>
            <w:tcW w:w="454" w:type="dxa"/>
            <w:vMerge w:val="continue"/>
            <w:tcMar>
              <w:top w:w="10" w:type="dxa"/>
              <w:left w:w="10" w:type="dxa"/>
              <w:bottom w:w="0" w:type="dxa"/>
              <w:right w:w="10" w:type="dxa"/>
            </w:tcMar>
            <w:vAlign w:val="center"/>
          </w:tcPr>
          <w:p>
            <w:pPr>
              <w:spacing w:line="240" w:lineRule="exact"/>
              <w:jc w:val="center"/>
              <w:rPr>
                <w:rFonts w:ascii="宋体"/>
              </w:rPr>
            </w:pP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决策(立项）程序规范性(</w:t>
            </w:r>
            <w:r>
              <w:rPr>
                <w:rFonts w:ascii="宋体" w:hAnsi="宋体" w:cs="宋体"/>
              </w:rPr>
              <w:t>4</w:t>
            </w:r>
            <w:r>
              <w:rPr>
                <w:rFonts w:hint="eastAsia" w:ascii="宋体" w:hAnsi="宋体" w:cs="宋体"/>
              </w:rPr>
              <w:t>分)</w:t>
            </w:r>
          </w:p>
        </w:tc>
        <w:tc>
          <w:tcPr>
            <w:tcW w:w="540" w:type="dxa"/>
          </w:tcPr>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ascii="宋体" w:eastAsia="宋体"/>
              </w:rPr>
            </w:pPr>
            <w:r>
              <w:rPr>
                <w:rFonts w:hint="eastAsia" w:ascii="宋体"/>
              </w:rPr>
              <w:t>4</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预算支出申请、设立过程是否符合相关要求，用以反映和考核决策（立项）的规范情况。</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left="105" w:leftChars="50"/>
              <w:rPr>
                <w:rFonts w:ascii="宋体"/>
              </w:rPr>
            </w:pPr>
            <w:r>
              <w:rPr>
                <w:rFonts w:hint="eastAsia" w:ascii="宋体" w:hAnsi="宋体" w:cs="宋体"/>
              </w:rPr>
              <w:t>①预算支出是否按照规定的程序申请设立；</w:t>
            </w:r>
          </w:p>
          <w:p>
            <w:pPr>
              <w:spacing w:line="240" w:lineRule="exact"/>
              <w:ind w:left="105" w:leftChars="50"/>
              <w:rPr>
                <w:rFonts w:ascii="宋体"/>
              </w:rPr>
            </w:pPr>
            <w:r>
              <w:rPr>
                <w:rFonts w:hint="eastAsia" w:ascii="宋体" w:hAnsi="宋体" w:cs="宋体"/>
              </w:rPr>
              <w:t>②审批文件、材料是否符合相关要求；</w:t>
            </w:r>
          </w:p>
          <w:p>
            <w:pPr>
              <w:spacing w:line="240" w:lineRule="exact"/>
              <w:ind w:left="105" w:leftChars="50"/>
              <w:rPr>
                <w:rFonts w:ascii="宋体"/>
              </w:rPr>
            </w:pPr>
            <w:r>
              <w:rPr>
                <w:rFonts w:hint="eastAsia" w:ascii="宋体" w:hAnsi="宋体" w:cs="宋体"/>
              </w:rPr>
              <w:t>③事前是否已经过必要的可行性研究、专家论证、风险评估、绩效评估、集体决策。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2" w:hRule="atLeast"/>
          <w:jc w:val="center"/>
        </w:trPr>
        <w:tc>
          <w:tcPr>
            <w:tcW w:w="543" w:type="dxa"/>
            <w:vMerge w:val="continue"/>
            <w:vAlign w:val="center"/>
          </w:tcPr>
          <w:p>
            <w:pPr>
              <w:spacing w:line="240" w:lineRule="exact"/>
              <w:rPr>
                <w:rFonts w:ascii="宋体"/>
              </w:rPr>
            </w:pPr>
          </w:p>
        </w:tc>
        <w:tc>
          <w:tcPr>
            <w:tcW w:w="454" w:type="dxa"/>
            <w:vMerge w:val="restart"/>
            <w:vAlign w:val="center"/>
          </w:tcPr>
          <w:p>
            <w:pPr>
              <w:spacing w:line="240" w:lineRule="exact"/>
              <w:jc w:val="center"/>
              <w:rPr>
                <w:rFonts w:ascii="宋体"/>
              </w:rPr>
            </w:pPr>
            <w:r>
              <w:rPr>
                <w:rFonts w:hint="eastAsia" w:ascii="宋体" w:hAnsi="宋体" w:cs="宋体"/>
              </w:rPr>
              <w:t>绩效</w:t>
            </w:r>
          </w:p>
          <w:p>
            <w:pPr>
              <w:spacing w:line="240" w:lineRule="exact"/>
              <w:jc w:val="center"/>
              <w:rPr>
                <w:rFonts w:ascii="宋体"/>
              </w:rPr>
            </w:pPr>
            <w:r>
              <w:rPr>
                <w:rFonts w:hint="eastAsia" w:ascii="宋体" w:hAnsi="宋体" w:cs="宋体"/>
              </w:rPr>
              <w:t>目标（</w:t>
            </w:r>
            <w:r>
              <w:rPr>
                <w:rFonts w:ascii="宋体" w:hAnsi="宋体" w:cs="宋体"/>
              </w:rPr>
              <w:t>6</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绩效目标</w:t>
            </w:r>
          </w:p>
          <w:p>
            <w:pPr>
              <w:spacing w:line="240" w:lineRule="exact"/>
              <w:ind w:left="105" w:leftChars="50" w:right="105" w:rightChars="50"/>
              <w:jc w:val="center"/>
              <w:rPr>
                <w:rFonts w:ascii="宋体"/>
              </w:rPr>
            </w:pPr>
            <w:r>
              <w:rPr>
                <w:rFonts w:hint="eastAsia" w:ascii="宋体" w:hAnsi="宋体" w:cs="宋体"/>
              </w:rPr>
              <w:t>合理性（</w:t>
            </w:r>
            <w:r>
              <w:rPr>
                <w:rFonts w:ascii="宋体" w:hAnsi="宋体" w:cs="宋体"/>
              </w:rPr>
              <w:t>3</w:t>
            </w:r>
            <w:r>
              <w:rPr>
                <w:rFonts w:hint="eastAsia" w:ascii="宋体" w:hAnsi="宋体" w:cs="宋体"/>
              </w:rPr>
              <w:t>分）</w:t>
            </w:r>
          </w:p>
        </w:tc>
        <w:tc>
          <w:tcPr>
            <w:tcW w:w="540" w:type="dxa"/>
          </w:tcPr>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ascii="宋体" w:eastAsia="宋体"/>
              </w:rPr>
            </w:pPr>
            <w:r>
              <w:rPr>
                <w:rFonts w:hint="eastAsia" w:ascii="宋体"/>
              </w:rPr>
              <w:t>3</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预算支出所设定的绩效目标是否依据充分，是否符合客观实际，用以反映和考核预算支出绩效目标与预算支出实施的相符情况。</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left="105" w:leftChars="50" w:right="105" w:rightChars="50"/>
              <w:rPr>
                <w:rFonts w:ascii="宋体"/>
              </w:rPr>
            </w:pPr>
            <w:r>
              <w:rPr>
                <w:rFonts w:hint="eastAsia" w:ascii="宋体" w:hAnsi="宋体" w:cs="宋体"/>
              </w:rPr>
              <w:t>（如未设定预算绩效目标，也可考核其他工作任务目标）</w:t>
            </w:r>
          </w:p>
          <w:p>
            <w:pPr>
              <w:spacing w:line="240" w:lineRule="exact"/>
              <w:ind w:left="105" w:leftChars="50" w:right="105" w:rightChars="50"/>
              <w:rPr>
                <w:rFonts w:ascii="宋体"/>
              </w:rPr>
            </w:pPr>
            <w:r>
              <w:rPr>
                <w:rFonts w:hint="eastAsia" w:ascii="宋体" w:hAnsi="宋体" w:cs="宋体"/>
              </w:rPr>
              <w:t>①预算支出是否有绩效目标；</w:t>
            </w:r>
          </w:p>
          <w:p>
            <w:pPr>
              <w:spacing w:line="240" w:lineRule="exact"/>
              <w:ind w:left="105" w:leftChars="50" w:right="105" w:rightChars="50"/>
              <w:rPr>
                <w:rFonts w:ascii="宋体"/>
              </w:rPr>
            </w:pPr>
            <w:r>
              <w:rPr>
                <w:rFonts w:hint="eastAsia" w:ascii="宋体" w:hAnsi="宋体" w:cs="宋体"/>
              </w:rPr>
              <w:t>②预算支出绩效目标与实际工作内容是否具有相关性；</w:t>
            </w:r>
          </w:p>
          <w:p>
            <w:pPr>
              <w:spacing w:line="240" w:lineRule="exact"/>
              <w:ind w:left="105" w:leftChars="50" w:right="105" w:rightChars="50"/>
              <w:rPr>
                <w:rFonts w:ascii="宋体"/>
              </w:rPr>
            </w:pPr>
            <w:r>
              <w:rPr>
                <w:rFonts w:hint="eastAsia" w:ascii="宋体" w:hAnsi="宋体" w:cs="宋体"/>
              </w:rPr>
              <w:t>③预算支出预期产出效益和效果是否符合正常的业绩水平；是否与预算确定的预算支出投资额或资金量相匹配。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rPr>
                <w:rFonts w:ascii="宋体"/>
              </w:rPr>
            </w:pPr>
          </w:p>
        </w:tc>
        <w:tc>
          <w:tcPr>
            <w:tcW w:w="454" w:type="dxa"/>
            <w:vMerge w:val="continue"/>
            <w:vAlign w:val="center"/>
          </w:tcPr>
          <w:p>
            <w:pPr>
              <w:spacing w:line="240" w:lineRule="exact"/>
              <w:jc w:val="center"/>
              <w:rPr>
                <w:rFonts w:ascii="宋体"/>
              </w:rPr>
            </w:pP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绩效指标</w:t>
            </w:r>
          </w:p>
          <w:p>
            <w:pPr>
              <w:spacing w:line="240" w:lineRule="exact"/>
              <w:ind w:left="105" w:leftChars="50" w:right="105" w:rightChars="50"/>
              <w:jc w:val="center"/>
              <w:rPr>
                <w:rFonts w:ascii="宋体"/>
              </w:rPr>
            </w:pPr>
            <w:r>
              <w:rPr>
                <w:rFonts w:hint="eastAsia" w:ascii="宋体" w:hAnsi="宋体" w:cs="宋体"/>
              </w:rPr>
              <w:t>明确性（</w:t>
            </w:r>
            <w:r>
              <w:rPr>
                <w:rFonts w:ascii="宋体" w:hAnsi="宋体" w:cs="宋体"/>
              </w:rPr>
              <w:t>3</w:t>
            </w:r>
            <w:r>
              <w:rPr>
                <w:rFonts w:hint="eastAsia" w:ascii="宋体" w:hAnsi="宋体" w:cs="宋体"/>
              </w:rPr>
              <w:t>分）</w:t>
            </w:r>
          </w:p>
        </w:tc>
        <w:tc>
          <w:tcPr>
            <w:tcW w:w="540" w:type="dxa"/>
          </w:tcPr>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ascii="宋体" w:eastAsia="宋体"/>
              </w:rPr>
            </w:pPr>
            <w:r>
              <w:rPr>
                <w:rFonts w:hint="eastAsia" w:ascii="宋体"/>
              </w:rPr>
              <w:t>3</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依据绩效目标设定的绩效指标是否清晰、细化、可衡量等，用以反映和考核预算支出绩效目标的明细化情况。</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①是否将预算支出绩效目标细化分解为具体的绩效指标；</w:t>
            </w:r>
            <w:r>
              <w:rPr>
                <w:rFonts w:ascii="宋体"/>
              </w:rPr>
              <w:br w:type="textWrapping"/>
            </w:r>
            <w:r>
              <w:rPr>
                <w:rFonts w:hint="eastAsia" w:ascii="宋体" w:hAnsi="宋体" w:cs="宋体"/>
              </w:rPr>
              <w:t>②是否通过清晰、可衡量的指标值予以体现；</w:t>
            </w:r>
            <w:r>
              <w:rPr>
                <w:rFonts w:ascii="宋体"/>
              </w:rPr>
              <w:br w:type="textWrapping"/>
            </w:r>
            <w:r>
              <w:rPr>
                <w:rFonts w:hint="eastAsia" w:ascii="宋体" w:hAnsi="宋体" w:cs="宋体"/>
              </w:rPr>
              <w:t>③是否与预算支出目标任务数或计划数相对应。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0" w:hRule="atLeast"/>
          <w:jc w:val="center"/>
        </w:trPr>
        <w:tc>
          <w:tcPr>
            <w:tcW w:w="543" w:type="dxa"/>
            <w:vMerge w:val="continue"/>
            <w:vAlign w:val="center"/>
          </w:tcPr>
          <w:p>
            <w:pPr>
              <w:spacing w:line="240" w:lineRule="exact"/>
              <w:rPr>
                <w:rFonts w:ascii="宋体"/>
              </w:rPr>
            </w:pPr>
          </w:p>
        </w:tc>
        <w:tc>
          <w:tcPr>
            <w:tcW w:w="454" w:type="dxa"/>
            <w:vMerge w:val="restart"/>
            <w:vAlign w:val="center"/>
          </w:tcPr>
          <w:p>
            <w:pPr>
              <w:spacing w:line="240" w:lineRule="exact"/>
              <w:jc w:val="center"/>
              <w:rPr>
                <w:rFonts w:ascii="宋体"/>
              </w:rPr>
            </w:pPr>
            <w:r>
              <w:rPr>
                <w:rFonts w:hint="eastAsia" w:ascii="宋体" w:hAnsi="宋体" w:cs="宋体"/>
              </w:rPr>
              <w:t>资金</w:t>
            </w:r>
          </w:p>
          <w:p>
            <w:pPr>
              <w:spacing w:line="240" w:lineRule="exact"/>
              <w:jc w:val="center"/>
              <w:rPr>
                <w:rFonts w:ascii="宋体"/>
              </w:rPr>
            </w:pPr>
            <w:r>
              <w:rPr>
                <w:rFonts w:hint="eastAsia" w:ascii="宋体" w:hAnsi="宋体" w:cs="宋体"/>
              </w:rPr>
              <w:t>投入（</w:t>
            </w:r>
            <w:r>
              <w:rPr>
                <w:rFonts w:ascii="宋体" w:hAnsi="宋体" w:cs="宋体"/>
              </w:rPr>
              <w:t>6</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预算编制</w:t>
            </w:r>
          </w:p>
          <w:p>
            <w:pPr>
              <w:spacing w:line="240" w:lineRule="exact"/>
              <w:ind w:left="105" w:leftChars="50" w:right="105" w:rightChars="50"/>
              <w:jc w:val="center"/>
              <w:rPr>
                <w:rFonts w:ascii="宋体"/>
              </w:rPr>
            </w:pPr>
            <w:r>
              <w:rPr>
                <w:rFonts w:hint="eastAsia" w:ascii="宋体" w:hAnsi="宋体" w:cs="宋体"/>
              </w:rPr>
              <w:t>科学性（</w:t>
            </w:r>
            <w:r>
              <w:rPr>
                <w:rFonts w:ascii="宋体" w:hAnsi="宋体" w:cs="宋体"/>
              </w:rPr>
              <w:t>3</w:t>
            </w:r>
            <w:r>
              <w:rPr>
                <w:rFonts w:hint="eastAsia" w:ascii="宋体" w:hAnsi="宋体" w:cs="宋体"/>
              </w:rPr>
              <w:t>分）</w:t>
            </w:r>
          </w:p>
        </w:tc>
        <w:tc>
          <w:tcPr>
            <w:tcW w:w="540" w:type="dxa"/>
          </w:tcPr>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ascii="宋体" w:eastAsia="宋体"/>
              </w:rPr>
            </w:pPr>
            <w:r>
              <w:rPr>
                <w:rFonts w:hint="eastAsia" w:ascii="宋体"/>
              </w:rPr>
              <w:t>3</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预算编制是否经过科学论证、有明确标准，资金额度与年度目标是否相适应，用以反映和考核预算支出预算编制的科学性、合理性情况。</w:t>
            </w:r>
          </w:p>
        </w:tc>
        <w:tc>
          <w:tcPr>
            <w:tcW w:w="4194" w:type="dxa"/>
            <w:tcMar>
              <w:top w:w="10" w:type="dxa"/>
              <w:left w:w="10" w:type="dxa"/>
              <w:bottom w:w="0" w:type="dxa"/>
              <w:right w:w="10" w:type="dxa"/>
            </w:tcMar>
            <w:vAlign w:val="center"/>
          </w:tcPr>
          <w:p>
            <w:pPr>
              <w:spacing w:line="220" w:lineRule="exact"/>
              <w:ind w:left="105" w:leftChars="50" w:right="105" w:rightChars="50"/>
              <w:rPr>
                <w:rFonts w:ascii="宋体"/>
              </w:rPr>
            </w:pPr>
            <w:r>
              <w:rPr>
                <w:rFonts w:hint="eastAsia" w:ascii="宋体" w:hAnsi="宋体" w:cs="宋体"/>
              </w:rPr>
              <w:t>评价要点：</w:t>
            </w:r>
          </w:p>
          <w:p>
            <w:pPr>
              <w:spacing w:line="220" w:lineRule="exact"/>
              <w:ind w:left="105" w:leftChars="50" w:right="105" w:rightChars="50"/>
              <w:rPr>
                <w:rFonts w:ascii="宋体"/>
              </w:rPr>
            </w:pPr>
            <w:r>
              <w:rPr>
                <w:rFonts w:hint="eastAsia" w:ascii="宋体" w:hAnsi="宋体" w:cs="宋体"/>
              </w:rPr>
              <w:t>①预算编制是否经过科学论证；</w:t>
            </w:r>
          </w:p>
          <w:p>
            <w:pPr>
              <w:spacing w:line="220" w:lineRule="exact"/>
              <w:ind w:left="105" w:leftChars="50" w:right="105" w:rightChars="50"/>
              <w:rPr>
                <w:rFonts w:ascii="宋体"/>
              </w:rPr>
            </w:pPr>
            <w:r>
              <w:rPr>
                <w:rFonts w:hint="eastAsia" w:ascii="宋体" w:hAnsi="宋体" w:cs="宋体"/>
              </w:rPr>
              <w:t>②预算内容与支出内容是否匹配；</w:t>
            </w:r>
          </w:p>
          <w:p>
            <w:pPr>
              <w:spacing w:line="220" w:lineRule="exact"/>
              <w:ind w:left="105" w:leftChars="50" w:right="105" w:rightChars="50"/>
              <w:rPr>
                <w:rFonts w:ascii="宋体"/>
              </w:rPr>
            </w:pPr>
            <w:r>
              <w:rPr>
                <w:rFonts w:hint="eastAsia" w:ascii="宋体" w:hAnsi="宋体" w:cs="宋体"/>
              </w:rPr>
              <w:t>③预算额度测算依据是否充分，是否按照标准编制；</w:t>
            </w:r>
          </w:p>
          <w:p>
            <w:pPr>
              <w:spacing w:line="220" w:lineRule="exact"/>
              <w:ind w:left="105" w:leftChars="50" w:right="105" w:rightChars="50"/>
              <w:rPr>
                <w:rFonts w:ascii="宋体"/>
              </w:rPr>
            </w:pPr>
            <w:r>
              <w:rPr>
                <w:rFonts w:hint="eastAsia" w:ascii="宋体" w:hAnsi="宋体" w:cs="宋体"/>
              </w:rPr>
              <w:t>④预算确定的预算支出投资额或资金量是否与工作任务相匹配。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rPr>
                <w:rFonts w:ascii="宋体"/>
              </w:rPr>
            </w:pPr>
          </w:p>
        </w:tc>
        <w:tc>
          <w:tcPr>
            <w:tcW w:w="454" w:type="dxa"/>
            <w:vMerge w:val="continue"/>
            <w:vAlign w:val="center"/>
          </w:tcPr>
          <w:p>
            <w:pPr>
              <w:spacing w:line="240" w:lineRule="exact"/>
              <w:jc w:val="center"/>
              <w:rPr>
                <w:rFonts w:ascii="宋体"/>
              </w:rPr>
            </w:pP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资金分配</w:t>
            </w:r>
          </w:p>
          <w:p>
            <w:pPr>
              <w:spacing w:line="240" w:lineRule="exact"/>
              <w:ind w:left="105" w:leftChars="50" w:right="105" w:rightChars="50"/>
              <w:jc w:val="center"/>
              <w:rPr>
                <w:rFonts w:ascii="宋体"/>
              </w:rPr>
            </w:pPr>
            <w:r>
              <w:rPr>
                <w:rFonts w:hint="eastAsia" w:ascii="宋体" w:hAnsi="宋体" w:cs="宋体"/>
              </w:rPr>
              <w:t>合理性（</w:t>
            </w:r>
            <w:r>
              <w:rPr>
                <w:rFonts w:ascii="宋体" w:hAnsi="宋体" w:cs="宋体"/>
              </w:rPr>
              <w:t>3</w:t>
            </w:r>
            <w:r>
              <w:rPr>
                <w:rFonts w:hint="eastAsia" w:ascii="宋体" w:hAnsi="宋体" w:cs="宋体"/>
              </w:rPr>
              <w:t>分）</w:t>
            </w:r>
          </w:p>
        </w:tc>
        <w:tc>
          <w:tcPr>
            <w:tcW w:w="540" w:type="dxa"/>
          </w:tcPr>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ascii="宋体" w:eastAsia="宋体"/>
              </w:rPr>
            </w:pPr>
            <w:r>
              <w:rPr>
                <w:rFonts w:hint="eastAsia" w:ascii="宋体"/>
              </w:rPr>
              <w:t>3</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预算资金分配是否有测算依据，与补助单位或地方实际是否相适应，用以反映和考核预算支出预算资金分配的科学性、合理性情况。</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right="105" w:rightChars="50" w:firstLine="105" w:firstLineChars="50"/>
              <w:rPr>
                <w:rFonts w:ascii="宋体"/>
              </w:rPr>
            </w:pPr>
            <w:r>
              <w:rPr>
                <w:rFonts w:hint="eastAsia" w:ascii="宋体" w:hAnsi="宋体" w:cs="宋体"/>
              </w:rPr>
              <w:t>①预算资金分配依据是否充分；</w:t>
            </w:r>
          </w:p>
          <w:p>
            <w:pPr>
              <w:spacing w:line="240" w:lineRule="exact"/>
              <w:ind w:left="105" w:leftChars="50" w:right="105" w:rightChars="50"/>
              <w:rPr>
                <w:rFonts w:ascii="宋体"/>
              </w:rPr>
            </w:pPr>
            <w:r>
              <w:rPr>
                <w:rFonts w:hint="eastAsia" w:ascii="宋体" w:hAnsi="宋体" w:cs="宋体"/>
              </w:rPr>
              <w:t>②资金分配额度是否合理，与项目实施单位或地方实际是否相适应。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3" w:hRule="atLeast"/>
          <w:jc w:val="center"/>
        </w:trPr>
        <w:tc>
          <w:tcPr>
            <w:tcW w:w="543" w:type="dxa"/>
            <w:vMerge w:val="restart"/>
            <w:vAlign w:val="center"/>
          </w:tcPr>
          <w:p>
            <w:pPr>
              <w:spacing w:line="240" w:lineRule="exact"/>
              <w:jc w:val="center"/>
              <w:rPr>
                <w:rFonts w:ascii="宋体"/>
              </w:rPr>
            </w:pPr>
            <w:r>
              <w:rPr>
                <w:rFonts w:hint="eastAsia" w:ascii="宋体" w:hAnsi="宋体" w:cs="宋体"/>
              </w:rPr>
              <w:t>过</w:t>
            </w:r>
          </w:p>
          <w:p>
            <w:pPr>
              <w:spacing w:line="240" w:lineRule="exact"/>
              <w:jc w:val="center"/>
              <w:rPr>
                <w:rFonts w:ascii="宋体"/>
              </w:rPr>
            </w:pPr>
          </w:p>
          <w:p>
            <w:pPr>
              <w:spacing w:line="240" w:lineRule="exact"/>
              <w:jc w:val="center"/>
              <w:rPr>
                <w:rFonts w:ascii="宋体"/>
              </w:rPr>
            </w:pPr>
          </w:p>
          <w:p>
            <w:pPr>
              <w:spacing w:line="240" w:lineRule="exact"/>
              <w:jc w:val="center"/>
              <w:rPr>
                <w:rFonts w:ascii="宋体"/>
              </w:rPr>
            </w:pPr>
            <w:r>
              <w:rPr>
                <w:rFonts w:hint="eastAsia" w:ascii="宋体" w:hAnsi="宋体" w:cs="宋体"/>
              </w:rPr>
              <w:t>程（</w:t>
            </w:r>
            <w:r>
              <w:rPr>
                <w:rFonts w:ascii="宋体" w:hAnsi="宋体" w:cs="宋体"/>
              </w:rPr>
              <w:t>20</w:t>
            </w:r>
            <w:r>
              <w:rPr>
                <w:rFonts w:hint="eastAsia" w:ascii="宋体" w:hAnsi="宋体" w:cs="宋体"/>
              </w:rPr>
              <w:t>分）</w:t>
            </w:r>
          </w:p>
        </w:tc>
        <w:tc>
          <w:tcPr>
            <w:tcW w:w="454"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资金</w:t>
            </w:r>
            <w:r>
              <w:rPr>
                <w:rFonts w:ascii="宋体"/>
              </w:rPr>
              <w:br w:type="textWrapping"/>
            </w:r>
            <w:r>
              <w:rPr>
                <w:rFonts w:hint="eastAsia" w:ascii="宋体" w:hAnsi="宋体" w:cs="宋体"/>
              </w:rPr>
              <w:t>管理（</w:t>
            </w:r>
            <w:r>
              <w:rPr>
                <w:rFonts w:ascii="宋体" w:hAnsi="宋体" w:cs="宋体"/>
              </w:rPr>
              <w:t>12</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资金</w:t>
            </w:r>
          </w:p>
          <w:p>
            <w:pPr>
              <w:spacing w:line="240" w:lineRule="exact"/>
              <w:ind w:left="105" w:leftChars="50" w:right="105" w:rightChars="50"/>
              <w:jc w:val="center"/>
              <w:rPr>
                <w:rFonts w:ascii="宋体"/>
              </w:rPr>
            </w:pPr>
            <w:r>
              <w:rPr>
                <w:rFonts w:hint="eastAsia" w:ascii="宋体" w:hAnsi="宋体" w:cs="宋体"/>
              </w:rPr>
              <w:t>到位率（</w:t>
            </w:r>
            <w:r>
              <w:rPr>
                <w:rFonts w:ascii="宋体" w:hAnsi="宋体" w:cs="宋体"/>
              </w:rPr>
              <w:t>4</w:t>
            </w:r>
            <w:r>
              <w:rPr>
                <w:rFonts w:hint="eastAsia" w:ascii="宋体" w:hAnsi="宋体" w:cs="宋体"/>
              </w:rPr>
              <w:t>分）</w:t>
            </w:r>
          </w:p>
        </w:tc>
        <w:tc>
          <w:tcPr>
            <w:tcW w:w="540" w:type="dxa"/>
          </w:tcPr>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ascii="宋体" w:eastAsia="宋体"/>
              </w:rPr>
            </w:pPr>
            <w:r>
              <w:rPr>
                <w:rFonts w:hint="eastAsia" w:ascii="宋体"/>
              </w:rPr>
              <w:t>4</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实际到位资金与预算资金的比率，用以反映和考核资金落实情况对预算支出实施的总体保障程度。</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资金到位率</w:t>
            </w:r>
            <w:r>
              <w:rPr>
                <w:rFonts w:ascii="宋体" w:hAnsi="宋体" w:cs="宋体"/>
              </w:rPr>
              <w:t>=</w:t>
            </w:r>
            <w:r>
              <w:rPr>
                <w:rFonts w:hint="eastAsia" w:ascii="宋体" w:hAnsi="宋体" w:cs="宋体"/>
              </w:rPr>
              <w:t>（实际到位资金</w:t>
            </w:r>
            <w:r>
              <w:rPr>
                <w:rFonts w:ascii="宋体" w:hAnsi="宋体" w:cs="宋体"/>
              </w:rPr>
              <w:t>/</w:t>
            </w:r>
            <w:r>
              <w:rPr>
                <w:rFonts w:hint="eastAsia" w:ascii="宋体" w:hAnsi="宋体" w:cs="宋体"/>
              </w:rPr>
              <w:t>预算资金）×</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实际到位资金：一定时期（本年度或预算支出期）内落实到具体预算支出的资金。</w:t>
            </w:r>
            <w:r>
              <w:rPr>
                <w:rFonts w:ascii="宋体"/>
              </w:rPr>
              <w:br w:type="textWrapping"/>
            </w:r>
            <w:r>
              <w:rPr>
                <w:rFonts w:hint="eastAsia" w:ascii="宋体" w:hAnsi="宋体" w:cs="宋体"/>
              </w:rPr>
              <w:t>预算资金：一定时期（本年度或预算支出期）内预算安排到具体预算支出的资金。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5" w:hRule="atLeast"/>
          <w:jc w:val="center"/>
        </w:trPr>
        <w:tc>
          <w:tcPr>
            <w:tcW w:w="543" w:type="dxa"/>
            <w:vMerge w:val="continue"/>
            <w:vAlign w:val="center"/>
          </w:tcPr>
          <w:p>
            <w:pPr>
              <w:spacing w:line="240" w:lineRule="exact"/>
              <w:jc w:val="center"/>
              <w:rPr>
                <w:rFonts w:ascii="宋体"/>
              </w:rPr>
            </w:pPr>
          </w:p>
        </w:tc>
        <w:tc>
          <w:tcPr>
            <w:tcW w:w="454" w:type="dxa"/>
            <w:vMerge w:val="continue"/>
            <w:tcMar>
              <w:top w:w="10" w:type="dxa"/>
              <w:left w:w="10" w:type="dxa"/>
              <w:bottom w:w="0" w:type="dxa"/>
              <w:right w:w="10" w:type="dxa"/>
            </w:tcMar>
            <w:vAlign w:val="center"/>
          </w:tcPr>
          <w:p>
            <w:pPr>
              <w:spacing w:line="240" w:lineRule="exact"/>
              <w:jc w:val="center"/>
              <w:rPr>
                <w:rFonts w:ascii="宋体"/>
              </w:rPr>
            </w:pP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预算</w:t>
            </w:r>
          </w:p>
          <w:p>
            <w:pPr>
              <w:spacing w:line="240" w:lineRule="exact"/>
              <w:ind w:left="105" w:leftChars="50" w:right="105" w:rightChars="50"/>
              <w:jc w:val="center"/>
              <w:rPr>
                <w:rFonts w:ascii="宋体"/>
              </w:rPr>
            </w:pPr>
            <w:r>
              <w:rPr>
                <w:rFonts w:hint="eastAsia" w:ascii="宋体" w:hAnsi="宋体" w:cs="宋体"/>
              </w:rPr>
              <w:t>执行率（</w:t>
            </w:r>
            <w:r>
              <w:rPr>
                <w:rFonts w:ascii="宋体" w:hAnsi="宋体" w:cs="宋体"/>
              </w:rPr>
              <w:t>4</w:t>
            </w:r>
            <w:r>
              <w:rPr>
                <w:rFonts w:hint="eastAsia" w:ascii="宋体" w:hAnsi="宋体" w:cs="宋体"/>
              </w:rPr>
              <w:t>分）</w:t>
            </w:r>
          </w:p>
        </w:tc>
        <w:tc>
          <w:tcPr>
            <w:tcW w:w="540" w:type="dxa"/>
          </w:tcPr>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ascii="宋体" w:eastAsia="宋体"/>
              </w:rPr>
            </w:pPr>
            <w:r>
              <w:rPr>
                <w:rFonts w:hint="eastAsia" w:ascii="宋体"/>
              </w:rPr>
              <w:t>4</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预算资金是否按照计划执行，用以反映或考核预算支出预算执行情况。</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预算执行率</w:t>
            </w:r>
            <w:r>
              <w:rPr>
                <w:rFonts w:ascii="宋体" w:hAnsi="宋体" w:cs="宋体"/>
              </w:rPr>
              <w:t>=</w:t>
            </w:r>
            <w:r>
              <w:rPr>
                <w:rFonts w:hint="eastAsia" w:ascii="宋体" w:hAnsi="宋体" w:cs="宋体"/>
              </w:rPr>
              <w:t>（实际支出资金</w:t>
            </w:r>
            <w:r>
              <w:rPr>
                <w:rFonts w:ascii="宋体" w:hAnsi="宋体" w:cs="宋体"/>
              </w:rPr>
              <w:t>/</w:t>
            </w:r>
            <w:r>
              <w:rPr>
                <w:rFonts w:hint="eastAsia" w:ascii="宋体" w:hAnsi="宋体" w:cs="宋体"/>
              </w:rPr>
              <w:t>实际到位资金）×</w:t>
            </w:r>
            <w:r>
              <w:rPr>
                <w:rFonts w:ascii="宋体" w:hAnsi="宋体" w:cs="宋体"/>
              </w:rPr>
              <w:t>100%</w:t>
            </w:r>
            <w:r>
              <w:rPr>
                <w:rFonts w:hint="eastAsia" w:ascii="宋体" w:hAnsi="宋体" w:cs="宋体"/>
              </w:rPr>
              <w:t>。</w:t>
            </w:r>
          </w:p>
          <w:p>
            <w:pPr>
              <w:spacing w:line="240" w:lineRule="exact"/>
              <w:ind w:left="105" w:leftChars="50" w:right="105" w:rightChars="50"/>
              <w:rPr>
                <w:rFonts w:ascii="宋体"/>
              </w:rPr>
            </w:pPr>
            <w:r>
              <w:rPr>
                <w:rFonts w:hint="eastAsia" w:ascii="宋体" w:hAnsi="宋体" w:cs="宋体"/>
              </w:rPr>
              <w:t>实际支出资金：一定时期（本年度或预算支出期）内预算支出实际拨付的资金。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jc w:val="center"/>
              <w:rPr>
                <w:rFonts w:ascii="宋体"/>
              </w:rPr>
            </w:pPr>
          </w:p>
        </w:tc>
        <w:tc>
          <w:tcPr>
            <w:tcW w:w="454" w:type="dxa"/>
            <w:vMerge w:val="continue"/>
            <w:vAlign w:val="center"/>
          </w:tcPr>
          <w:p>
            <w:pPr>
              <w:spacing w:line="240" w:lineRule="exact"/>
              <w:rPr>
                <w:rFonts w:ascii="宋体"/>
              </w:rPr>
            </w:pP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资金使用</w:t>
            </w:r>
          </w:p>
          <w:p>
            <w:pPr>
              <w:spacing w:line="240" w:lineRule="exact"/>
              <w:ind w:left="105" w:leftChars="50" w:right="105" w:rightChars="50"/>
              <w:jc w:val="center"/>
              <w:rPr>
                <w:rFonts w:ascii="宋体"/>
              </w:rPr>
            </w:pPr>
            <w:r>
              <w:rPr>
                <w:rFonts w:hint="eastAsia" w:ascii="宋体" w:hAnsi="宋体" w:cs="宋体"/>
              </w:rPr>
              <w:t>合规性（</w:t>
            </w:r>
            <w:r>
              <w:rPr>
                <w:rFonts w:ascii="宋体" w:hAnsi="宋体" w:cs="宋体"/>
              </w:rPr>
              <w:t>4</w:t>
            </w:r>
            <w:r>
              <w:rPr>
                <w:rFonts w:hint="eastAsia" w:ascii="宋体" w:hAnsi="宋体" w:cs="宋体"/>
              </w:rPr>
              <w:t>分）</w:t>
            </w:r>
          </w:p>
        </w:tc>
        <w:tc>
          <w:tcPr>
            <w:tcW w:w="540" w:type="dxa"/>
          </w:tcPr>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ascii="宋体" w:eastAsia="宋体"/>
              </w:rPr>
            </w:pPr>
            <w:r>
              <w:rPr>
                <w:rFonts w:hint="eastAsia" w:ascii="宋体"/>
              </w:rPr>
              <w:t>4</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预算资金使用是否符合相关的财务管理制度规定，用以反映和考核预算资金的规范运行情况。</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left="105" w:leftChars="50" w:right="105" w:rightChars="50"/>
              <w:rPr>
                <w:rFonts w:ascii="宋体"/>
              </w:rPr>
            </w:pPr>
            <w:r>
              <w:rPr>
                <w:rFonts w:hint="eastAsia" w:ascii="宋体" w:hAnsi="宋体" w:cs="宋体"/>
              </w:rPr>
              <w:t>①是否符合国家财经法规和财务管理制度以及有关专项资金管理办法的规定；</w:t>
            </w:r>
          </w:p>
          <w:p>
            <w:pPr>
              <w:spacing w:line="240" w:lineRule="exact"/>
              <w:ind w:right="105" w:rightChars="50" w:firstLine="105" w:firstLineChars="50"/>
              <w:rPr>
                <w:rFonts w:ascii="宋体"/>
              </w:rPr>
            </w:pPr>
            <w:r>
              <w:rPr>
                <w:rFonts w:hint="eastAsia" w:ascii="宋体" w:hAnsi="宋体" w:cs="宋体"/>
              </w:rPr>
              <w:t>②资金的拨付是否有完整的审批程序和手续；</w:t>
            </w:r>
          </w:p>
          <w:p>
            <w:pPr>
              <w:spacing w:line="240" w:lineRule="exact"/>
              <w:ind w:right="105" w:rightChars="50" w:firstLine="105" w:firstLineChars="50"/>
              <w:rPr>
                <w:rFonts w:ascii="宋体"/>
              </w:rPr>
            </w:pPr>
            <w:r>
              <w:rPr>
                <w:rFonts w:hint="eastAsia" w:ascii="宋体" w:hAnsi="宋体" w:cs="宋体"/>
              </w:rPr>
              <w:t>③是否符合预算支出预算批复或合同规定的用途；</w:t>
            </w:r>
          </w:p>
          <w:p>
            <w:pPr>
              <w:spacing w:line="240" w:lineRule="exact"/>
              <w:ind w:left="105" w:leftChars="50" w:right="105" w:rightChars="50"/>
              <w:rPr>
                <w:rFonts w:ascii="宋体"/>
              </w:rPr>
            </w:pPr>
            <w:r>
              <w:rPr>
                <w:rFonts w:hint="eastAsia" w:ascii="宋体" w:hAnsi="宋体" w:cs="宋体"/>
              </w:rPr>
              <w:t>④是否存在截留、挤占、挪用、虐列支出等情况。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tcMar>
              <w:top w:w="10" w:type="dxa"/>
              <w:left w:w="10" w:type="dxa"/>
              <w:bottom w:w="0" w:type="dxa"/>
              <w:right w:w="10" w:type="dxa"/>
            </w:tcMar>
            <w:textDirection w:val="tbRlV"/>
            <w:vAlign w:val="center"/>
          </w:tcPr>
          <w:p>
            <w:pPr>
              <w:spacing w:line="240" w:lineRule="exact"/>
              <w:jc w:val="center"/>
              <w:rPr>
                <w:rFonts w:ascii="宋体"/>
              </w:rPr>
            </w:pPr>
          </w:p>
        </w:tc>
        <w:tc>
          <w:tcPr>
            <w:tcW w:w="454"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组织</w:t>
            </w:r>
          </w:p>
          <w:p>
            <w:pPr>
              <w:spacing w:line="240" w:lineRule="exact"/>
              <w:jc w:val="center"/>
              <w:rPr>
                <w:rFonts w:ascii="宋体"/>
              </w:rPr>
            </w:pPr>
            <w:r>
              <w:rPr>
                <w:rFonts w:hint="eastAsia" w:ascii="宋体" w:hAnsi="宋体" w:cs="宋体"/>
              </w:rPr>
              <w:t>实施（</w:t>
            </w:r>
            <w:r>
              <w:rPr>
                <w:rFonts w:ascii="宋体" w:hAnsi="宋体" w:cs="宋体"/>
              </w:rPr>
              <w:t>8</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管理制度</w:t>
            </w:r>
          </w:p>
          <w:p>
            <w:pPr>
              <w:spacing w:line="240" w:lineRule="exact"/>
              <w:ind w:left="105" w:leftChars="50" w:right="105" w:rightChars="50"/>
              <w:jc w:val="center"/>
              <w:rPr>
                <w:rFonts w:ascii="宋体"/>
              </w:rPr>
            </w:pPr>
            <w:r>
              <w:rPr>
                <w:rFonts w:hint="eastAsia" w:ascii="宋体" w:hAnsi="宋体" w:cs="宋体"/>
              </w:rPr>
              <w:t>健全性（</w:t>
            </w:r>
            <w:r>
              <w:rPr>
                <w:rFonts w:ascii="宋体" w:hAnsi="宋体" w:cs="宋体"/>
              </w:rPr>
              <w:t>4</w:t>
            </w:r>
            <w:r>
              <w:rPr>
                <w:rFonts w:hint="eastAsia" w:ascii="宋体" w:hAnsi="宋体" w:cs="宋体"/>
              </w:rPr>
              <w:t>分）</w:t>
            </w:r>
          </w:p>
        </w:tc>
        <w:tc>
          <w:tcPr>
            <w:tcW w:w="540" w:type="dxa"/>
          </w:tcPr>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ascii="宋体" w:eastAsia="宋体"/>
              </w:rPr>
            </w:pPr>
            <w:r>
              <w:rPr>
                <w:rFonts w:hint="eastAsia" w:ascii="宋体"/>
              </w:rPr>
              <w:t>4</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预算支出实施单位的财务和业务管理制度是否健全，用以反映和考核财务和业务管理制度对预算支出顺利实施的保障情况。</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①是否已制定或具有相应的业务管理制度；</w:t>
            </w:r>
            <w:r>
              <w:rPr>
                <w:rFonts w:ascii="宋体"/>
              </w:rPr>
              <w:br w:type="textWrapping"/>
            </w:r>
            <w:r>
              <w:rPr>
                <w:rFonts w:hint="eastAsia" w:ascii="宋体" w:hAnsi="宋体" w:cs="宋体"/>
              </w:rPr>
              <w:t>②财务和业务管理制度是否合法、合规、完整。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rPr>
                <w:rFonts w:ascii="宋体"/>
              </w:rPr>
            </w:pPr>
          </w:p>
        </w:tc>
        <w:tc>
          <w:tcPr>
            <w:tcW w:w="454" w:type="dxa"/>
            <w:vMerge w:val="continue"/>
            <w:vAlign w:val="center"/>
          </w:tcPr>
          <w:p>
            <w:pPr>
              <w:spacing w:line="240" w:lineRule="exact"/>
              <w:rPr>
                <w:rFonts w:ascii="宋体"/>
              </w:rPr>
            </w:pP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制度执行</w:t>
            </w:r>
          </w:p>
          <w:p>
            <w:pPr>
              <w:spacing w:line="240" w:lineRule="exact"/>
              <w:ind w:left="105" w:leftChars="50" w:right="105" w:rightChars="50"/>
              <w:jc w:val="center"/>
              <w:rPr>
                <w:rFonts w:ascii="宋体"/>
              </w:rPr>
            </w:pPr>
            <w:r>
              <w:rPr>
                <w:rFonts w:hint="eastAsia" w:ascii="宋体" w:hAnsi="宋体" w:cs="宋体"/>
              </w:rPr>
              <w:t>有效性（</w:t>
            </w:r>
            <w:r>
              <w:rPr>
                <w:rFonts w:ascii="宋体" w:hAnsi="宋体" w:cs="宋体"/>
              </w:rPr>
              <w:t>4</w:t>
            </w:r>
            <w:r>
              <w:rPr>
                <w:rFonts w:hint="eastAsia" w:ascii="宋体" w:hAnsi="宋体" w:cs="宋体"/>
              </w:rPr>
              <w:t>分）</w:t>
            </w:r>
          </w:p>
        </w:tc>
        <w:tc>
          <w:tcPr>
            <w:tcW w:w="540" w:type="dxa"/>
          </w:tcPr>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ascii="宋体" w:eastAsia="宋体"/>
              </w:rPr>
            </w:pPr>
            <w:r>
              <w:rPr>
                <w:rFonts w:hint="eastAsia" w:ascii="宋体"/>
              </w:rPr>
              <w:t>4</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预算支出实施是否符合相关业务管理规定，用以反映和考核业务管理制度的有效执行情况。</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①是否遵守相关法律法规和相关管理规定；</w:t>
            </w:r>
            <w:r>
              <w:rPr>
                <w:rFonts w:ascii="宋体"/>
              </w:rPr>
              <w:br w:type="textWrapping"/>
            </w:r>
            <w:r>
              <w:rPr>
                <w:rFonts w:hint="eastAsia" w:ascii="宋体" w:hAnsi="宋体" w:cs="宋体"/>
              </w:rPr>
              <w:t>②预算支出调整及支出调整手续是否完备；</w:t>
            </w:r>
            <w:r>
              <w:rPr>
                <w:rFonts w:ascii="宋体"/>
              </w:rPr>
              <w:br w:type="textWrapping"/>
            </w:r>
            <w:r>
              <w:rPr>
                <w:rFonts w:hint="eastAsia" w:ascii="宋体" w:hAnsi="宋体" w:cs="宋体"/>
              </w:rPr>
              <w:t>③预算支出合同书、验收报告、技术鉴定等资料是否齐全并及时归档；</w:t>
            </w:r>
            <w:r>
              <w:rPr>
                <w:rFonts w:ascii="宋体"/>
              </w:rPr>
              <w:br w:type="textWrapping"/>
            </w:r>
            <w:r>
              <w:rPr>
                <w:rFonts w:hint="eastAsia" w:ascii="宋体" w:hAnsi="宋体" w:cs="宋体"/>
              </w:rPr>
              <w:t>④预算支出实施的人员条件、场地设备、信息支撑等是否落实到位。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1" w:hRule="atLeast"/>
          <w:jc w:val="center"/>
        </w:trPr>
        <w:tc>
          <w:tcPr>
            <w:tcW w:w="543" w:type="dxa"/>
            <w:vMerge w:val="restart"/>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40</w:t>
            </w:r>
            <w:r>
              <w:rPr>
                <w:rFonts w:hint="eastAsia" w:ascii="宋体" w:hAnsi="宋体" w:cs="宋体"/>
              </w:rPr>
              <w:t>分）</w:t>
            </w:r>
          </w:p>
        </w:tc>
        <w:tc>
          <w:tcPr>
            <w:tcW w:w="454"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数量（</w:t>
            </w:r>
            <w:r>
              <w:rPr>
                <w:rFonts w:ascii="宋体" w:hAnsi="宋体" w:cs="宋体"/>
              </w:rPr>
              <w:t>10</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实际</w:t>
            </w:r>
          </w:p>
          <w:p>
            <w:pPr>
              <w:spacing w:line="240" w:lineRule="exact"/>
              <w:ind w:left="105" w:leftChars="50" w:right="105" w:rightChars="50"/>
              <w:jc w:val="center"/>
              <w:rPr>
                <w:rFonts w:ascii="宋体"/>
              </w:rPr>
            </w:pPr>
            <w:r>
              <w:rPr>
                <w:rFonts w:hint="eastAsia" w:ascii="宋体" w:hAnsi="宋体" w:cs="宋体"/>
              </w:rPr>
              <w:t>完成率（</w:t>
            </w:r>
            <w:r>
              <w:rPr>
                <w:rFonts w:ascii="宋体" w:hAnsi="宋体" w:cs="宋体"/>
              </w:rPr>
              <w:t>10</w:t>
            </w:r>
            <w:r>
              <w:rPr>
                <w:rFonts w:hint="eastAsia" w:ascii="宋体" w:hAnsi="宋体" w:cs="宋体"/>
              </w:rPr>
              <w:t>分）</w:t>
            </w:r>
          </w:p>
        </w:tc>
        <w:tc>
          <w:tcPr>
            <w:tcW w:w="540" w:type="dxa"/>
          </w:tcPr>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ascii="宋体" w:eastAsia="宋体"/>
              </w:rPr>
            </w:pPr>
            <w:r>
              <w:rPr>
                <w:rFonts w:hint="eastAsia" w:ascii="宋体"/>
              </w:rPr>
              <w:t>10</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预算支出实施的实际产出数与计划产出数的比率，用以反映和考核预算支出产出数量目标的实现程度。</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实际完成率</w:t>
            </w:r>
            <w:r>
              <w:rPr>
                <w:rFonts w:ascii="宋体" w:hAnsi="宋体" w:cs="宋体"/>
              </w:rPr>
              <w:t>=</w:t>
            </w:r>
            <w:r>
              <w:rPr>
                <w:rFonts w:hint="eastAsia" w:ascii="宋体" w:hAnsi="宋体" w:cs="宋体"/>
              </w:rPr>
              <w:t>（实际产出数</w:t>
            </w:r>
            <w:r>
              <w:rPr>
                <w:rFonts w:ascii="宋体" w:hAnsi="宋体" w:cs="宋体"/>
              </w:rPr>
              <w:t>/</w:t>
            </w:r>
            <w:r>
              <w:rPr>
                <w:rFonts w:hint="eastAsia" w:ascii="宋体" w:hAnsi="宋体" w:cs="宋体"/>
              </w:rPr>
              <w:t>计划产出数）×</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实际产出数：一定时期（本年度或预算支出期）内预算支出实际产出的产品或提供的服务数量。</w:t>
            </w:r>
            <w:r>
              <w:rPr>
                <w:rFonts w:ascii="宋体"/>
              </w:rPr>
              <w:br w:type="textWrapping"/>
            </w:r>
            <w:r>
              <w:rPr>
                <w:rFonts w:hint="eastAsia" w:ascii="宋体" w:hAnsi="宋体" w:cs="宋体"/>
              </w:rPr>
              <w:t>计划产出数：预算支出绩效目标确定的在一定时期（本年度或预算支出期）内计划产出的产品或提供的服务数量。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4" w:hRule="atLeast"/>
          <w:jc w:val="center"/>
        </w:trPr>
        <w:tc>
          <w:tcPr>
            <w:tcW w:w="543" w:type="dxa"/>
            <w:vMerge w:val="continue"/>
            <w:tcMar>
              <w:top w:w="10" w:type="dxa"/>
              <w:left w:w="10" w:type="dxa"/>
              <w:bottom w:w="0" w:type="dxa"/>
              <w:right w:w="10" w:type="dxa"/>
            </w:tcMar>
            <w:textDirection w:val="tbRlV"/>
            <w:vAlign w:val="center"/>
          </w:tcPr>
          <w:p>
            <w:pPr>
              <w:spacing w:line="240" w:lineRule="exact"/>
              <w:jc w:val="center"/>
              <w:rPr>
                <w:rFonts w:ascii="宋体"/>
              </w:rPr>
            </w:pPr>
          </w:p>
        </w:tc>
        <w:tc>
          <w:tcPr>
            <w:tcW w:w="454"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质量（</w:t>
            </w:r>
            <w:r>
              <w:rPr>
                <w:rFonts w:ascii="宋体" w:hAnsi="宋体" w:cs="宋体"/>
              </w:rPr>
              <w:t>10</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质量</w:t>
            </w:r>
          </w:p>
          <w:p>
            <w:pPr>
              <w:spacing w:line="240" w:lineRule="exact"/>
              <w:ind w:left="105" w:leftChars="50" w:right="105" w:rightChars="50"/>
              <w:jc w:val="center"/>
              <w:rPr>
                <w:rFonts w:ascii="宋体"/>
              </w:rPr>
            </w:pPr>
            <w:r>
              <w:rPr>
                <w:rFonts w:hint="eastAsia" w:ascii="宋体" w:hAnsi="宋体" w:cs="宋体"/>
              </w:rPr>
              <w:t>达标率（</w:t>
            </w:r>
            <w:r>
              <w:rPr>
                <w:rFonts w:ascii="宋体" w:hAnsi="宋体" w:cs="宋体"/>
              </w:rPr>
              <w:t>10</w:t>
            </w:r>
            <w:r>
              <w:rPr>
                <w:rFonts w:hint="eastAsia" w:ascii="宋体" w:hAnsi="宋体" w:cs="宋体"/>
              </w:rPr>
              <w:t>分）</w:t>
            </w:r>
          </w:p>
        </w:tc>
        <w:tc>
          <w:tcPr>
            <w:tcW w:w="540" w:type="dxa"/>
          </w:tcPr>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ascii="宋体" w:eastAsia="宋体"/>
              </w:rPr>
            </w:pPr>
            <w:r>
              <w:rPr>
                <w:rFonts w:hint="eastAsia" w:ascii="宋体"/>
              </w:rPr>
              <w:t>10</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预算支出完成的质量达标产出数与实际产出数的比率，用以反映和考核预算支出产出质量目标的实现程度。</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质量达标率</w:t>
            </w:r>
            <w:r>
              <w:rPr>
                <w:rFonts w:ascii="宋体" w:hAnsi="宋体" w:cs="宋体"/>
              </w:rPr>
              <w:t>=</w:t>
            </w:r>
            <w:r>
              <w:rPr>
                <w:rFonts w:hint="eastAsia" w:ascii="宋体" w:hAnsi="宋体" w:cs="宋体"/>
              </w:rPr>
              <w:t>（质量达标产出数</w:t>
            </w:r>
            <w:r>
              <w:rPr>
                <w:rFonts w:ascii="宋体" w:hAnsi="宋体" w:cs="宋体"/>
              </w:rPr>
              <w:t>/</w:t>
            </w:r>
            <w:r>
              <w:rPr>
                <w:rFonts w:hint="eastAsia" w:ascii="宋体" w:hAnsi="宋体" w:cs="宋体"/>
              </w:rPr>
              <w:t>实际产出数）×</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质量达标产出数：一定时期（本年度或预算支出期）内实际达到既定质量标准的产品或服务数量。既定质量标准是指预算支出实施单位设立绩效目标时依据计划标准、行业标准、历史标准或其他标准而设定的绩效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5" w:hRule="atLeast"/>
          <w:jc w:val="center"/>
        </w:trPr>
        <w:tc>
          <w:tcPr>
            <w:tcW w:w="543" w:type="dxa"/>
            <w:vMerge w:val="restart"/>
            <w:vAlign w:val="center"/>
          </w:tcPr>
          <w:p>
            <w:pPr>
              <w:spacing w:line="240" w:lineRule="exact"/>
              <w:ind w:left="113"/>
              <w:rPr>
                <w:rFonts w:ascii="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40</w:t>
            </w:r>
            <w:r>
              <w:rPr>
                <w:rFonts w:hint="eastAsia" w:ascii="宋体" w:hAnsi="宋体" w:cs="宋体"/>
              </w:rPr>
              <w:t>分）</w:t>
            </w:r>
          </w:p>
        </w:tc>
        <w:tc>
          <w:tcPr>
            <w:tcW w:w="454" w:type="dxa"/>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时效（</w:t>
            </w:r>
            <w:r>
              <w:rPr>
                <w:rFonts w:ascii="宋体" w:hAnsi="宋体" w:cs="宋体"/>
              </w:rPr>
              <w:t>10</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完成</w:t>
            </w:r>
          </w:p>
          <w:p>
            <w:pPr>
              <w:spacing w:line="240" w:lineRule="exact"/>
              <w:ind w:left="105" w:leftChars="50" w:right="105" w:rightChars="50"/>
              <w:jc w:val="center"/>
              <w:rPr>
                <w:rFonts w:ascii="宋体"/>
              </w:rPr>
            </w:pPr>
            <w:r>
              <w:rPr>
                <w:rFonts w:hint="eastAsia" w:ascii="宋体" w:hAnsi="宋体" w:cs="宋体"/>
              </w:rPr>
              <w:t>及时性（</w:t>
            </w:r>
            <w:r>
              <w:rPr>
                <w:rFonts w:ascii="宋体" w:hAnsi="宋体" w:cs="宋体"/>
              </w:rPr>
              <w:t>10</w:t>
            </w:r>
            <w:r>
              <w:rPr>
                <w:rFonts w:hint="eastAsia" w:ascii="宋体" w:hAnsi="宋体" w:cs="宋体"/>
              </w:rPr>
              <w:t>分）</w:t>
            </w:r>
          </w:p>
        </w:tc>
        <w:tc>
          <w:tcPr>
            <w:tcW w:w="540" w:type="dxa"/>
          </w:tcPr>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ascii="宋体" w:eastAsia="宋体"/>
              </w:rPr>
            </w:pPr>
            <w:r>
              <w:rPr>
                <w:rFonts w:hint="eastAsia" w:ascii="宋体"/>
              </w:rPr>
              <w:t>9</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预算支出实际完成时间与计划完成时间的比较，用以反映和考核预算支出产出时效目标的实现程度。</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实际完成时间：预算支出实施单位完成该预算支出实际所耗用的时间。</w:t>
            </w:r>
            <w:r>
              <w:rPr>
                <w:rFonts w:ascii="宋体"/>
              </w:rPr>
              <w:br w:type="textWrapping"/>
            </w:r>
            <w:r>
              <w:rPr>
                <w:rFonts w:hint="eastAsia" w:ascii="宋体" w:hAnsi="宋体" w:cs="宋体"/>
              </w:rPr>
              <w:t>计划完成时间：按照预算支出实施计划或相关规定完成该预算支出所需的时间。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ind w:left="113"/>
              <w:rPr>
                <w:rFonts w:ascii="宋体"/>
              </w:rPr>
            </w:pPr>
          </w:p>
        </w:tc>
        <w:tc>
          <w:tcPr>
            <w:tcW w:w="454" w:type="dxa"/>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成本（</w:t>
            </w:r>
            <w:r>
              <w:rPr>
                <w:rFonts w:ascii="宋体" w:hAnsi="宋体" w:cs="宋体"/>
              </w:rPr>
              <w:t>10</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成本</w:t>
            </w:r>
          </w:p>
          <w:p>
            <w:pPr>
              <w:spacing w:line="240" w:lineRule="exact"/>
              <w:ind w:left="105" w:leftChars="50" w:right="105" w:rightChars="50"/>
              <w:jc w:val="center"/>
              <w:rPr>
                <w:rFonts w:ascii="宋体"/>
              </w:rPr>
            </w:pPr>
            <w:r>
              <w:rPr>
                <w:rFonts w:hint="eastAsia" w:ascii="宋体" w:hAnsi="宋体" w:cs="宋体"/>
              </w:rPr>
              <w:t>节约率（</w:t>
            </w:r>
            <w:r>
              <w:rPr>
                <w:rFonts w:ascii="宋体" w:hAnsi="宋体" w:cs="宋体"/>
              </w:rPr>
              <w:t>10</w:t>
            </w:r>
            <w:r>
              <w:rPr>
                <w:rFonts w:hint="eastAsia" w:ascii="宋体" w:hAnsi="宋体" w:cs="宋体"/>
              </w:rPr>
              <w:t>分）</w:t>
            </w:r>
          </w:p>
        </w:tc>
        <w:tc>
          <w:tcPr>
            <w:tcW w:w="540" w:type="dxa"/>
          </w:tcPr>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ascii="宋体" w:eastAsia="宋体"/>
              </w:rPr>
            </w:pPr>
            <w:r>
              <w:rPr>
                <w:rFonts w:hint="eastAsia" w:ascii="宋体"/>
              </w:rPr>
              <w:t>10</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完成预算支出计划工作目标的实际节约成本与计划成本的比率，用以反映和考核预算支出的成本节约程度。</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成本节约率</w:t>
            </w:r>
            <w:r>
              <w:rPr>
                <w:rFonts w:ascii="宋体" w:hAnsi="宋体" w:cs="宋体"/>
              </w:rPr>
              <w:t>=[</w:t>
            </w:r>
            <w:r>
              <w:rPr>
                <w:rFonts w:hint="eastAsia" w:ascii="宋体" w:hAnsi="宋体" w:cs="宋体"/>
              </w:rPr>
              <w:t>（计划成本</w:t>
            </w:r>
            <w:r>
              <w:rPr>
                <w:rFonts w:ascii="宋体" w:cs="宋体"/>
              </w:rPr>
              <w:t>-</w:t>
            </w:r>
            <w:r>
              <w:rPr>
                <w:rFonts w:hint="eastAsia" w:ascii="宋体" w:hAnsi="宋体" w:cs="宋体"/>
              </w:rPr>
              <w:t>实际成本）</w:t>
            </w:r>
            <w:r>
              <w:rPr>
                <w:rFonts w:ascii="宋体" w:hAnsi="宋体" w:cs="宋体"/>
              </w:rPr>
              <w:t>/</w:t>
            </w:r>
            <w:r>
              <w:rPr>
                <w:rFonts w:hint="eastAsia" w:ascii="宋体" w:hAnsi="宋体" w:cs="宋体"/>
              </w:rPr>
              <w:t>计划成本</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实际成本：预算支出实施单位如期、保质、保量完成既定工作目标实际所耗费的支出。</w:t>
            </w:r>
            <w:r>
              <w:rPr>
                <w:rFonts w:ascii="宋体"/>
              </w:rPr>
              <w:br w:type="textWrapping"/>
            </w:r>
            <w:r>
              <w:rPr>
                <w:rFonts w:hint="eastAsia" w:ascii="宋体" w:hAnsi="宋体" w:cs="宋体"/>
              </w:rPr>
              <w:t>计划成本：预算支出实施单位为完成工作目标计划安排的支出，一般以预算支出预算为参考。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restart"/>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效</w:t>
            </w:r>
            <w:r>
              <w:rPr>
                <w:rFonts w:ascii="宋体" w:hAnsi="宋体" w:cs="宋体"/>
              </w:rPr>
              <w:t xml:space="preserve">   </w:t>
            </w:r>
            <w:r>
              <w:rPr>
                <w:rFonts w:hint="eastAsia" w:ascii="宋体" w:hAnsi="宋体" w:cs="宋体"/>
              </w:rPr>
              <w:t>益（</w:t>
            </w:r>
            <w:r>
              <w:rPr>
                <w:rFonts w:ascii="宋体" w:hAnsi="宋体" w:cs="宋体"/>
              </w:rPr>
              <w:t>20</w:t>
            </w:r>
            <w:r>
              <w:rPr>
                <w:rFonts w:hint="eastAsia" w:ascii="宋体" w:hAnsi="宋体" w:cs="宋体"/>
              </w:rPr>
              <w:t>分）</w:t>
            </w:r>
          </w:p>
        </w:tc>
        <w:tc>
          <w:tcPr>
            <w:tcW w:w="454"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预算支出</w:t>
            </w:r>
            <w:r>
              <w:rPr>
                <w:rFonts w:ascii="宋体"/>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实施效益（</w:t>
            </w:r>
            <w:r>
              <w:rPr>
                <w:rFonts w:ascii="宋体" w:hAnsi="宋体" w:cs="宋体"/>
              </w:rPr>
              <w:t>10</w:t>
            </w:r>
            <w:r>
              <w:rPr>
                <w:rFonts w:hint="eastAsia" w:ascii="宋体" w:hAnsi="宋体" w:cs="宋体"/>
              </w:rPr>
              <w:t>分）</w:t>
            </w:r>
          </w:p>
        </w:tc>
        <w:tc>
          <w:tcPr>
            <w:tcW w:w="540" w:type="dxa"/>
          </w:tcPr>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ascii="宋体" w:eastAsia="宋体"/>
              </w:rPr>
            </w:pPr>
            <w:r>
              <w:rPr>
                <w:rFonts w:hint="eastAsia" w:ascii="宋体"/>
              </w:rPr>
              <w:t>10</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预算支出实施所产生的效益。</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预算支出实施所产生的社会效益、经济效益、生态效益、可持续影响等。可根据预算支出实际情况有选择地设置和细化。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rPr>
                <w:rFonts w:ascii="宋体"/>
              </w:rPr>
            </w:pPr>
          </w:p>
        </w:tc>
        <w:tc>
          <w:tcPr>
            <w:tcW w:w="454" w:type="dxa"/>
            <w:vMerge w:val="continue"/>
            <w:vAlign w:val="center"/>
          </w:tcPr>
          <w:p>
            <w:pPr>
              <w:spacing w:line="240" w:lineRule="exact"/>
              <w:rPr>
                <w:rFonts w:ascii="宋体"/>
              </w:rPr>
            </w:pP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社会公众</w:t>
            </w:r>
          </w:p>
          <w:p>
            <w:pPr>
              <w:spacing w:line="240" w:lineRule="exact"/>
              <w:ind w:left="105" w:leftChars="50" w:right="105" w:rightChars="50"/>
              <w:jc w:val="center"/>
              <w:rPr>
                <w:rFonts w:ascii="宋体"/>
              </w:rPr>
            </w:pPr>
            <w:r>
              <w:rPr>
                <w:rFonts w:hint="eastAsia" w:ascii="宋体" w:hAnsi="宋体" w:cs="宋体"/>
              </w:rPr>
              <w:t>或服务（</w:t>
            </w:r>
            <w:r>
              <w:rPr>
                <w:rFonts w:ascii="宋体" w:hAnsi="宋体" w:cs="宋体"/>
              </w:rPr>
              <w:t>10</w:t>
            </w:r>
            <w:r>
              <w:rPr>
                <w:rFonts w:hint="eastAsia" w:ascii="宋体" w:hAnsi="宋体" w:cs="宋体"/>
              </w:rPr>
              <w:t>分）对</w:t>
            </w:r>
          </w:p>
          <w:p>
            <w:pPr>
              <w:spacing w:line="240" w:lineRule="exact"/>
              <w:ind w:left="105" w:leftChars="50" w:right="105" w:rightChars="50"/>
              <w:jc w:val="center"/>
              <w:rPr>
                <w:rFonts w:ascii="宋体"/>
              </w:rPr>
            </w:pPr>
            <w:r>
              <w:rPr>
                <w:rFonts w:hint="eastAsia" w:ascii="宋体" w:hAnsi="宋体" w:cs="宋体"/>
              </w:rPr>
              <w:t>象满意度</w:t>
            </w:r>
          </w:p>
        </w:tc>
        <w:tc>
          <w:tcPr>
            <w:tcW w:w="540" w:type="dxa"/>
          </w:tcPr>
          <w:p>
            <w:pPr>
              <w:spacing w:line="240" w:lineRule="exact"/>
              <w:ind w:left="105" w:leftChars="50" w:right="105" w:rightChars="50"/>
              <w:rPr>
                <w:rFonts w:ascii="宋体"/>
              </w:rPr>
            </w:pPr>
          </w:p>
          <w:p>
            <w:pPr>
              <w:spacing w:line="240" w:lineRule="exact"/>
              <w:ind w:left="105" w:leftChars="50" w:right="105" w:rightChars="50"/>
              <w:rPr>
                <w:rFonts w:ascii="宋体"/>
              </w:rPr>
            </w:pPr>
          </w:p>
          <w:p>
            <w:pPr>
              <w:spacing w:line="240" w:lineRule="exact"/>
              <w:ind w:left="105" w:leftChars="50" w:right="105" w:rightChars="50"/>
              <w:rPr>
                <w:rFonts w:ascii="宋体" w:eastAsia="宋体"/>
              </w:rPr>
            </w:pPr>
            <w:r>
              <w:rPr>
                <w:rFonts w:hint="eastAsia" w:ascii="宋体"/>
              </w:rPr>
              <w:t>10</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社会公众或服务对象对预算支出实施效果的满意程度。</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社会公众或服务对象是指因该预算支出实施而受到影响的部门、群体或个人。一般采取社会调查的方式。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Align w:val="center"/>
          </w:tcPr>
          <w:p>
            <w:pPr>
              <w:spacing w:line="240" w:lineRule="exact"/>
              <w:rPr>
                <w:rFonts w:ascii="宋体"/>
              </w:rPr>
            </w:pPr>
            <w:r>
              <w:rPr>
                <w:rFonts w:hint="eastAsia" w:ascii="宋体" w:hAnsi="宋体" w:cs="宋体"/>
              </w:rPr>
              <w:t>总分</w:t>
            </w:r>
          </w:p>
        </w:tc>
        <w:tc>
          <w:tcPr>
            <w:tcW w:w="454" w:type="dxa"/>
            <w:vAlign w:val="center"/>
          </w:tcPr>
          <w:p>
            <w:pPr>
              <w:spacing w:line="240" w:lineRule="exact"/>
              <w:rPr>
                <w:rFonts w:ascii="宋体"/>
              </w:rPr>
            </w:pP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p>
        </w:tc>
        <w:tc>
          <w:tcPr>
            <w:tcW w:w="540" w:type="dxa"/>
          </w:tcPr>
          <w:p>
            <w:pPr>
              <w:spacing w:line="240" w:lineRule="exact"/>
              <w:ind w:left="105" w:leftChars="50" w:right="105" w:rightChars="50"/>
              <w:rPr>
                <w:rFonts w:ascii="宋体"/>
              </w:rPr>
            </w:pPr>
          </w:p>
          <w:p>
            <w:pPr>
              <w:spacing w:line="240" w:lineRule="exact"/>
              <w:ind w:left="105" w:leftChars="50" w:right="105" w:rightChars="50"/>
              <w:rPr>
                <w:rFonts w:ascii="宋体" w:eastAsia="宋体"/>
              </w:rPr>
            </w:pPr>
            <w:r>
              <w:rPr>
                <w:rFonts w:hint="eastAsia" w:ascii="宋体"/>
              </w:rPr>
              <w:t>99</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p>
        </w:tc>
      </w:tr>
    </w:tbl>
    <w:p/>
    <w:p>
      <w:pPr>
        <w:pStyle w:val="2"/>
        <w:spacing w:line="600" w:lineRule="exact"/>
        <w:ind w:firstLine="600" w:firstLineChars="200"/>
        <w:rPr>
          <w:rFonts w:ascii="仿宋" w:hAnsi="仿宋" w:eastAsia="仿宋" w:cs="仿宋"/>
          <w:kern w:val="0"/>
          <w:sz w:val="30"/>
          <w:szCs w:val="30"/>
          <w:shd w:val="clear" w:color="auto" w:fill="FFFFFF"/>
        </w:rPr>
      </w:pPr>
    </w:p>
    <w:p>
      <w:pPr>
        <w:pStyle w:val="2"/>
      </w:pPr>
    </w:p>
    <w:p/>
    <w:sectPr>
      <w:footerReference r:id="rId3" w:type="default"/>
      <w:pgSz w:w="11906" w:h="16838"/>
      <w:pgMar w:top="1134" w:right="1531" w:bottom="1134" w:left="1531" w:header="708" w:footer="1417" w:gutter="0"/>
      <w:pgNumType w:fmt="numberInDash" w:start="1"/>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51254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oc 1"/>
    <w:basedOn w:val="1"/>
    <w:next w:val="1"/>
    <w:qFormat/>
    <w:uiPriority w:val="0"/>
    <w:rPr>
      <w:rFonts w:ascii="Calibri" w:hAnsi="Calibri" w:eastAsia="宋体" w:cs="Times New Roman"/>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semiHidden/>
    <w:unhideWhenUsed/>
    <w:qFormat/>
    <w:uiPriority w:val="99"/>
    <w:pPr>
      <w:spacing w:beforeAutospacing="1" w:afterAutospacing="1"/>
      <w:jc w:val="left"/>
    </w:pPr>
    <w:rPr>
      <w:rFonts w:cs="Times New Roman"/>
      <w:kern w:val="0"/>
      <w:sz w:val="24"/>
    </w:rPr>
  </w:style>
  <w:style w:type="paragraph" w:styleId="7">
    <w:name w:val="List Paragraph"/>
    <w:basedOn w:val="1"/>
    <w:qFormat/>
    <w:uiPriority w:val="34"/>
    <w:pPr>
      <w:ind w:firstLine="420" w:firstLineChars="200"/>
    </w:pPr>
  </w:style>
  <w:style w:type="character" w:customStyle="1" w:styleId="8">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2023-06-20T09:26:56Z</dcterms:created>
  <dc:creator>admin-3</dc:creator>
  <cp:lastModifiedBy>admin-3</cp:lastModifiedBy>
  <dcterms:modified xsi:type="dcterms:W3CDTF">2023-06-20T09:27:18Z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06DBA7DE923B478A998EC81F049E311D_12</vt:lpwstr>
  </property>
</Properties>
</file>