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p>
    <w:p>
      <w:pPr>
        <w:spacing w:line="600" w:lineRule="exact"/>
        <w:jc w:val="center"/>
        <w:rPr>
          <w:rFonts w:ascii="黑体" w:hAnsi="黑体" w:eastAsia="黑体" w:cs="黑体"/>
          <w:sz w:val="36"/>
          <w:szCs w:val="36"/>
        </w:rPr>
      </w:pPr>
      <w:bookmarkStart w:id="0" w:name="_GoBack"/>
      <w:bookmarkEnd w:id="0"/>
      <w:r>
        <w:rPr>
          <w:rFonts w:hint="eastAsia" w:ascii="黑体" w:hAnsi="黑体" w:eastAsia="黑体" w:cs="黑体"/>
          <w:sz w:val="36"/>
          <w:szCs w:val="36"/>
        </w:rPr>
        <w:t>益阳市赫山区乡村振兴局2021年度部门</w:t>
      </w:r>
    </w:p>
    <w:p>
      <w:pPr>
        <w:spacing w:line="600" w:lineRule="exact"/>
        <w:jc w:val="center"/>
        <w:rPr>
          <w:rFonts w:ascii="仿宋" w:hAnsi="仿宋" w:eastAsia="仿宋" w:cs="仿宋"/>
          <w:sz w:val="30"/>
          <w:szCs w:val="30"/>
        </w:rPr>
      </w:pPr>
      <w:r>
        <w:rPr>
          <w:rFonts w:hint="eastAsia" w:ascii="黑体" w:hAnsi="黑体" w:eastAsia="黑体" w:cs="黑体"/>
          <w:sz w:val="36"/>
          <w:szCs w:val="36"/>
        </w:rPr>
        <w:t>整体支出绩效评价报告</w:t>
      </w:r>
    </w:p>
    <w:p>
      <w:pPr>
        <w:pStyle w:val="2"/>
        <w:spacing w:line="600" w:lineRule="exact"/>
        <w:ind w:firstLine="600" w:firstLineChars="200"/>
        <w:rPr>
          <w:rFonts w:ascii="仿宋" w:hAnsi="仿宋" w:eastAsia="仿宋" w:cs="仿宋"/>
          <w:sz w:val="30"/>
          <w:szCs w:val="30"/>
        </w:rPr>
      </w:pPr>
    </w:p>
    <w:p>
      <w:pPr>
        <w:overflowPunct w:val="0"/>
        <w:spacing w:line="600" w:lineRule="exact"/>
        <w:ind w:firstLine="600" w:firstLineChars="200"/>
        <w:rPr>
          <w:rFonts w:ascii="仿宋" w:hAnsi="仿宋" w:eastAsia="仿宋" w:cs="仿宋"/>
          <w:bCs/>
          <w:kern w:val="0"/>
          <w:sz w:val="30"/>
          <w:szCs w:val="30"/>
        </w:rPr>
      </w:pPr>
      <w:r>
        <w:rPr>
          <w:rFonts w:hint="eastAsia" w:ascii="仿宋" w:hAnsi="仿宋" w:eastAsia="仿宋" w:cs="仿宋"/>
          <w:sz w:val="30"/>
          <w:szCs w:val="30"/>
        </w:rPr>
        <w:t>根据《益阳市赫山区财政局关于做好2021年度预算绩效自评工作的通知》（益赫财绩[2022]  1号）精神，结合赫山区乡村振兴局的具体情况，赫山区乡村振兴局对此项工作进行了认真的研究和部署，现将赫山区乡村振兴局2021年度部门整体支出绩效评价情况报告如下：</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一、部门、单位基本情况</w:t>
      </w:r>
    </w:p>
    <w:p>
      <w:pPr>
        <w:overflowPunct w:val="0"/>
        <w:spacing w:line="600" w:lineRule="exact"/>
        <w:ind w:firstLine="602" w:firstLineChars="200"/>
        <w:rPr>
          <w:rFonts w:ascii="仿宋" w:hAnsi="仿宋" w:eastAsia="仿宋" w:cs="仿宋"/>
          <w:b/>
          <w:kern w:val="0"/>
          <w:sz w:val="30"/>
          <w:szCs w:val="30"/>
        </w:rPr>
      </w:pPr>
      <w:r>
        <w:rPr>
          <w:rFonts w:hint="eastAsia" w:ascii="仿宋" w:hAnsi="仿宋" w:eastAsia="仿宋" w:cs="仿宋"/>
          <w:b/>
          <w:kern w:val="0"/>
          <w:sz w:val="30"/>
          <w:szCs w:val="30"/>
        </w:rPr>
        <w:t>（一）部门概况</w:t>
      </w:r>
    </w:p>
    <w:p>
      <w:pPr>
        <w:overflowPunct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赫山区乡村振兴局”前身为“赫山区扶贫开发办公室”。自脱贫攻坚以来，我单位坚持以习近平扶贫开发战略思想为指导，深入贯彻习近平总书记关于脱贫攻坚重要论述及系列指示批示精神，坚决落实中央、省、市决策部署，以“首倡之地当有首倡之为”的政治责任抓精准脱贫和成果巩固，2016、2018年、2020年脱贫攻坚工作获评全省先进，赫山区扶贫开发办公室荣获“全国脱贫攻坚先进集体”称号。全区15075户43688人建档立卡贫困户全部脱贫、28个贫困村全部出列，农村居民年人均可支配收入由2016年的15814元增至2020年的22516元，取得脱贫攻坚决定性胜利。</w:t>
      </w:r>
    </w:p>
    <w:p>
      <w:pPr>
        <w:overflowPunct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2021年5月8日，“赫山区扶贫开发办公室”正式更名为“赫山区乡村振兴局”，为赫山区人民政府工作部门，正科级单位。设党组书记1名，副书记、局长1名，副局长2名，共有16个编制，其中行政编制6个，事业编制10个。单位现有干部19人，其中行政编在编在岗5人，事业编在编在岗9人，借调5人。单位内设综合股、人事财务股、监测项目股（根据省委巡视组反馈意见，开发指导股与贫困监测股现已进行合并）、区扶贫调研指导站（所属二级机构）。2021年9月成立赫山区委实施乡村振兴战略领导小组，11月成立赫山区乡村振兴指挥部。</w:t>
      </w:r>
    </w:p>
    <w:p>
      <w:pPr>
        <w:overflowPunct w:val="0"/>
        <w:spacing w:line="600" w:lineRule="exact"/>
        <w:ind w:firstLine="602" w:firstLineChars="200"/>
        <w:rPr>
          <w:rFonts w:ascii="仿宋" w:hAnsi="仿宋" w:eastAsia="仿宋" w:cs="仿宋"/>
          <w:b/>
          <w:kern w:val="0"/>
          <w:sz w:val="30"/>
          <w:szCs w:val="30"/>
        </w:rPr>
      </w:pPr>
      <w:r>
        <w:rPr>
          <w:rFonts w:hint="eastAsia" w:ascii="仿宋" w:hAnsi="仿宋" w:eastAsia="仿宋" w:cs="仿宋"/>
          <w:b/>
          <w:kern w:val="0"/>
          <w:sz w:val="30"/>
          <w:szCs w:val="30"/>
        </w:rPr>
        <w:t>（二）职责职能情况</w:t>
      </w:r>
    </w:p>
    <w:p>
      <w:pPr>
        <w:pStyle w:val="3"/>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因上级部门暂未明确乡村振兴相关职责职能，我局的职责职能等“三定”相关事项暂未确定。根据安排，目前我单位主要负责巩固拓展脱贫攻坚成果相关工作，同时作为领导小组办公室和乡村振兴指挥部办公室负责、组织、协调全区推进乡村振兴。</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二、一般公共预算支出情况</w:t>
      </w:r>
    </w:p>
    <w:p>
      <w:pPr>
        <w:overflowPunct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全年总支出5635.72万元(包括中央、省、市专项扶贫资金3502万元），其中基本支出203.53万元；项目支出5432.19万元(包括中央、省、市专项扶贫资金3502万元）。</w:t>
      </w:r>
    </w:p>
    <w:p>
      <w:pPr>
        <w:overflowPunct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财政年初预算经费1161.37万元，预算完成率为100%。</w:t>
      </w:r>
    </w:p>
    <w:p>
      <w:pPr>
        <w:overflowPunct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收支平衡结余情况：收入5534.44万元，支出5635.72万元，2020年结转101.28万元，滚存结余0万元。</w:t>
      </w:r>
    </w:p>
    <w:p>
      <w:pPr>
        <w:overflowPunct w:val="0"/>
        <w:spacing w:line="600" w:lineRule="exact"/>
        <w:ind w:firstLine="602" w:firstLineChars="200"/>
        <w:rPr>
          <w:rFonts w:ascii="仿宋" w:hAnsi="仿宋" w:eastAsia="仿宋" w:cs="仿宋"/>
          <w:b/>
          <w:kern w:val="0"/>
          <w:sz w:val="30"/>
          <w:szCs w:val="30"/>
        </w:rPr>
      </w:pPr>
      <w:r>
        <w:rPr>
          <w:rFonts w:hint="eastAsia" w:ascii="仿宋" w:hAnsi="仿宋" w:eastAsia="仿宋" w:cs="仿宋"/>
          <w:b/>
          <w:kern w:val="0"/>
          <w:sz w:val="30"/>
          <w:szCs w:val="30"/>
        </w:rPr>
        <w:t>（一）基本支出情况</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2021年度基本支出财政拨款收入184.48万元，2020年结转19.05万元，基本支出财政拨款支出203.53的万元，滚存结余0万元。其中人员经费支出187.17万元；公用经费支出16.36万元。</w:t>
      </w:r>
    </w:p>
    <w:p>
      <w:pPr>
        <w:overflowPunct w:val="0"/>
        <w:spacing w:line="600" w:lineRule="exact"/>
        <w:ind w:firstLine="602" w:firstLineChars="200"/>
        <w:rPr>
          <w:rFonts w:ascii="仿宋" w:hAnsi="仿宋" w:eastAsia="仿宋" w:cs="仿宋"/>
          <w:b/>
          <w:kern w:val="0"/>
          <w:sz w:val="30"/>
          <w:szCs w:val="30"/>
        </w:rPr>
      </w:pPr>
      <w:r>
        <w:rPr>
          <w:rFonts w:hint="eastAsia" w:ascii="仿宋" w:hAnsi="仿宋" w:eastAsia="仿宋" w:cs="仿宋"/>
          <w:b/>
          <w:kern w:val="0"/>
          <w:sz w:val="30"/>
          <w:szCs w:val="30"/>
        </w:rPr>
        <w:t>（二）项目支出情况</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2021年度项目支出财政拨款收入5349.96万元，2020年结转82.23万元；项目支出财政拨款支出 5432.19万元；滚存结余0万元。详细支出如下：</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1.乡村振兴补助资金5019.4784万元，支出5019.4784万元，结余0万元。</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2.小额信贷奖励资金15.25万元，支出15.25万元，结余0万元。</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3.扶贫特惠保资金235.1322万元，支出235.1322万元，结余0万元。</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4.安化扶贫项目资金80.4225万元，支出80.4225万元，结余0万元。</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5.智能扶贫柜补贴项目资金11.13万元，支出11.13万元，结余0万元。</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6.乡村振兴工作经费70.7777万元，支出70.7777万元，结余0万元。</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三、政府性基金预算支出情况</w:t>
      </w:r>
    </w:p>
    <w:p>
      <w:pPr>
        <w:pStyle w:val="2"/>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政府性基金收入预算0万元，与上年相比增加0万元，增长0%。主要原因是无政府性基金收入。</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四、国有资本经营预算支出情况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国有资本收入预算0万元，与上年相比增加0万元，增长0%。主要原因是无国有资本收入。</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五、社会保险基金预算支出情况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社会保险基金预算0万元，与上年相比增加0万元，增长0%。主要原因是无社会保险基金收入。</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六、部门整体支出绩效情况</w:t>
      </w:r>
    </w:p>
    <w:p>
      <w:pPr>
        <w:spacing w:line="600" w:lineRule="exact"/>
        <w:ind w:firstLine="600" w:firstLineChars="200"/>
        <w:rPr>
          <w:rFonts w:ascii="仿宋" w:hAnsi="仿宋" w:eastAsia="仿宋" w:cs="仿宋"/>
          <w:sz w:val="30"/>
          <w:szCs w:val="30"/>
        </w:rPr>
      </w:pPr>
      <w:r>
        <w:rPr>
          <w:rFonts w:hint="eastAsia" w:ascii="仿宋" w:hAnsi="仿宋" w:eastAsia="仿宋" w:cs="仿宋"/>
          <w:bCs/>
          <w:kern w:val="0"/>
          <w:sz w:val="30"/>
          <w:szCs w:val="30"/>
        </w:rPr>
        <w:t>1.绩效完成情况：</w:t>
      </w:r>
      <w:r>
        <w:rPr>
          <w:rFonts w:hint="eastAsia" w:ascii="仿宋" w:hAnsi="仿宋" w:eastAsia="仿宋" w:cs="仿宋"/>
          <w:sz w:val="30"/>
          <w:szCs w:val="30"/>
        </w:rPr>
        <w:t>2021年我区被列为全省乡村振兴示范创建县，在巩固拓展脱贫攻坚成果同乡村振兴有效衔接的关键之年，我区深入贯彻习近平总书记关于乡村振兴重要论述及系列指示批示精神，坚决落实中央、省、市决策部署，认真遵循市委、市政府对赫山区乡村振兴工作提出的“12345”工作思路，以更高的政治站位和强烈的责任担当推进巩固拓展脱贫攻坚成果同乡村振兴有效衔接。重点抓好以下几个方面工作：</w:t>
      </w:r>
    </w:p>
    <w:p>
      <w:pPr>
        <w:pStyle w:val="2"/>
        <w:spacing w:line="600" w:lineRule="exact"/>
        <w:ind w:firstLine="602" w:firstLineChars="200"/>
        <w:rPr>
          <w:rFonts w:ascii="仿宋" w:hAnsi="仿宋" w:eastAsia="仿宋" w:cs="仿宋"/>
          <w:sz w:val="30"/>
          <w:szCs w:val="30"/>
        </w:rPr>
      </w:pPr>
      <w:r>
        <w:rPr>
          <w:rFonts w:hint="eastAsia" w:ascii="仿宋" w:hAnsi="仿宋" w:eastAsia="仿宋" w:cs="仿宋"/>
          <w:b/>
          <w:kern w:val="0"/>
          <w:sz w:val="30"/>
          <w:szCs w:val="30"/>
        </w:rPr>
        <w:t>一是持续推进防返贫监测工作。</w:t>
      </w:r>
      <w:r>
        <w:rPr>
          <w:rFonts w:hint="eastAsia" w:ascii="仿宋" w:hAnsi="仿宋" w:eastAsia="仿宋" w:cs="仿宋"/>
          <w:sz w:val="30"/>
          <w:szCs w:val="30"/>
        </w:rPr>
        <w:t>实行动态监测，出台《防止返贫动态监测和帮扶机制实施方案》。区、镇、村三级联动，动态管理监测对象，2021年按程序和标准新纳入监测对象318户619人，做到“应纳尽纳”。加强风险预警，充分发挥防返贫监测与帮扶平台预警作用，妥善处理风险数据16923条和政策未落实数据6192条。</w:t>
      </w:r>
    </w:p>
    <w:p>
      <w:pPr>
        <w:pStyle w:val="2"/>
        <w:spacing w:line="600" w:lineRule="exact"/>
        <w:ind w:firstLine="602" w:firstLineChars="200"/>
        <w:rPr>
          <w:rFonts w:ascii="仿宋" w:hAnsi="仿宋" w:eastAsia="仿宋" w:cs="仿宋"/>
          <w:sz w:val="30"/>
          <w:szCs w:val="30"/>
        </w:rPr>
      </w:pPr>
      <w:r>
        <w:rPr>
          <w:rFonts w:hint="eastAsia" w:ascii="仿宋" w:hAnsi="仿宋" w:eastAsia="仿宋" w:cs="仿宋"/>
          <w:b/>
          <w:kern w:val="0"/>
          <w:sz w:val="30"/>
          <w:szCs w:val="30"/>
        </w:rPr>
        <w:t>二是全力巩固教育保障成果。</w:t>
      </w:r>
      <w:r>
        <w:rPr>
          <w:rFonts w:hint="eastAsia" w:ascii="仿宋" w:hAnsi="仿宋" w:eastAsia="仿宋" w:cs="仿宋"/>
          <w:kern w:val="0"/>
          <w:sz w:val="30"/>
          <w:szCs w:val="30"/>
          <w:shd w:val="clear" w:color="auto" w:fill="FFFFFF"/>
        </w:rPr>
        <w:t>2021年共计发放春季、秋季“雨露计划”2090人次，共补助资金331.8万元。通过职业教育能力培训，提升了脱贫家庭子女就业能力，为脱贫户致富打下了坚实基础。</w:t>
      </w:r>
    </w:p>
    <w:p>
      <w:pPr>
        <w:pStyle w:val="2"/>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kern w:val="0"/>
          <w:sz w:val="30"/>
          <w:szCs w:val="30"/>
        </w:rPr>
        <w:t>三是扎实做好易地扶贫搬迁后续扶持。</w:t>
      </w:r>
      <w:r>
        <w:rPr>
          <w:rFonts w:hint="eastAsia" w:ascii="仿宋" w:hAnsi="仿宋" w:eastAsia="仿宋" w:cs="仿宋"/>
          <w:sz w:val="30"/>
          <w:szCs w:val="30"/>
        </w:rPr>
        <w:t>全区易地扶贫搬迁共285户、864人，其中分散安置237户719人、集中安置48户145人。按照搬迁群众“稳得住、有就业、能致富”要求，做好易地扶贫搬迁后续扶持。完善安置点基础设施及基本公共服务，做好两个集中安置点的社区化管理。</w:t>
      </w:r>
    </w:p>
    <w:p>
      <w:pPr>
        <w:spacing w:line="600" w:lineRule="exact"/>
        <w:ind w:firstLine="602" w:firstLineChars="200"/>
        <w:rPr>
          <w:rFonts w:ascii="仿宋" w:hAnsi="仿宋" w:eastAsia="仿宋" w:cs="仿宋"/>
          <w:sz w:val="30"/>
          <w:szCs w:val="30"/>
        </w:rPr>
      </w:pPr>
      <w:r>
        <w:rPr>
          <w:rFonts w:hint="eastAsia" w:ascii="仿宋" w:hAnsi="仿宋" w:eastAsia="仿宋" w:cs="仿宋"/>
          <w:b/>
          <w:kern w:val="0"/>
          <w:sz w:val="30"/>
          <w:szCs w:val="30"/>
        </w:rPr>
        <w:t>四是小额信贷健康管理。</w:t>
      </w:r>
      <w:r>
        <w:rPr>
          <w:rFonts w:hint="eastAsia" w:ascii="仿宋" w:hAnsi="仿宋" w:eastAsia="仿宋" w:cs="仿宋"/>
          <w:sz w:val="30"/>
          <w:szCs w:val="30"/>
        </w:rPr>
        <w:t>按照“应贷尽贷”原则，今年累计发放脱贫人口小额贷款3587.6万元，财政预算安排小额信贷贴息资金189万元，实际支出189万元。2021年第一季度受益脱贫户、监测户1036户，第二季度受益脱贫户、监测户1035户，第三季度受益脱贫户、监测户761户，第四季受益脱贫户、监测户度850户。通过发放脱贫人口小额信贷和实施贴息政策，有效的增强了脱贫户、监测户的产业发展动力和减少了脱贫户、监测户产业发展成本，提高了收入。</w:t>
      </w:r>
    </w:p>
    <w:p>
      <w:pPr>
        <w:spacing w:line="600" w:lineRule="exact"/>
        <w:ind w:firstLine="602" w:firstLineChars="200"/>
        <w:rPr>
          <w:rFonts w:ascii="仿宋" w:hAnsi="仿宋" w:eastAsia="仿宋" w:cs="仿宋"/>
          <w:sz w:val="30"/>
          <w:szCs w:val="30"/>
        </w:rPr>
      </w:pPr>
      <w:r>
        <w:rPr>
          <w:rFonts w:hint="eastAsia" w:ascii="仿宋" w:hAnsi="仿宋" w:eastAsia="仿宋" w:cs="仿宋"/>
          <w:b/>
          <w:kern w:val="0"/>
          <w:sz w:val="30"/>
          <w:szCs w:val="30"/>
        </w:rPr>
        <w:t>五是产业扶贫全面覆盖。</w:t>
      </w:r>
      <w:r>
        <w:rPr>
          <w:rFonts w:hint="eastAsia" w:ascii="仿宋" w:hAnsi="仿宋" w:eastAsia="仿宋" w:cs="仿宋"/>
          <w:sz w:val="30"/>
          <w:szCs w:val="30"/>
        </w:rPr>
        <w:t>聚焦带动贫困户增收致富，深入挖掘现有资源，大力发展“一村一品、一镇一企”扶贫产业，形成了以“赫山兰溪大米”国家地理标志产品为代表的粮食产业，以碧云峰、金家堤、苦竹湖为代表的乡村旅游产业，以旺泰、华湘为代表的茶叶产业，以优享、银桥、新发为代表的果蔬产业，以护农商城、“赫山网姐”为代表的电商产业，以青蛙、肉兔为代表的养殖产业，以电容器、服装为代表的加工产业。16个涉贫乡镇（街道、园区）个个有主导产业，28个脱贫村村村有脱贫产业，有劳动能力的脱贫户户户有致富门路。</w:t>
      </w:r>
    </w:p>
    <w:p>
      <w:pPr>
        <w:spacing w:line="600" w:lineRule="exact"/>
        <w:ind w:firstLine="602" w:firstLineChars="200"/>
        <w:rPr>
          <w:rFonts w:ascii="仿宋" w:hAnsi="仿宋" w:eastAsia="仿宋" w:cs="仿宋"/>
          <w:sz w:val="30"/>
          <w:szCs w:val="30"/>
        </w:rPr>
      </w:pPr>
      <w:r>
        <w:rPr>
          <w:rFonts w:hint="eastAsia" w:ascii="仿宋" w:hAnsi="仿宋" w:eastAsia="仿宋" w:cs="仿宋"/>
          <w:b/>
          <w:kern w:val="0"/>
          <w:sz w:val="30"/>
          <w:szCs w:val="30"/>
        </w:rPr>
        <w:t>六是消费帮扶有力开展。</w:t>
      </w:r>
      <w:r>
        <w:rPr>
          <w:rFonts w:hint="eastAsia" w:ascii="仿宋" w:hAnsi="仿宋" w:eastAsia="仿宋" w:cs="仿宋"/>
          <w:sz w:val="30"/>
          <w:szCs w:val="30"/>
        </w:rPr>
        <w:t>建好用好“三专一平台”：联合益阳市邮政集团赫山分公司搭建了一个线下消费扶贫体验馆，与</w:t>
      </w:r>
      <w:r>
        <w:rPr>
          <w:rFonts w:hint="eastAsia" w:ascii="仿宋" w:hAnsi="仿宋" w:eastAsia="仿宋" w:cs="仿宋"/>
          <w:kern w:val="0"/>
          <w:sz w:val="30"/>
          <w:szCs w:val="30"/>
        </w:rPr>
        <w:t>湖南省北诚智能有限公司合作投放消费扶贫智能专柜，</w:t>
      </w:r>
      <w:r>
        <w:rPr>
          <w:rFonts w:hint="eastAsia" w:ascii="仿宋" w:hAnsi="仿宋" w:eastAsia="仿宋" w:cs="仿宋"/>
          <w:sz w:val="30"/>
          <w:szCs w:val="30"/>
        </w:rPr>
        <w:t>联合湖南达漫金服电子商务有限公司搭建了一个线上扶贫专区，建立</w:t>
      </w:r>
      <w:r>
        <w:rPr>
          <w:rFonts w:hint="eastAsia" w:ascii="仿宋" w:hAnsi="仿宋" w:eastAsia="仿宋" w:cs="仿宋"/>
          <w:kern w:val="0"/>
          <w:sz w:val="30"/>
          <w:szCs w:val="30"/>
        </w:rPr>
        <w:t>微信搜索小程序“达漫电商”平台。</w:t>
      </w:r>
      <w:r>
        <w:rPr>
          <w:rFonts w:hint="eastAsia" w:ascii="仿宋" w:hAnsi="仿宋" w:eastAsia="仿宋" w:cs="仿宋"/>
          <w:sz w:val="30"/>
          <w:szCs w:val="30"/>
        </w:rPr>
        <w:t>帮扶认证企业45家、产品85个，帮扶产品累计销售额超1.2亿元，主要销售产品为大米、粮油、预制菜、皮咸蛋等，其中以林结巴、赫山兰溪大米、青松皮蛋等一批产品为代表在各大线上线下平台及商超广受青睐。</w:t>
      </w:r>
    </w:p>
    <w:p>
      <w:pPr>
        <w:spacing w:line="600" w:lineRule="exact"/>
        <w:ind w:firstLine="602" w:firstLineChars="200"/>
        <w:rPr>
          <w:rFonts w:ascii="仿宋" w:hAnsi="仿宋" w:eastAsia="仿宋" w:cs="仿宋"/>
          <w:kern w:val="0"/>
          <w:sz w:val="30"/>
          <w:szCs w:val="30"/>
        </w:rPr>
      </w:pPr>
      <w:r>
        <w:rPr>
          <w:rFonts w:hint="eastAsia" w:ascii="仿宋" w:hAnsi="仿宋" w:eastAsia="仿宋" w:cs="仿宋"/>
          <w:b/>
          <w:kern w:val="0"/>
          <w:sz w:val="30"/>
          <w:szCs w:val="30"/>
        </w:rPr>
        <w:t>七是全力保障资金项目规范管理。</w:t>
      </w:r>
      <w:r>
        <w:rPr>
          <w:rFonts w:hint="eastAsia" w:ascii="仿宋" w:hAnsi="仿宋" w:eastAsia="仿宋" w:cs="仿宋"/>
          <w:kern w:val="0"/>
          <w:sz w:val="30"/>
          <w:szCs w:val="30"/>
        </w:rPr>
        <w:t>强化扶贫项目资产管理，成立扶贫项目资产确权登记和扶贫项目资产后续管理两个专门领导小组，全面核查、完善扶贫资产台账，建立扶贫项目资产后续管理台账。为每个扶贫项目资产明确管护单位和责任人，发放确权书，资产使用人签订承诺书，确保扶贫资产管理规范到位、权责明晰。赫山区共形成扶贫项目1664项，扶贫资产达18578.57万元。其中，公益性资产1114项，10309.01万元；经营性资产20项，445.33万元；到户类资产530项，7824.23万元。</w:t>
      </w:r>
    </w:p>
    <w:p>
      <w:pPr>
        <w:pStyle w:val="2"/>
        <w:adjustRightInd w:val="0"/>
        <w:snapToGrid w:val="0"/>
        <w:spacing w:line="600" w:lineRule="exact"/>
        <w:ind w:firstLine="602" w:firstLineChars="200"/>
        <w:rPr>
          <w:rFonts w:ascii="仿宋" w:hAnsi="仿宋" w:eastAsia="仿宋" w:cs="仿宋"/>
          <w:kern w:val="0"/>
          <w:sz w:val="30"/>
          <w:szCs w:val="30"/>
        </w:rPr>
      </w:pPr>
      <w:r>
        <w:rPr>
          <w:rFonts w:hint="eastAsia" w:ascii="仿宋" w:hAnsi="仿宋" w:eastAsia="仿宋" w:cs="仿宋"/>
          <w:b/>
          <w:kern w:val="0"/>
          <w:sz w:val="30"/>
          <w:szCs w:val="30"/>
        </w:rPr>
        <w:t>八是认真开展好驻村帮扶工作。</w:t>
      </w:r>
      <w:r>
        <w:rPr>
          <w:rFonts w:hint="eastAsia" w:ascii="仿宋" w:hAnsi="仿宋" w:eastAsia="仿宋" w:cs="仿宋"/>
          <w:kern w:val="0"/>
          <w:sz w:val="30"/>
          <w:szCs w:val="30"/>
        </w:rPr>
        <w:t>全区共选派驻村帮扶工作队68支、驻村队员204人，每村安排一支至少3名队员的工作队，其中已脱贫村选派28支工作队85人、重点帮扶村选派13支工作队41人、示范创建村选派24支工作队72人、脱贫人口500人以下易地搬迁安置村（社区）选派2支工作队6人、党组织软弱涣散村选派16支工作队46人，实现应派尽派、尽锐出战，按照“缺什么补什么”原则采取针对性帮扶措施。各派出单位认真落实“队员当代表、单位做后盾、一把手负总责”要求，深入有效开展驻村帮扶。制发《赫山区2021-2023年乡村振兴驻村帮扶工作实施方案》《赫山区驻村第一书记和工作队管理办法》，切实加强队伍后续管理，确保驻村工作队纪律严、职责清、能力强、全覆盖。</w:t>
      </w:r>
    </w:p>
    <w:p>
      <w:pPr>
        <w:pStyle w:val="2"/>
        <w:adjustRightInd w:val="0"/>
        <w:snapToGrid w:val="0"/>
        <w:spacing w:line="600" w:lineRule="exact"/>
        <w:ind w:firstLine="600" w:firstLineChars="200"/>
        <w:rPr>
          <w:rFonts w:ascii="仿宋" w:hAnsi="仿宋" w:eastAsia="仿宋" w:cs="仿宋"/>
          <w:kern w:val="0"/>
          <w:sz w:val="30"/>
          <w:szCs w:val="30"/>
        </w:rPr>
      </w:pPr>
      <w:r>
        <w:rPr>
          <w:rFonts w:hint="eastAsia" w:ascii="仿宋" w:hAnsi="仿宋" w:eastAsia="仿宋" w:cs="仿宋"/>
          <w:bCs/>
          <w:kern w:val="0"/>
          <w:sz w:val="30"/>
          <w:szCs w:val="30"/>
        </w:rPr>
        <w:t>2.效益情况：</w:t>
      </w:r>
      <w:r>
        <w:rPr>
          <w:rFonts w:hint="eastAsia" w:ascii="仿宋" w:hAnsi="仿宋" w:eastAsia="仿宋" w:cs="仿宋"/>
          <w:kern w:val="0"/>
          <w:sz w:val="30"/>
          <w:szCs w:val="30"/>
        </w:rPr>
        <w:t>荣获益阳市2021年实施乡村振兴战略年度考核先进单位。</w:t>
      </w:r>
    </w:p>
    <w:p>
      <w:pPr>
        <w:spacing w:line="600" w:lineRule="exact"/>
        <w:ind w:firstLine="600" w:firstLineChars="200"/>
        <w:rPr>
          <w:rFonts w:ascii="仿宋" w:hAnsi="仿宋" w:eastAsia="仿宋" w:cs="仿宋"/>
          <w:sz w:val="30"/>
          <w:szCs w:val="30"/>
        </w:rPr>
      </w:pPr>
      <w:r>
        <w:rPr>
          <w:rFonts w:hint="eastAsia" w:ascii="仿宋" w:hAnsi="仿宋" w:eastAsia="仿宋" w:cs="仿宋"/>
          <w:bCs/>
          <w:kern w:val="0"/>
          <w:sz w:val="30"/>
          <w:szCs w:val="30"/>
        </w:rPr>
        <w:t>3.预算决算公开透明：</w:t>
      </w:r>
      <w:r>
        <w:rPr>
          <w:rFonts w:hint="eastAsia" w:ascii="仿宋" w:hAnsi="仿宋" w:eastAsia="仿宋" w:cs="仿宋"/>
          <w:kern w:val="0"/>
          <w:sz w:val="30"/>
          <w:szCs w:val="30"/>
          <w:shd w:val="clear" w:color="auto" w:fill="FFFFFF"/>
        </w:rPr>
        <w:t>整体预算决算已在赫山区人民政府网站公开。</w:t>
      </w:r>
    </w:p>
    <w:p>
      <w:pPr>
        <w:spacing w:line="600" w:lineRule="exact"/>
        <w:ind w:firstLine="600" w:firstLineChars="200"/>
        <w:rPr>
          <w:rFonts w:ascii="仿宋" w:hAnsi="仿宋" w:eastAsia="仿宋" w:cs="仿宋"/>
          <w:sz w:val="30"/>
          <w:szCs w:val="30"/>
        </w:rPr>
      </w:pPr>
      <w:r>
        <w:rPr>
          <w:rFonts w:hint="eastAsia" w:ascii="仿宋" w:hAnsi="仿宋" w:eastAsia="仿宋" w:cs="仿宋"/>
          <w:bCs/>
          <w:kern w:val="0"/>
          <w:sz w:val="30"/>
          <w:szCs w:val="30"/>
        </w:rPr>
        <w:t>4.严控“三公经费”：</w:t>
      </w:r>
      <w:r>
        <w:rPr>
          <w:rFonts w:hint="eastAsia" w:ascii="仿宋" w:hAnsi="仿宋" w:eastAsia="仿宋" w:cs="仿宋"/>
          <w:kern w:val="0"/>
          <w:sz w:val="30"/>
          <w:szCs w:val="30"/>
          <w:shd w:val="clear" w:color="auto" w:fill="FFFFFF"/>
        </w:rPr>
        <w:t>2021年“三公经费”支出情况：赫山区乡村振兴局没有出国出境人员，无公款出国（境）经费支出。</w:t>
      </w:r>
      <w:r>
        <w:rPr>
          <w:rFonts w:hint="eastAsia" w:ascii="仿宋" w:hAnsi="仿宋" w:eastAsia="仿宋" w:cs="仿宋"/>
          <w:sz w:val="30"/>
          <w:szCs w:val="30"/>
        </w:rPr>
        <w:t>2021年度三公经费支出为136995.71元，比上年同期下降10337.37元，减少7.02%。</w:t>
      </w:r>
      <w:r>
        <w:rPr>
          <w:rFonts w:hint="eastAsia" w:ascii="仿宋" w:hAnsi="仿宋" w:eastAsia="仿宋" w:cs="仿宋"/>
          <w:kern w:val="0"/>
          <w:sz w:val="30"/>
          <w:szCs w:val="30"/>
          <w:shd w:val="clear" w:color="auto" w:fill="FFFFFF"/>
        </w:rPr>
        <w:t>公务接待费支出75893元，公务用车运行费61102.71元。</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七、存在的问题及原因分析</w:t>
      </w:r>
    </w:p>
    <w:p>
      <w:pPr>
        <w:pStyle w:val="5"/>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1、绩效自评工作缺乏经验，绩效指标不够完善，需要逐步改进。</w:t>
      </w:r>
    </w:p>
    <w:p>
      <w:pPr>
        <w:pStyle w:val="5"/>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2、单位财务管理制度应与时俱进，需进一步完善与修订。</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八、下一步改进措施</w:t>
      </w:r>
    </w:p>
    <w:p>
      <w:pPr>
        <w:pStyle w:val="5"/>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1、进一步强化预算管理意识，提高预算编制的精确</w:t>
      </w:r>
    </w:p>
    <w:p>
      <w:pPr>
        <w:pStyle w:val="5"/>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2、进一步加强财务管理，严格财务审核，控制超支现象发生。</w:t>
      </w:r>
    </w:p>
    <w:p>
      <w:pPr>
        <w:overflowPunct w:val="0"/>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九、其他需要说明的情况</w:t>
      </w:r>
    </w:p>
    <w:p>
      <w:pPr>
        <w:spacing w:line="600" w:lineRule="exact"/>
        <w:ind w:firstLine="600" w:firstLineChars="200"/>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赫山区乡村振兴局是根据年度工作计划和目标任务，制定可操作和可考核的绩效目标。并根据工作开展情况，通过查阅系统、资料、年度预决算报表等方式来检查绩效完成情况。但对绩效自评工作欠缺经验，未经过系统培训，绩效指标的设置还有待完善。 </w:t>
      </w:r>
    </w:p>
    <w:p>
      <w:pPr>
        <w:spacing w:line="600" w:lineRule="exact"/>
        <w:ind w:firstLine="600" w:firstLineChars="200"/>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附加：2021年度部门整体支出绩效自评指标计分表</w:t>
      </w:r>
    </w:p>
    <w:p>
      <w:pPr>
        <w:pStyle w:val="2"/>
        <w:spacing w:line="600" w:lineRule="exact"/>
        <w:ind w:firstLine="600" w:firstLineChars="200"/>
        <w:rPr>
          <w:rFonts w:ascii="仿宋" w:hAnsi="仿宋" w:eastAsia="仿宋" w:cs="仿宋"/>
          <w:color w:val="333333"/>
          <w:kern w:val="0"/>
          <w:sz w:val="30"/>
          <w:szCs w:val="30"/>
          <w:shd w:val="clear" w:color="auto" w:fill="FFFFFF"/>
        </w:rPr>
      </w:pPr>
    </w:p>
    <w:p>
      <w:pPr>
        <w:spacing w:line="600" w:lineRule="exact"/>
        <w:ind w:firstLine="600" w:firstLineChars="200"/>
        <w:rPr>
          <w:rFonts w:ascii="仿宋" w:hAnsi="仿宋" w:eastAsia="仿宋" w:cs="仿宋"/>
          <w:color w:val="333333"/>
          <w:kern w:val="0"/>
          <w:sz w:val="30"/>
          <w:szCs w:val="30"/>
          <w:shd w:val="clear" w:color="auto" w:fill="FFFFFF"/>
        </w:rPr>
      </w:pPr>
    </w:p>
    <w:p>
      <w:pPr>
        <w:pStyle w:val="2"/>
        <w:spacing w:line="600" w:lineRule="exact"/>
        <w:ind w:firstLine="600" w:firstLineChars="200"/>
        <w:rPr>
          <w:rFonts w:ascii="仿宋" w:hAnsi="仿宋" w:eastAsia="仿宋" w:cs="仿宋"/>
          <w:color w:val="333333"/>
          <w:kern w:val="0"/>
          <w:sz w:val="30"/>
          <w:szCs w:val="30"/>
          <w:shd w:val="clear" w:color="auto" w:fill="FFFFFF"/>
        </w:rPr>
      </w:pPr>
    </w:p>
    <w:p>
      <w:pPr>
        <w:spacing w:line="600" w:lineRule="exact"/>
        <w:ind w:firstLine="600" w:firstLineChars="200"/>
        <w:rPr>
          <w:rFonts w:ascii="仿宋" w:hAnsi="仿宋" w:eastAsia="仿宋" w:cs="仿宋"/>
          <w:color w:val="333333"/>
          <w:kern w:val="0"/>
          <w:sz w:val="30"/>
          <w:szCs w:val="30"/>
          <w:shd w:val="clear" w:color="auto" w:fill="FFFFFF"/>
        </w:rPr>
      </w:pPr>
    </w:p>
    <w:p>
      <w:pPr>
        <w:pStyle w:val="2"/>
        <w:spacing w:line="600" w:lineRule="exact"/>
        <w:ind w:firstLine="600" w:firstLineChars="200"/>
        <w:rPr>
          <w:rFonts w:ascii="仿宋" w:hAnsi="仿宋" w:eastAsia="仿宋" w:cs="仿宋"/>
          <w:color w:val="333333"/>
          <w:kern w:val="0"/>
          <w:sz w:val="30"/>
          <w:szCs w:val="30"/>
          <w:shd w:val="clear" w:color="auto" w:fill="FFFFFF"/>
        </w:rPr>
      </w:pPr>
    </w:p>
    <w:p>
      <w:pPr>
        <w:spacing w:line="600" w:lineRule="exact"/>
        <w:ind w:firstLine="600" w:firstLineChars="200"/>
        <w:rPr>
          <w:rFonts w:ascii="仿宋" w:hAnsi="仿宋" w:eastAsia="仿宋" w:cs="仿宋"/>
          <w:color w:val="333333"/>
          <w:kern w:val="0"/>
          <w:sz w:val="30"/>
          <w:szCs w:val="30"/>
          <w:shd w:val="clear" w:color="auto" w:fill="FFFFFF"/>
        </w:rPr>
      </w:pPr>
    </w:p>
    <w:p>
      <w:pPr>
        <w:pStyle w:val="2"/>
        <w:spacing w:line="600" w:lineRule="exact"/>
        <w:ind w:firstLine="600" w:firstLineChars="200"/>
        <w:rPr>
          <w:rFonts w:ascii="仿宋" w:hAnsi="仿宋" w:eastAsia="仿宋" w:cs="仿宋"/>
          <w:color w:val="333333"/>
          <w:kern w:val="0"/>
          <w:sz w:val="30"/>
          <w:szCs w:val="30"/>
          <w:shd w:val="clear" w:color="auto" w:fill="FFFFFF"/>
        </w:rPr>
      </w:pPr>
    </w:p>
    <w:p>
      <w:pPr>
        <w:spacing w:line="600" w:lineRule="exact"/>
        <w:ind w:firstLine="600" w:firstLineChars="200"/>
        <w:rPr>
          <w:rFonts w:ascii="仿宋" w:hAnsi="仿宋" w:eastAsia="仿宋" w:cs="仿宋"/>
          <w:color w:val="333333"/>
          <w:kern w:val="0"/>
          <w:sz w:val="30"/>
          <w:szCs w:val="30"/>
          <w:shd w:val="clear" w:color="auto" w:fill="FFFFFF"/>
        </w:rPr>
      </w:pPr>
    </w:p>
    <w:p>
      <w:pPr>
        <w:pStyle w:val="2"/>
        <w:spacing w:line="600" w:lineRule="exact"/>
        <w:ind w:firstLine="600" w:firstLineChars="200"/>
        <w:rPr>
          <w:rFonts w:ascii="仿宋" w:hAnsi="仿宋" w:eastAsia="仿宋" w:cs="仿宋"/>
          <w:color w:val="333333"/>
          <w:kern w:val="0"/>
          <w:sz w:val="30"/>
          <w:szCs w:val="30"/>
          <w:shd w:val="clear" w:color="auto" w:fill="FFFFFF"/>
        </w:rPr>
      </w:pPr>
    </w:p>
    <w:p>
      <w:pPr>
        <w:spacing w:line="600" w:lineRule="exact"/>
        <w:ind w:firstLine="600" w:firstLineChars="200"/>
        <w:rPr>
          <w:rFonts w:ascii="仿宋" w:hAnsi="仿宋" w:eastAsia="仿宋" w:cs="仿宋"/>
          <w:color w:val="333333"/>
          <w:kern w:val="0"/>
          <w:sz w:val="30"/>
          <w:szCs w:val="30"/>
          <w:shd w:val="clear" w:color="auto" w:fill="FFFFFF"/>
        </w:rPr>
      </w:pPr>
    </w:p>
    <w:p>
      <w:pPr>
        <w:pStyle w:val="2"/>
        <w:spacing w:line="600" w:lineRule="exact"/>
        <w:ind w:firstLine="600" w:firstLineChars="200"/>
        <w:rPr>
          <w:rFonts w:ascii="仿宋" w:hAnsi="仿宋" w:eastAsia="仿宋" w:cs="仿宋"/>
          <w:color w:val="333333"/>
          <w:kern w:val="0"/>
          <w:sz w:val="30"/>
          <w:szCs w:val="30"/>
          <w:shd w:val="clear" w:color="auto" w:fill="FFFFFF"/>
        </w:rPr>
      </w:pPr>
    </w:p>
    <w:p>
      <w:pPr>
        <w:spacing w:line="600" w:lineRule="exact"/>
        <w:ind w:firstLine="600" w:firstLineChars="200"/>
        <w:rPr>
          <w:rFonts w:ascii="仿宋" w:hAnsi="仿宋" w:eastAsia="仿宋" w:cs="仿宋"/>
          <w:color w:val="333333"/>
          <w:kern w:val="0"/>
          <w:sz w:val="30"/>
          <w:szCs w:val="30"/>
          <w:shd w:val="clear" w:color="auto" w:fill="FFFFFF"/>
        </w:rPr>
      </w:pPr>
    </w:p>
    <w:p>
      <w:pPr>
        <w:spacing w:line="600" w:lineRule="exact"/>
        <w:ind w:firstLine="600" w:firstLineChars="200"/>
        <w:rPr>
          <w:rFonts w:ascii="仿宋" w:hAnsi="仿宋" w:eastAsia="仿宋" w:cs="仿宋"/>
          <w:sz w:val="30"/>
          <w:szCs w:val="30"/>
        </w:rPr>
      </w:pPr>
    </w:p>
    <w:p>
      <w:pPr>
        <w:spacing w:beforeLines="50" w:afterLines="50" w:line="600" w:lineRule="exact"/>
        <w:ind w:firstLine="600" w:firstLineChars="200"/>
        <w:jc w:val="center"/>
        <w:rPr>
          <w:rFonts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6"/>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581"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710" w:type="dxa"/>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946"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710" w:type="dxa"/>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298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353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710" w:type="dxa"/>
          </w:tcPr>
          <w:p>
            <w:pPr>
              <w:tabs>
                <w:tab w:val="left" w:pos="2604"/>
              </w:tabs>
              <w:spacing w:line="240" w:lineRule="exact"/>
              <w:ind w:right="105" w:rightChars="50"/>
              <w:rPr>
                <w:rFonts w:ascii="宋体" w:cs="宋体"/>
              </w:rPr>
            </w:pPr>
          </w:p>
          <w:p>
            <w:pPr>
              <w:tabs>
                <w:tab w:val="left" w:pos="2604"/>
              </w:tabs>
              <w:spacing w:line="240" w:lineRule="exact"/>
              <w:ind w:right="105" w:rightChars="50"/>
              <w:rPr>
                <w:rFonts w:ascii="宋体" w:cs="宋体"/>
              </w:rPr>
            </w:pPr>
          </w:p>
          <w:p>
            <w:pPr>
              <w:tabs>
                <w:tab w:val="left" w:pos="2604"/>
              </w:tabs>
              <w:spacing w:line="240" w:lineRule="exact"/>
              <w:ind w:right="105" w:rightChars="50" w:firstLine="210" w:firstLineChars="100"/>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3</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581" w:type="dxa"/>
            <w:vMerge w:val="continue"/>
            <w:vAlign w:val="center"/>
          </w:tcPr>
          <w:p>
            <w:pPr>
              <w:spacing w:line="240" w:lineRule="exact"/>
              <w:rPr>
                <w:rFonts w:ascii="宋体" w:cs="宋体"/>
              </w:rPr>
            </w:pP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81"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10" w:type="dxa"/>
            <w:vMerge w:val="continue"/>
            <w:tcMar>
              <w:top w:w="10" w:type="dxa"/>
              <w:left w:w="10" w:type="dxa"/>
              <w:bottom w:w="0" w:type="dxa"/>
              <w:right w:w="10" w:type="dxa"/>
            </w:tcMar>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581" w:type="dxa"/>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581"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710" w:type="dxa"/>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2983" w:type="dxa"/>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8</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581" w:type="dxa"/>
            <w:vMerge w:val="continue"/>
            <w:textDirection w:val="tbRlV"/>
            <w:vAlign w:val="center"/>
          </w:tcPr>
          <w:p>
            <w:pPr>
              <w:spacing w:line="240" w:lineRule="exact"/>
              <w:ind w:left="113"/>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3</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8</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10</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right="105" w:rightChars="50" w:firstLine="210" w:firstLineChars="100"/>
              <w:rPr>
                <w:rFonts w:ascii="宋体" w:eastAsia="宋体" w:cs="宋体"/>
              </w:rPr>
            </w:pPr>
            <w:r>
              <w:rPr>
                <w:rFonts w:hint="eastAsia" w:ascii="宋体" w:cs="宋体"/>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3533" w:type="dxa"/>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right="105" w:rightChars="50" w:firstLine="210" w:firstLineChars="100"/>
              <w:rPr>
                <w:rFonts w:ascii="宋体" w:eastAsia="宋体" w:cs="宋体"/>
              </w:rPr>
            </w:pPr>
            <w:r>
              <w:rPr>
                <w:rFonts w:hint="eastAsia" w:ascii="宋体" w:cs="宋体"/>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3533"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3533"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81" w:type="dxa"/>
            <w:vAlign w:val="center"/>
          </w:tcPr>
          <w:p>
            <w:pPr>
              <w:spacing w:line="240" w:lineRule="exact"/>
              <w:rPr>
                <w:rFonts w:ascii="宋体" w:cs="宋体"/>
              </w:rPr>
            </w:pPr>
            <w:r>
              <w:rPr>
                <w:rFonts w:hint="eastAsia" w:ascii="宋体" w:hAnsi="宋体" w:cs="宋体"/>
              </w:rPr>
              <w:t>总分</w:t>
            </w:r>
          </w:p>
        </w:tc>
        <w:tc>
          <w:tcPr>
            <w:tcW w:w="710" w:type="dxa"/>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p>
        </w:tc>
        <w:tc>
          <w:tcPr>
            <w:tcW w:w="710" w:type="dxa"/>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99</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pStyle w:val="2"/>
      </w:pPr>
    </w:p>
    <w:p>
      <w:pPr>
        <w:spacing w:line="600" w:lineRule="exact"/>
        <w:rPr>
          <w:rFonts w:asciiTheme="minorEastAsia" w:hAnsiTheme="minorEastAsia" w:cstheme="minorEastAsia"/>
        </w:rPr>
      </w:pPr>
    </w:p>
    <w:p>
      <w:pPr>
        <w:spacing w:line="600" w:lineRule="exact"/>
        <w:ind w:firstLine="600" w:firstLineChars="200"/>
        <w:jc w:val="left"/>
        <w:rPr>
          <w:rFonts w:ascii="仿宋" w:hAnsi="仿宋" w:eastAsia="仿宋" w:cs="仿宋"/>
          <w:sz w:val="30"/>
          <w:szCs w:val="30"/>
        </w:rPr>
      </w:pPr>
    </w:p>
    <w:p>
      <w:pPr>
        <w:spacing w:line="600" w:lineRule="exact"/>
        <w:ind w:firstLine="600" w:firstLineChars="200"/>
        <w:jc w:val="left"/>
        <w:rPr>
          <w:rFonts w:ascii="仿宋" w:hAnsi="仿宋" w:eastAsia="仿宋" w:cs="仿宋"/>
          <w:sz w:val="30"/>
          <w:szCs w:val="30"/>
        </w:rPr>
      </w:pPr>
    </w:p>
    <w:p>
      <w:pPr>
        <w:spacing w:line="600" w:lineRule="exact"/>
        <w:ind w:firstLine="600" w:firstLineChars="200"/>
        <w:jc w:val="left"/>
        <w:rPr>
          <w:rFonts w:ascii="仿宋" w:hAnsi="仿宋" w:eastAsia="仿宋" w:cs="仿宋"/>
          <w:sz w:val="30"/>
          <w:szCs w:val="30"/>
        </w:rPr>
      </w:pPr>
    </w:p>
    <w:p>
      <w:pPr>
        <w:spacing w:line="600" w:lineRule="exact"/>
        <w:ind w:firstLine="600" w:firstLineChars="200"/>
        <w:jc w:val="left"/>
        <w:rPr>
          <w:rFonts w:ascii="仿宋" w:hAnsi="仿宋" w:eastAsia="仿宋" w:cs="仿宋"/>
          <w:sz w:val="30"/>
          <w:szCs w:val="30"/>
        </w:rPr>
      </w:pPr>
    </w:p>
    <w:p>
      <w:pPr>
        <w:spacing w:line="600" w:lineRule="exact"/>
        <w:ind w:firstLine="600" w:firstLineChars="200"/>
        <w:jc w:val="left"/>
        <w:rPr>
          <w:rFonts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8A7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rPr>
      <w:rFonts w:ascii="Calibri" w:hAnsi="Calibri" w:eastAsia="宋体" w:cs="Times New Roman"/>
    </w:rPr>
  </w:style>
  <w:style w:type="paragraph" w:styleId="3">
    <w:name w:val="Body Text"/>
    <w:basedOn w:val="1"/>
    <w:next w:val="4"/>
    <w:qFormat/>
    <w:uiPriority w:val="0"/>
  </w:style>
  <w:style w:type="paragraph" w:styleId="4">
    <w:name w:val="toc 5"/>
    <w:basedOn w:val="1"/>
    <w:next w:val="1"/>
    <w:qFormat/>
    <w:uiPriority w:val="0"/>
    <w:pPr>
      <w:ind w:left="1680" w:leftChars="800"/>
    </w:pPr>
    <w:rPr>
      <w:rFonts w:ascii="Times New Roman" w:hAnsi="Times New Roman"/>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2023-06-20T09:19:33Z</dcterms:created>
  <dc:creator>admin-3</dc:creator>
  <cp:lastModifiedBy>admin-3</cp:lastModifiedBy>
  <dcterms:modified xsi:type="dcterms:W3CDTF">2023-06-20T09:20:10Z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7DECB0B340BD4D088C4E84558B8EF29C_12</vt:lpwstr>
  </property>
</Properties>
</file>