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rPr>
      </w:pPr>
      <w:r>
        <w:rPr>
          <w:rFonts w:hint="eastAsia" w:ascii="黑体" w:hAnsi="黑体" w:eastAsia="黑体" w:cs="黑体"/>
          <w:sz w:val="36"/>
          <w:szCs w:val="36"/>
          <w:lang w:val="en-US" w:eastAsia="zh-CN"/>
        </w:rPr>
        <w:t>益阳市</w:t>
      </w:r>
      <w:r>
        <w:rPr>
          <w:rFonts w:hint="eastAsia" w:ascii="黑体" w:hAnsi="黑体" w:eastAsia="黑体" w:cs="黑体"/>
          <w:sz w:val="36"/>
          <w:szCs w:val="36"/>
        </w:rPr>
        <w:t>赫山区2021年度乡村振兴衔接资金</w:t>
      </w:r>
    </w:p>
    <w:p>
      <w:pPr>
        <w:spacing w:line="600" w:lineRule="exact"/>
        <w:jc w:val="center"/>
        <w:rPr>
          <w:rFonts w:ascii="黑体" w:hAnsi="黑体" w:eastAsia="黑体" w:cs="黑体"/>
          <w:sz w:val="36"/>
          <w:szCs w:val="36"/>
        </w:rPr>
      </w:pPr>
      <w:r>
        <w:rPr>
          <w:rFonts w:hint="eastAsia" w:ascii="黑体" w:hAnsi="黑体" w:eastAsia="黑体" w:cs="黑体"/>
          <w:sz w:val="36"/>
          <w:szCs w:val="36"/>
          <w:lang w:val="en-US" w:eastAsia="zh-CN"/>
        </w:rPr>
        <w:t>使用</w:t>
      </w:r>
      <w:r>
        <w:rPr>
          <w:rFonts w:hint="eastAsia" w:ascii="黑体" w:hAnsi="黑体" w:eastAsia="黑体" w:cs="黑体"/>
          <w:sz w:val="36"/>
          <w:szCs w:val="36"/>
        </w:rPr>
        <w:t>自评报告</w:t>
      </w:r>
    </w:p>
    <w:p>
      <w:pPr>
        <w:spacing w:line="600" w:lineRule="exact"/>
        <w:ind w:firstLine="600" w:firstLineChars="200"/>
        <w:rPr>
          <w:rFonts w:ascii="仿宋" w:hAnsi="仿宋" w:eastAsia="仿宋" w:cs="仿宋"/>
          <w:sz w:val="30"/>
          <w:szCs w:val="30"/>
        </w:rPr>
      </w:pP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为全面推进预算管理，提升乡村振兴衔接资金使用效益，根据上级通知，我局对2021年度乡村振兴衔接资金进行了自评，现将具体情况报告如下：</w:t>
      </w:r>
    </w:p>
    <w:p>
      <w:pPr>
        <w:numPr>
          <w:ilvl w:val="0"/>
          <w:numId w:val="1"/>
        </w:numPr>
        <w:spacing w:line="600" w:lineRule="exact"/>
        <w:ind w:firstLine="600" w:firstLineChars="200"/>
        <w:rPr>
          <w:rFonts w:ascii="黑体" w:hAnsi="黑体" w:eastAsia="黑体" w:cs="黑体"/>
          <w:sz w:val="30"/>
          <w:szCs w:val="30"/>
        </w:rPr>
      </w:pPr>
      <w:r>
        <w:rPr>
          <w:rFonts w:hint="eastAsia" w:ascii="黑体" w:hAnsi="黑体" w:eastAsia="黑体" w:cs="黑体"/>
          <w:sz w:val="30"/>
          <w:szCs w:val="30"/>
        </w:rPr>
        <w:t>人居环境整治资金投入</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2021年人居环境整治，我区共投入乡村振兴衔接补助资金50万元。资金主要用于全区6个村、两个乡镇的农村生活垃圾治理、人居环境的美化、亮化、空心房整治、污水治理等工作。</w:t>
      </w:r>
    </w:p>
    <w:p>
      <w:pPr>
        <w:spacing w:line="600" w:lineRule="exact"/>
        <w:ind w:firstLine="600" w:firstLineChars="200"/>
        <w:rPr>
          <w:rFonts w:ascii="黑体" w:hAnsi="黑体" w:eastAsia="黑体" w:cs="黑体"/>
          <w:sz w:val="30"/>
          <w:szCs w:val="30"/>
        </w:rPr>
      </w:pPr>
      <w:r>
        <w:rPr>
          <w:rFonts w:hint="eastAsia" w:ascii="黑体" w:hAnsi="黑体" w:eastAsia="黑体" w:cs="黑体"/>
          <w:sz w:val="30"/>
          <w:szCs w:val="30"/>
        </w:rPr>
        <w:t>二、农村改厕资金投入</w:t>
      </w:r>
    </w:p>
    <w:p>
      <w:pPr>
        <w:spacing w:line="600" w:lineRule="exact"/>
        <w:ind w:firstLine="602" w:firstLineChars="200"/>
        <w:rPr>
          <w:rFonts w:ascii="仿宋" w:hAnsi="仿宋" w:eastAsia="仿宋" w:cs="仿宋"/>
          <w:sz w:val="30"/>
          <w:szCs w:val="30"/>
        </w:rPr>
      </w:pPr>
      <w:r>
        <w:rPr>
          <w:rFonts w:hint="eastAsia" w:ascii="仿宋" w:hAnsi="仿宋" w:eastAsia="仿宋" w:cs="仿宋"/>
          <w:b/>
          <w:bCs/>
          <w:sz w:val="30"/>
          <w:szCs w:val="30"/>
        </w:rPr>
        <w:t>(一)乡村振兴衔接资金。</w:t>
      </w:r>
      <w:r>
        <w:rPr>
          <w:rFonts w:hint="eastAsia" w:ascii="仿宋" w:hAnsi="仿宋" w:eastAsia="仿宋" w:cs="仿宋"/>
          <w:sz w:val="30"/>
          <w:szCs w:val="30"/>
        </w:rPr>
        <w:t>2021年，我区共投入乡村振兴衔接资金728万元。资金主要用于全区28个村的农村户用卫生厕所改（新）建整村推进及后期管护。在资金使用上先规划后使用，做到计划在先使用在后；在资金奖补上先上会后奖补，做到“三大一公”，集体研究杜绝腐败；在资金拨付上先公示后拨付，严格按照工作进展及时拨付到位，做到公开透明，杜绝优亲厚友；在资金管理上建立专账，做到专款专用，杜绝挪作它用和超范围支出。</w:t>
      </w:r>
    </w:p>
    <w:p>
      <w:pPr>
        <w:spacing w:line="600" w:lineRule="exact"/>
        <w:ind w:firstLine="602" w:firstLineChars="200"/>
        <w:rPr>
          <w:rFonts w:ascii="仿宋" w:hAnsi="仿宋" w:eastAsia="仿宋" w:cs="仿宋"/>
          <w:sz w:val="30"/>
          <w:szCs w:val="30"/>
        </w:rPr>
      </w:pPr>
      <w:r>
        <w:rPr>
          <w:rFonts w:hint="eastAsia" w:ascii="仿宋" w:hAnsi="仿宋" w:eastAsia="仿宋" w:cs="仿宋"/>
          <w:b/>
          <w:bCs/>
          <w:sz w:val="30"/>
          <w:szCs w:val="30"/>
        </w:rPr>
        <w:t>(二)地方配套资金。</w:t>
      </w:r>
      <w:r>
        <w:rPr>
          <w:rFonts w:hint="eastAsia" w:ascii="仿宋" w:hAnsi="仿宋" w:eastAsia="仿宋" w:cs="仿宋"/>
          <w:sz w:val="30"/>
          <w:szCs w:val="30"/>
        </w:rPr>
        <w:t>2021年，我区财政从预算资金中统筹安排800万资金用于农村户用卫生厕所改（新）建整村推进的奖补、后期管护和2013年以来各级财政支持改厕的问题厕所的摸排及整改经费。</w:t>
      </w:r>
    </w:p>
    <w:p>
      <w:pPr>
        <w:spacing w:line="600" w:lineRule="exact"/>
        <w:ind w:firstLine="602" w:firstLineChars="200"/>
        <w:rPr>
          <w:rFonts w:ascii="仿宋" w:hAnsi="仿宋" w:eastAsia="仿宋" w:cs="仿宋"/>
          <w:sz w:val="30"/>
          <w:szCs w:val="30"/>
        </w:rPr>
      </w:pPr>
      <w:r>
        <w:rPr>
          <w:rFonts w:hint="eastAsia" w:ascii="仿宋" w:hAnsi="仿宋" w:eastAsia="仿宋" w:cs="仿宋"/>
          <w:b/>
          <w:bCs/>
          <w:sz w:val="30"/>
          <w:szCs w:val="30"/>
        </w:rPr>
        <w:t>(三)社会资本投入。</w:t>
      </w:r>
      <w:r>
        <w:rPr>
          <w:rFonts w:hint="eastAsia" w:ascii="仿宋" w:hAnsi="仿宋" w:eastAsia="仿宋" w:cs="仿宋"/>
          <w:sz w:val="30"/>
          <w:szCs w:val="30"/>
        </w:rPr>
        <w:t>2021年我区各行政村和农户投入1300万。在农村户用卫生厕所改（新）建整村推进上积极发动群众，动员农户主动参与投工投劳投资（或出资100-300元），确保改厕资金的足额到位，让村和农民群众真正成为改厕的主体。</w:t>
      </w:r>
    </w:p>
    <w:p>
      <w:pPr>
        <w:spacing w:line="600" w:lineRule="exact"/>
        <w:ind w:firstLine="600" w:firstLineChars="200"/>
        <w:rPr>
          <w:rFonts w:ascii="黑体" w:hAnsi="黑体" w:eastAsia="黑体" w:cs="黑体"/>
          <w:sz w:val="30"/>
          <w:szCs w:val="30"/>
        </w:rPr>
      </w:pPr>
      <w:r>
        <w:rPr>
          <w:rFonts w:hint="eastAsia" w:ascii="黑体" w:hAnsi="黑体" w:eastAsia="黑体" w:cs="黑体"/>
          <w:sz w:val="30"/>
          <w:szCs w:val="30"/>
        </w:rPr>
        <w:t>三、农村改厕项目管理</w:t>
      </w:r>
    </w:p>
    <w:p>
      <w:pPr>
        <w:spacing w:line="600" w:lineRule="exact"/>
        <w:ind w:firstLine="602" w:firstLineChars="200"/>
        <w:rPr>
          <w:rFonts w:ascii="仿宋" w:hAnsi="仿宋" w:eastAsia="仿宋" w:cs="仿宋"/>
          <w:sz w:val="30"/>
          <w:szCs w:val="30"/>
        </w:rPr>
      </w:pPr>
      <w:r>
        <w:rPr>
          <w:rFonts w:hint="eastAsia" w:ascii="仿宋" w:hAnsi="仿宋" w:eastAsia="仿宋" w:cs="仿宋"/>
          <w:b/>
          <w:bCs/>
          <w:sz w:val="30"/>
          <w:szCs w:val="30"/>
        </w:rPr>
        <w:t>(一)制定实施方案。</w:t>
      </w:r>
      <w:r>
        <w:rPr>
          <w:rFonts w:hint="eastAsia" w:ascii="仿宋" w:hAnsi="仿宋" w:eastAsia="仿宋" w:cs="仿宋"/>
          <w:sz w:val="30"/>
          <w:szCs w:val="30"/>
        </w:rPr>
        <w:t>我区严格根据中央农办等 8 部委《关于推进农村“厕所革命”专项行动的指导意见》（农社发&lt;2018&gt;2号）和省、市《关于印发&lt;2019年全省农村户用卫生厕所改（新）建工作方案&gt;的通知》的要求，结合我区实际，制定了《赫山区2021年度农村户用卫生厕所改（新）建实施方案》(益赫改厕【2021】01号)，明确了目标任务、实施步骤、保障措施等。</w:t>
      </w:r>
    </w:p>
    <w:p>
      <w:pPr>
        <w:pStyle w:val="3"/>
        <w:autoSpaceDE w:val="0"/>
        <w:autoSpaceDN w:val="0"/>
        <w:spacing w:line="600" w:lineRule="exact"/>
        <w:ind w:firstLine="602" w:firstLineChars="200"/>
        <w:rPr>
          <w:rFonts w:ascii="仿宋" w:hAnsi="仿宋" w:eastAsia="仿宋" w:cs="仿宋"/>
          <w:sz w:val="30"/>
          <w:szCs w:val="30"/>
        </w:rPr>
      </w:pPr>
      <w:r>
        <w:rPr>
          <w:rFonts w:hint="eastAsia" w:ascii="仿宋" w:hAnsi="仿宋" w:eastAsia="仿宋" w:cs="仿宋"/>
          <w:b/>
          <w:bCs/>
          <w:sz w:val="30"/>
          <w:szCs w:val="30"/>
        </w:rPr>
        <w:t>(二)加强组织领导。</w:t>
      </w:r>
      <w:r>
        <w:rPr>
          <w:rFonts w:hint="eastAsia" w:ascii="仿宋" w:hAnsi="仿宋" w:eastAsia="仿宋" w:cs="仿宋"/>
          <w:sz w:val="30"/>
          <w:szCs w:val="30"/>
        </w:rPr>
        <w:t>区委、区政府多次召开专题会议，研究部署工作，并下发了工作相关文件;成立全区农村户用卫生厕所改（新）建领导小组，区委书记、区人民政府区长任双组长、区委副书记和区人民政府分管农业农村工作的副区长任常务副组长，一名副处级干部具体主抓，区委办、区政府办、区农业农村局、两办效能室、区住建局、区卫生健康局、区市场管理监督管理局、区财政局、区审计局、区民政局、区乡村振兴局、益阳市生态环境局赫山分局、乡镇街道等单位主要负责人为成员。领导小组办公室设区农业农村局，由区农业农村局党组书记任办公室主任。各乡镇（相关街道）应成立专门工作机构，实行“一把手”负责制。</w:t>
      </w:r>
    </w:p>
    <w:p>
      <w:pPr>
        <w:spacing w:line="600" w:lineRule="exact"/>
        <w:ind w:firstLine="602" w:firstLineChars="200"/>
        <w:rPr>
          <w:rFonts w:ascii="仿宋" w:hAnsi="仿宋" w:eastAsia="仿宋" w:cs="仿宋"/>
          <w:sz w:val="30"/>
          <w:szCs w:val="30"/>
        </w:rPr>
      </w:pPr>
      <w:r>
        <w:rPr>
          <w:rFonts w:hint="eastAsia" w:ascii="仿宋" w:hAnsi="仿宋" w:eastAsia="仿宋" w:cs="仿宋"/>
          <w:b/>
          <w:bCs/>
          <w:sz w:val="30"/>
          <w:szCs w:val="30"/>
        </w:rPr>
        <w:t>(三)强化责任落实。</w:t>
      </w:r>
      <w:r>
        <w:rPr>
          <w:rFonts w:hint="eastAsia" w:ascii="仿宋" w:hAnsi="仿宋" w:eastAsia="仿宋" w:cs="仿宋"/>
          <w:sz w:val="30"/>
          <w:szCs w:val="30"/>
        </w:rPr>
        <w:t>我区严格落实管理责任制，坚持以“党政主导、部门主管、镇村主责、村民主体”的原则，落实乡镇（相关街道）主体责任及部门职能职责，落实行政村“四议两公开”制度。乡镇（相关街道）是厕改实施责任主体，主要负责同志对实施效果负责。特别是在改厕全过程中多次组织督查、农业、纪委等部门开展督查，加速全区户用卫生厕所的改（新）建工作进度，确保质量，确保首厕负责制落到实处，真真实现赫山改厕又快又好。</w:t>
      </w:r>
    </w:p>
    <w:p>
      <w:pPr>
        <w:spacing w:line="600" w:lineRule="exact"/>
        <w:ind w:firstLine="602" w:firstLineChars="200"/>
        <w:rPr>
          <w:rFonts w:ascii="仿宋" w:hAnsi="仿宋" w:eastAsia="仿宋" w:cs="仿宋"/>
          <w:sz w:val="30"/>
          <w:szCs w:val="30"/>
        </w:rPr>
      </w:pPr>
      <w:r>
        <w:rPr>
          <w:rFonts w:hint="eastAsia" w:ascii="仿宋" w:hAnsi="仿宋" w:eastAsia="仿宋" w:cs="仿宋"/>
          <w:b/>
          <w:bCs/>
          <w:sz w:val="30"/>
          <w:szCs w:val="30"/>
        </w:rPr>
        <w:t>（四）强化资金保障。</w:t>
      </w:r>
      <w:r>
        <w:rPr>
          <w:rFonts w:hint="eastAsia" w:ascii="仿宋" w:hAnsi="仿宋" w:eastAsia="仿宋" w:cs="仿宋"/>
          <w:sz w:val="30"/>
          <w:szCs w:val="30"/>
        </w:rPr>
        <w:t>实行“先建后补+以奖代补+农户自筹”模式：先由村集体和群众自行建设，再整合用好涉农资金、专项资金。卫生厕所普及率达85%以上的村，按每户1210-1230元进行奖补，其中奖补到户1030-1050元或等同价值的玻璃钢化粪池产品、奖补到村150元进行维护、奖补到镇30元进行维护，改厕农户自筹100—300元，主要负责挖坑安装。制定了专项资金管理办法，建立资金使用台帐制度，做到有章可循、有据可查、公开透明、无截留、挪用和超范围的支出,做到了专款专用。</w:t>
      </w:r>
    </w:p>
    <w:p>
      <w:pPr>
        <w:pStyle w:val="5"/>
        <w:spacing w:beforeAutospacing="0" w:afterAutospacing="0" w:line="600" w:lineRule="exact"/>
        <w:ind w:firstLine="602" w:firstLineChars="200"/>
        <w:jc w:val="both"/>
        <w:rPr>
          <w:rFonts w:ascii="仿宋" w:hAnsi="仿宋" w:eastAsia="仿宋" w:cs="仿宋"/>
          <w:sz w:val="30"/>
          <w:szCs w:val="30"/>
        </w:rPr>
      </w:pPr>
      <w:r>
        <w:rPr>
          <w:rFonts w:hint="eastAsia" w:ascii="仿宋" w:hAnsi="仿宋" w:eastAsia="仿宋" w:cs="仿宋"/>
          <w:b/>
          <w:bCs/>
          <w:kern w:val="2"/>
          <w:sz w:val="30"/>
          <w:szCs w:val="30"/>
        </w:rPr>
        <w:t>（五）强化宣传报道。</w:t>
      </w:r>
      <w:r>
        <w:rPr>
          <w:rFonts w:hint="eastAsia" w:ascii="仿宋" w:hAnsi="仿宋" w:eastAsia="仿宋" w:cs="仿宋"/>
          <w:sz w:val="30"/>
          <w:szCs w:val="30"/>
        </w:rPr>
        <w:t>充分发挥电台、电视台、手机报和网络等新闻媒体作用，深入广泛开展宣传，使农村改厕工作家喻户晓、深入人心，营造了全区上下广泛关注农村厕改工作的浓厚氛围，形成了政府主持主导、群众自主建设和社会积极支持的工作局面。同时，以建立固定宣传栏为主要手段，以乡村主干道为主要宣传阵地，大张旗鼓地宣传农村厕改工作，通过持续不断的宣传，积极倡导文明生活方式，引导农民群众改变陈规陋习。截至目前，累计在村庄、公路沿线等处制作固定宣传标语120余条。</w:t>
      </w:r>
    </w:p>
    <w:p>
      <w:pPr>
        <w:pStyle w:val="5"/>
        <w:spacing w:beforeAutospacing="0" w:line="600" w:lineRule="exact"/>
        <w:ind w:firstLine="602" w:firstLineChars="200"/>
        <w:jc w:val="both"/>
        <w:rPr>
          <w:rFonts w:ascii="仿宋" w:hAnsi="仿宋" w:eastAsia="仿宋" w:cs="仿宋"/>
          <w:sz w:val="30"/>
          <w:szCs w:val="30"/>
        </w:rPr>
      </w:pPr>
      <w:r>
        <w:rPr>
          <w:rFonts w:hint="eastAsia" w:ascii="仿宋" w:hAnsi="仿宋" w:eastAsia="仿宋" w:cs="仿宋"/>
          <w:b/>
          <w:bCs/>
          <w:sz w:val="30"/>
          <w:szCs w:val="30"/>
        </w:rPr>
        <w:t>（六）强化绩效管理。</w:t>
      </w:r>
      <w:r>
        <w:rPr>
          <w:rFonts w:hint="eastAsia" w:ascii="仿宋" w:hAnsi="仿宋" w:eastAsia="仿宋" w:cs="仿宋"/>
          <w:sz w:val="30"/>
          <w:szCs w:val="30"/>
        </w:rPr>
        <w:t>我区制定了《2021年赫山区农村户用卫生厕所改（新）建工作验收方案》，将组织区财政局、区卫健局、区审计局、区督查局、赫山生态环保分局、区驻农业局纪检监察组等部门技术专家对整村推进的33个村进行联合考核验收，完成一村、验收一村，对未达到技术规范和质量要求的，限期整改到位。在实施过程中，群众自发成立质量监督小组，全程参与施工监督。审计部门跟踪审计，确保专项资金落到实处。督查部门严格督查考核，将农村厕改纳入区对乡镇年度绩效考核。纪检监察机关强化纪律监督，杜绝了厕改工作中的形式主义、官僚主义问题和贪腐等违纪行为。</w:t>
      </w:r>
    </w:p>
    <w:p>
      <w:pPr>
        <w:spacing w:line="600" w:lineRule="exact"/>
        <w:ind w:firstLine="600" w:firstLineChars="200"/>
        <w:rPr>
          <w:rFonts w:ascii="黑体" w:hAnsi="黑体" w:eastAsia="黑体" w:cs="黑体"/>
          <w:sz w:val="30"/>
          <w:szCs w:val="30"/>
        </w:rPr>
      </w:pPr>
      <w:r>
        <w:rPr>
          <w:rFonts w:hint="eastAsia" w:ascii="黑体" w:hAnsi="黑体" w:eastAsia="黑体" w:cs="黑体"/>
          <w:sz w:val="30"/>
          <w:szCs w:val="30"/>
        </w:rPr>
        <w:t>四</w:t>
      </w:r>
      <w:bookmarkStart w:id="0" w:name="_GoBack"/>
      <w:bookmarkEnd w:id="0"/>
      <w:r>
        <w:rPr>
          <w:rFonts w:hint="eastAsia" w:ascii="黑体" w:hAnsi="黑体" w:eastAsia="黑体" w:cs="黑体"/>
          <w:sz w:val="30"/>
          <w:szCs w:val="30"/>
        </w:rPr>
        <w:t>、农村改厕资金产出</w:t>
      </w:r>
    </w:p>
    <w:p>
      <w:pPr>
        <w:spacing w:line="600" w:lineRule="exact"/>
        <w:ind w:firstLine="602" w:firstLineChars="200"/>
        <w:rPr>
          <w:rFonts w:ascii="仿宋" w:hAnsi="仿宋" w:eastAsia="仿宋" w:cs="仿宋"/>
          <w:sz w:val="30"/>
          <w:szCs w:val="30"/>
        </w:rPr>
      </w:pPr>
      <w:r>
        <w:rPr>
          <w:rFonts w:hint="eastAsia" w:ascii="仿宋" w:hAnsi="仿宋" w:eastAsia="仿宋" w:cs="仿宋"/>
          <w:b/>
          <w:bCs/>
          <w:sz w:val="30"/>
          <w:szCs w:val="30"/>
        </w:rPr>
        <w:t>(一)确定产品。</w:t>
      </w:r>
      <w:r>
        <w:rPr>
          <w:rFonts w:hint="eastAsia" w:ascii="仿宋" w:hAnsi="仿宋" w:eastAsia="仿宋" w:cs="仿宋"/>
          <w:sz w:val="30"/>
          <w:szCs w:val="30"/>
        </w:rPr>
        <w:t>赫山区在产品的确定上，根据中央、省市要求积极使用国标产品，省改厕任务下达后，按照省里要求在每个厕改村搞好首厕安装制，形成了一整套的经验做法，并进一步完善了《赫山区厕所革命使用手册》。</w:t>
      </w:r>
    </w:p>
    <w:p>
      <w:pPr>
        <w:spacing w:line="600" w:lineRule="exact"/>
        <w:ind w:firstLine="602" w:firstLineChars="200"/>
        <w:rPr>
          <w:rFonts w:ascii="仿宋" w:hAnsi="仿宋" w:eastAsia="仿宋" w:cs="仿宋"/>
          <w:sz w:val="30"/>
          <w:szCs w:val="30"/>
        </w:rPr>
      </w:pPr>
      <w:r>
        <w:rPr>
          <w:rFonts w:hint="eastAsia" w:ascii="仿宋" w:hAnsi="仿宋" w:eastAsia="仿宋" w:cs="仿宋"/>
          <w:b/>
          <w:bCs/>
          <w:sz w:val="30"/>
          <w:szCs w:val="30"/>
        </w:rPr>
        <w:t>(二)加强技术推广。</w:t>
      </w:r>
      <w:r>
        <w:rPr>
          <w:rFonts w:hint="eastAsia" w:ascii="仿宋" w:hAnsi="仿宋" w:eastAsia="仿宋" w:cs="仿宋"/>
          <w:sz w:val="30"/>
          <w:szCs w:val="30"/>
        </w:rPr>
        <w:t>一是培育安装技术能手。在厕改村,依托以农广校、农民培训基地、农民田间学校为主,职业院校为辅的职业农民培育体系，加大安装技术能手培育。线上、线下共培训安装技术能手780人次。二是开展技术培训与指导。坚持分级负责,分类培训、分层施教,采取现场观摩、典型示范、集中办班等灵活多样的方式，点线面齐抓，进一步丰富培训载体,拓宽培训渠道。共举办各类形式的技术培训班2期,培训人员400多人次，现场或上门指导服务与培训达6000人次。三是抓好示范引领，在全区每个厕改村每个示范片先搞好首厕安装制再全面推开;同时区厕改办不定期送技术下乡，引导农民干、给农民做示范,起到了很好的示范推广作用</w:t>
      </w:r>
    </w:p>
    <w:p>
      <w:pPr>
        <w:spacing w:line="600" w:lineRule="exact"/>
        <w:ind w:firstLine="602" w:firstLineChars="200"/>
        <w:rPr>
          <w:rFonts w:ascii="仿宋" w:hAnsi="仿宋" w:eastAsia="仿宋" w:cs="仿宋"/>
          <w:sz w:val="30"/>
          <w:szCs w:val="30"/>
        </w:rPr>
      </w:pPr>
      <w:r>
        <w:rPr>
          <w:rFonts w:hint="eastAsia" w:ascii="仿宋" w:hAnsi="仿宋" w:eastAsia="仿宋" w:cs="仿宋"/>
          <w:b/>
          <w:bCs/>
          <w:sz w:val="30"/>
          <w:szCs w:val="30"/>
        </w:rPr>
        <w:t>(三)进一步完善赫山模式。</w:t>
      </w:r>
      <w:r>
        <w:rPr>
          <w:rFonts w:hint="eastAsia" w:ascii="仿宋" w:hAnsi="仿宋" w:eastAsia="仿宋" w:cs="仿宋"/>
          <w:sz w:val="30"/>
          <w:szCs w:val="30"/>
        </w:rPr>
        <w:t>一是组织管理层面：坚持“四个到位”。高位推动到位；群众发动到位；资金保障到位；监管考核到位。二是业务技术层面：坚持“四个统一”。统一标准模式；统一采购程序；统一建设流程；统一服务指导。“赫山模式”、“赫山作法”作为审计的典型案例推向全国。赫山区全面开展“三池”建设，改水改厕一并进行。黑水进新国标的化粪池、灰水进大容积的净化池、经过初步处理的污水共同进入生态池的粪污处理模式，得到了治污专家的赞许，在全省2021年厕所革命“首厕过关制”浏阳培训班上写入了湖南农科院生态环境研究所副研究员贺爱国博士的教案，在全省得到了广泛的推广。赫山做法由省农业农村厅社会事业促进处和省农科院生态环境研究所联合上报给了国家农业农村部，部里给予了高度肯定，准备在全国推广。2021年5月22日《湖南日报》刊登跑出赫山改厕加速度——赫山区农业改厕进度在全省排名第一。2021年通过各种媒体宣传多达20多条。2021年省农业农村厅促进处正、副处长多次对赫山区农村改厕工作进行了认真的调研，充分的肯定了赫山区改厕做法，促推赫山区人居环境整治提升工作获2021年度全省先进单位荣誉称号。</w:t>
      </w:r>
    </w:p>
    <w:p>
      <w:pPr>
        <w:spacing w:line="600" w:lineRule="exact"/>
        <w:ind w:firstLine="602" w:firstLineChars="200"/>
        <w:rPr>
          <w:rFonts w:ascii="仿宋" w:hAnsi="仿宋" w:eastAsia="仿宋" w:cs="仿宋"/>
          <w:sz w:val="30"/>
          <w:szCs w:val="30"/>
        </w:rPr>
      </w:pPr>
      <w:r>
        <w:rPr>
          <w:rFonts w:hint="eastAsia" w:ascii="仿宋" w:hAnsi="仿宋" w:eastAsia="仿宋" w:cs="仿宋"/>
          <w:b/>
          <w:bCs/>
          <w:sz w:val="30"/>
          <w:szCs w:val="30"/>
        </w:rPr>
        <w:t>(四)转变施工方式。</w:t>
      </w:r>
      <w:r>
        <w:rPr>
          <w:rFonts w:hint="eastAsia" w:ascii="仿宋" w:hAnsi="仿宋" w:eastAsia="仿宋" w:cs="仿宋"/>
          <w:sz w:val="30"/>
          <w:szCs w:val="30"/>
        </w:rPr>
        <w:t>一是坚持村组织施工队施工。我区项目推进村重点依托泥瓦匠、水电安装工、小型挖机等实施安装改（新）建。二是坚持农户自行挖坑，村组再组织人员安装改（新）建，充分发挥群众积极性。三是通过实践改进生产力，如泉交河镇就利用植树挖坑机械进行基坑的挖掘，又实用又方便，提高了生产力。</w:t>
      </w:r>
    </w:p>
    <w:p>
      <w:pPr>
        <w:spacing w:line="600" w:lineRule="exact"/>
        <w:ind w:firstLine="600" w:firstLineChars="200"/>
        <w:rPr>
          <w:rFonts w:ascii="黑体" w:hAnsi="黑体" w:eastAsia="黑体" w:cs="黑体"/>
          <w:sz w:val="30"/>
          <w:szCs w:val="30"/>
        </w:rPr>
      </w:pPr>
      <w:r>
        <w:rPr>
          <w:rFonts w:hint="eastAsia" w:ascii="黑体" w:hAnsi="黑体" w:eastAsia="黑体" w:cs="黑体"/>
          <w:sz w:val="30"/>
          <w:szCs w:val="30"/>
        </w:rPr>
        <w:t>五、农村改厕实施效果</w:t>
      </w:r>
    </w:p>
    <w:p>
      <w:pPr>
        <w:spacing w:line="600" w:lineRule="exact"/>
        <w:ind w:firstLine="602" w:firstLineChars="200"/>
        <w:rPr>
          <w:rFonts w:ascii="仿宋" w:hAnsi="仿宋" w:eastAsia="仿宋" w:cs="仿宋"/>
          <w:sz w:val="30"/>
          <w:szCs w:val="30"/>
        </w:rPr>
      </w:pPr>
      <w:r>
        <w:rPr>
          <w:rFonts w:hint="eastAsia" w:ascii="仿宋" w:hAnsi="仿宋" w:eastAsia="仿宋" w:cs="仿宋"/>
          <w:b/>
          <w:bCs/>
          <w:sz w:val="30"/>
          <w:szCs w:val="30"/>
        </w:rPr>
        <w:t>（一）统一标准模式。</w:t>
      </w:r>
      <w:r>
        <w:rPr>
          <w:rFonts w:hint="eastAsia" w:ascii="仿宋" w:hAnsi="仿宋" w:eastAsia="仿宋" w:cs="仿宋"/>
          <w:sz w:val="30"/>
          <w:szCs w:val="30"/>
        </w:rPr>
        <w:t>通过试点，结合我区实际，我区继续推广一体缠绕玻璃钢化粪池，明确统一使用三格式一体缠绕玻璃钢化粪池。该模式具有安装简单、成本较低、防渗和化粪效果好等优势，群众普遍认可。</w:t>
      </w:r>
    </w:p>
    <w:p>
      <w:pPr>
        <w:spacing w:line="600" w:lineRule="exact"/>
        <w:ind w:firstLine="602" w:firstLineChars="200"/>
        <w:rPr>
          <w:rFonts w:ascii="仿宋" w:hAnsi="仿宋" w:eastAsia="仿宋" w:cs="仿宋"/>
          <w:sz w:val="30"/>
          <w:szCs w:val="30"/>
        </w:rPr>
      </w:pPr>
      <w:r>
        <w:rPr>
          <w:rFonts w:hint="eastAsia" w:ascii="仿宋" w:hAnsi="仿宋" w:eastAsia="仿宋" w:cs="仿宋"/>
          <w:b/>
          <w:bCs/>
          <w:sz w:val="30"/>
          <w:szCs w:val="30"/>
        </w:rPr>
        <w:t>（二）统一采购程序。</w:t>
      </w:r>
      <w:r>
        <w:rPr>
          <w:rFonts w:hint="eastAsia" w:ascii="仿宋" w:hAnsi="仿宋" w:eastAsia="仿宋" w:cs="仿宋"/>
          <w:sz w:val="30"/>
          <w:szCs w:val="30"/>
        </w:rPr>
        <w:t>为保障厕具质量，在统一建设模式的同时，统一厕具生产厂家。由村集体与生产厂家签订化粪池采购协议，简化厕改招投标程序，降低建设成本。</w:t>
      </w:r>
    </w:p>
    <w:p>
      <w:pPr>
        <w:spacing w:line="600" w:lineRule="exact"/>
        <w:ind w:firstLine="602" w:firstLineChars="200"/>
        <w:rPr>
          <w:rFonts w:ascii="仿宋" w:hAnsi="仿宋" w:eastAsia="仿宋" w:cs="仿宋"/>
          <w:sz w:val="30"/>
          <w:szCs w:val="30"/>
        </w:rPr>
      </w:pPr>
      <w:r>
        <w:rPr>
          <w:rFonts w:hint="eastAsia" w:ascii="仿宋" w:hAnsi="仿宋" w:eastAsia="仿宋" w:cs="仿宋"/>
          <w:b/>
          <w:bCs/>
          <w:sz w:val="30"/>
          <w:szCs w:val="30"/>
        </w:rPr>
        <w:t>（三）统一建设流程。</w:t>
      </w:r>
      <w:r>
        <w:rPr>
          <w:rFonts w:hint="eastAsia" w:ascii="仿宋" w:hAnsi="仿宋" w:eastAsia="仿宋" w:cs="仿宋"/>
          <w:sz w:val="30"/>
          <w:szCs w:val="30"/>
        </w:rPr>
        <w:t>统一技术规范，通过不断积累安装施工经验，弄清楚一体缠绕玻璃钢化粪池的安装要点与注意事项，继续完善《实用手册》，方便安装施工队掌握运用。统一安装施工，各村组建专业施工队伍，统一施工、规范操作、确保质量。</w:t>
      </w:r>
    </w:p>
    <w:p>
      <w:pPr>
        <w:spacing w:line="600" w:lineRule="exact"/>
        <w:ind w:firstLine="602" w:firstLineChars="200"/>
        <w:rPr>
          <w:rFonts w:ascii="仿宋" w:hAnsi="仿宋" w:eastAsia="仿宋" w:cs="仿宋"/>
          <w:sz w:val="30"/>
          <w:szCs w:val="30"/>
        </w:rPr>
      </w:pPr>
      <w:r>
        <w:rPr>
          <w:rFonts w:hint="eastAsia" w:ascii="仿宋" w:hAnsi="仿宋" w:eastAsia="仿宋" w:cs="仿宋"/>
          <w:b/>
          <w:bCs/>
          <w:sz w:val="30"/>
          <w:szCs w:val="30"/>
        </w:rPr>
        <w:t>（四）统一服务指导。</w:t>
      </w:r>
      <w:r>
        <w:rPr>
          <w:rFonts w:hint="eastAsia" w:ascii="仿宋" w:hAnsi="仿宋" w:eastAsia="仿宋" w:cs="仿宋"/>
          <w:sz w:val="30"/>
          <w:szCs w:val="30"/>
        </w:rPr>
        <w:t>区里组织一线干部、安装施工人员举办政策技术培训班、开展现场观摩活动，并派出技术专家进行现场技术指导，把好安装技术关。组织农业农村、卫生健康、生态环境、财政、审计、纪检监察等相关部门按照职责分兵把口，严把资金关、标准关、采购关、建设关、技术关，形成工作合力，保证改厕实效。当地群众还自发成立质量监督小组，全程参与施工监督。</w:t>
      </w:r>
    </w:p>
    <w:p>
      <w:pPr>
        <w:spacing w:line="600" w:lineRule="exact"/>
        <w:ind w:firstLine="602" w:firstLineChars="200"/>
        <w:rPr>
          <w:rFonts w:ascii="仿宋" w:hAnsi="仿宋" w:eastAsia="仿宋" w:cs="仿宋"/>
          <w:sz w:val="30"/>
          <w:szCs w:val="30"/>
        </w:rPr>
      </w:pPr>
      <w:r>
        <w:rPr>
          <w:rFonts w:hint="eastAsia" w:ascii="仿宋" w:hAnsi="仿宋" w:eastAsia="仿宋" w:cs="仿宋"/>
          <w:b/>
          <w:bCs/>
          <w:sz w:val="30"/>
          <w:szCs w:val="30"/>
        </w:rPr>
        <w:t>（五）统一维护。</w:t>
      </w:r>
      <w:r>
        <w:rPr>
          <w:rFonts w:hint="eastAsia" w:ascii="仿宋" w:hAnsi="仿宋" w:eastAsia="仿宋" w:cs="仿宋"/>
          <w:sz w:val="30"/>
          <w:szCs w:val="30"/>
        </w:rPr>
        <w:t>建立区、乡、村、户、保洁员、生产厂家六级联管的长效管护机制，实现了管护100%到位。区级带头开展地毯式摸排，回访改厕户，寻找问题厕所并立行立改，实现了群众100%满意。</w:t>
      </w:r>
    </w:p>
    <w:p>
      <w:pPr>
        <w:pStyle w:val="8"/>
        <w:spacing w:line="600" w:lineRule="exact"/>
        <w:ind w:firstLine="600"/>
        <w:rPr>
          <w:rFonts w:ascii="黑体" w:hAnsi="黑体" w:eastAsia="黑体" w:cs="黑体"/>
          <w:sz w:val="30"/>
          <w:szCs w:val="30"/>
        </w:rPr>
      </w:pPr>
      <w:r>
        <w:rPr>
          <w:rFonts w:hint="eastAsia" w:ascii="黑体" w:hAnsi="黑体" w:eastAsia="黑体" w:cs="黑体"/>
          <w:sz w:val="30"/>
          <w:szCs w:val="30"/>
        </w:rPr>
        <w:t>六、农村改厕经验做法和意见建议</w:t>
      </w:r>
    </w:p>
    <w:p>
      <w:pPr>
        <w:pStyle w:val="8"/>
        <w:spacing w:line="600" w:lineRule="exact"/>
        <w:ind w:firstLine="602"/>
        <w:rPr>
          <w:rFonts w:ascii="仿宋" w:hAnsi="仿宋" w:eastAsia="仿宋" w:cs="仿宋"/>
          <w:b/>
          <w:bCs/>
          <w:sz w:val="30"/>
          <w:szCs w:val="30"/>
        </w:rPr>
      </w:pPr>
      <w:r>
        <w:rPr>
          <w:rFonts w:hint="eastAsia" w:ascii="仿宋" w:hAnsi="仿宋" w:eastAsia="仿宋" w:cs="仿宋"/>
          <w:b/>
          <w:bCs/>
          <w:sz w:val="30"/>
          <w:szCs w:val="30"/>
        </w:rPr>
        <w:t>(一)成功经验</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赫山区改厕工作的主要经验是形成了赫山模式，创建“赫山作法”，该模式和做法最成功之处：</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lang w:bidi="zh-CN"/>
        </w:rPr>
        <w:t>把农村改厕作为重要民生工程，始终做到“三个坚持”，</w:t>
      </w:r>
      <w:r>
        <w:rPr>
          <w:rFonts w:hint="eastAsia" w:ascii="仿宋" w:hAnsi="仿宋" w:eastAsia="仿宋" w:cs="仿宋"/>
          <w:sz w:val="30"/>
          <w:szCs w:val="30"/>
          <w:lang w:val="zh-CN" w:bidi="zh-CN"/>
        </w:rPr>
        <w:t xml:space="preserve"> 不断推进厕所革命，即坚持“区级主导、组织推进，镇村主责、宣传发动，部门主管、指导监督，群众主体、共建共享” 的“四级联动”， 推动群众由“要我改”变为“我要改”，着力解决“谁来改”的问题；坚持</w:t>
      </w:r>
      <w:r>
        <w:rPr>
          <w:rFonts w:hint="eastAsia" w:ascii="仿宋" w:hAnsi="仿宋" w:eastAsia="仿宋" w:cs="仿宋"/>
          <w:sz w:val="30"/>
          <w:szCs w:val="30"/>
          <w:lang w:bidi="zh-CN"/>
        </w:rPr>
        <w:t>首厕负责</w:t>
      </w:r>
      <w:r>
        <w:rPr>
          <w:rFonts w:hint="eastAsia" w:ascii="仿宋" w:hAnsi="仿宋" w:eastAsia="仿宋" w:cs="仿宋"/>
          <w:sz w:val="30"/>
          <w:szCs w:val="30"/>
          <w:lang w:val="zh-CN" w:bidi="zh-CN"/>
        </w:rPr>
        <w:t>找方法、统筹推进做加法、资金保障讲章法三项措施，着力解决“怎么改”的问题；坚持“统一厕具产品、统一采购程序、统一安装施工、统一技术规范、统一后期管护”的“五个统一”模式，着力解决“怎么改好”的问题。</w:t>
      </w:r>
    </w:p>
    <w:p>
      <w:pPr>
        <w:pStyle w:val="8"/>
        <w:spacing w:line="600" w:lineRule="exact"/>
        <w:ind w:firstLine="602"/>
        <w:rPr>
          <w:rFonts w:ascii="仿宋" w:hAnsi="仿宋" w:eastAsia="仿宋" w:cs="仿宋"/>
          <w:b/>
          <w:bCs/>
          <w:sz w:val="30"/>
          <w:szCs w:val="30"/>
        </w:rPr>
      </w:pPr>
      <w:r>
        <w:rPr>
          <w:rFonts w:hint="eastAsia" w:ascii="仿宋" w:hAnsi="仿宋" w:eastAsia="仿宋" w:cs="仿宋"/>
          <w:b/>
          <w:bCs/>
          <w:sz w:val="30"/>
          <w:szCs w:val="30"/>
        </w:rPr>
        <w:t>（二）意见建议</w:t>
      </w:r>
    </w:p>
    <w:p>
      <w:pPr>
        <w:pStyle w:val="8"/>
        <w:spacing w:line="600" w:lineRule="exact"/>
        <w:ind w:left="420" w:firstLine="600"/>
        <w:rPr>
          <w:rFonts w:ascii="仿宋" w:hAnsi="仿宋" w:eastAsia="仿宋" w:cs="仿宋"/>
          <w:sz w:val="30"/>
          <w:szCs w:val="30"/>
        </w:rPr>
      </w:pPr>
      <w:r>
        <w:rPr>
          <w:rFonts w:hint="eastAsia" w:ascii="仿宋" w:hAnsi="仿宋" w:eastAsia="仿宋" w:cs="仿宋"/>
          <w:sz w:val="30"/>
          <w:szCs w:val="30"/>
        </w:rPr>
        <w:t>1.牵头主体要明确。一年之计在于春。2022年改厕工作要迅速明确牵头主体。目前计划申报在乡村振兴局而工作尚留在农业农村局。</w:t>
      </w:r>
    </w:p>
    <w:p>
      <w:pPr>
        <w:pStyle w:val="8"/>
        <w:spacing w:line="600" w:lineRule="exact"/>
        <w:ind w:left="420" w:firstLine="600"/>
        <w:rPr>
          <w:rFonts w:ascii="仿宋" w:hAnsi="仿宋" w:eastAsia="仿宋" w:cs="仿宋"/>
          <w:sz w:val="30"/>
          <w:szCs w:val="30"/>
        </w:rPr>
      </w:pPr>
      <w:r>
        <w:rPr>
          <w:rFonts w:hint="eastAsia" w:ascii="仿宋" w:hAnsi="仿宋" w:eastAsia="仿宋" w:cs="仿宋"/>
          <w:sz w:val="30"/>
          <w:szCs w:val="30"/>
        </w:rPr>
        <w:t>2.计划申报要科学。要充分尊重群众意愿，自下而上，精准摸底，科学申报。不要政府包揽摸脑壳，到时强摊任务给群众。</w:t>
      </w:r>
    </w:p>
    <w:p>
      <w:pPr>
        <w:pStyle w:val="8"/>
        <w:spacing w:line="600" w:lineRule="exact"/>
        <w:ind w:left="420" w:firstLine="600"/>
        <w:rPr>
          <w:rFonts w:ascii="仿宋" w:hAnsi="仿宋" w:eastAsia="仿宋" w:cs="仿宋"/>
          <w:sz w:val="30"/>
          <w:szCs w:val="30"/>
        </w:rPr>
      </w:pPr>
      <w:r>
        <w:rPr>
          <w:rFonts w:hint="eastAsia" w:ascii="仿宋" w:hAnsi="仿宋" w:eastAsia="仿宋" w:cs="仿宋"/>
          <w:sz w:val="30"/>
          <w:szCs w:val="30"/>
        </w:rPr>
        <w:t>3.奖补力度要加大。农村改厕已开展三年，越到后面难度越大。</w:t>
      </w:r>
    </w:p>
    <w:p>
      <w:pPr>
        <w:pStyle w:val="8"/>
        <w:spacing w:line="600" w:lineRule="exact"/>
        <w:ind w:left="420" w:firstLine="600"/>
        <w:rPr>
          <w:rFonts w:ascii="仿宋" w:hAnsi="仿宋" w:eastAsia="仿宋" w:cs="仿宋"/>
          <w:sz w:val="30"/>
          <w:szCs w:val="30"/>
        </w:rPr>
      </w:pPr>
      <w:r>
        <w:rPr>
          <w:rFonts w:hint="eastAsia" w:ascii="仿宋" w:hAnsi="仿宋" w:eastAsia="仿宋" w:cs="仿宋"/>
          <w:sz w:val="30"/>
          <w:szCs w:val="30"/>
        </w:rPr>
        <w:t>附件：2021年度项目支出绩效自评指标计分表</w:t>
      </w:r>
    </w:p>
    <w:p>
      <w:pPr>
        <w:pStyle w:val="8"/>
        <w:spacing w:line="600" w:lineRule="exact"/>
        <w:ind w:left="420" w:firstLine="600"/>
        <w:rPr>
          <w:rFonts w:ascii="仿宋" w:hAnsi="仿宋" w:eastAsia="仿宋" w:cs="仿宋"/>
          <w:sz w:val="30"/>
          <w:szCs w:val="30"/>
        </w:rPr>
      </w:pPr>
    </w:p>
    <w:p>
      <w:pPr>
        <w:spacing w:line="600" w:lineRule="exact"/>
        <w:ind w:firstLine="600" w:firstLineChars="200"/>
        <w:rPr>
          <w:rFonts w:ascii="仿宋" w:hAnsi="仿宋" w:eastAsia="仿宋" w:cs="仿宋"/>
          <w:sz w:val="30"/>
          <w:szCs w:val="30"/>
        </w:rPr>
      </w:pPr>
    </w:p>
    <w:p>
      <w:pPr>
        <w:spacing w:line="600" w:lineRule="exact"/>
        <w:ind w:firstLine="600" w:firstLineChars="200"/>
        <w:rPr>
          <w:rFonts w:ascii="仿宋" w:hAnsi="仿宋" w:eastAsia="仿宋" w:cs="仿宋"/>
          <w:sz w:val="30"/>
          <w:szCs w:val="30"/>
        </w:rPr>
      </w:pPr>
    </w:p>
    <w:p>
      <w:pPr>
        <w:spacing w:line="600" w:lineRule="exact"/>
        <w:ind w:firstLine="600" w:firstLineChars="200"/>
        <w:rPr>
          <w:rFonts w:ascii="仿宋" w:hAnsi="仿宋" w:eastAsia="仿宋" w:cs="仿宋"/>
          <w:sz w:val="30"/>
          <w:szCs w:val="30"/>
        </w:rPr>
      </w:pPr>
    </w:p>
    <w:p>
      <w:pPr>
        <w:spacing w:line="600" w:lineRule="exact"/>
        <w:ind w:firstLine="600" w:firstLineChars="200"/>
        <w:rPr>
          <w:rFonts w:ascii="仿宋" w:hAnsi="仿宋" w:eastAsia="仿宋" w:cs="仿宋"/>
          <w:sz w:val="30"/>
          <w:szCs w:val="30"/>
        </w:rPr>
      </w:pPr>
    </w:p>
    <w:p>
      <w:pPr>
        <w:spacing w:line="600" w:lineRule="exact"/>
        <w:ind w:firstLine="600" w:firstLineChars="200"/>
        <w:rPr>
          <w:rFonts w:ascii="仿宋" w:hAnsi="仿宋" w:eastAsia="仿宋" w:cs="仿宋"/>
          <w:sz w:val="30"/>
          <w:szCs w:val="30"/>
        </w:rPr>
      </w:pPr>
    </w:p>
    <w:p>
      <w:pPr>
        <w:spacing w:line="600" w:lineRule="exact"/>
        <w:ind w:firstLine="600" w:firstLineChars="200"/>
        <w:rPr>
          <w:rFonts w:ascii="仿宋" w:hAnsi="仿宋" w:eastAsia="仿宋" w:cs="仿宋"/>
          <w:sz w:val="30"/>
          <w:szCs w:val="30"/>
        </w:rPr>
      </w:pPr>
    </w:p>
    <w:p>
      <w:pPr>
        <w:spacing w:line="600" w:lineRule="exact"/>
        <w:ind w:firstLine="600" w:firstLineChars="200"/>
        <w:rPr>
          <w:rFonts w:ascii="仿宋" w:hAnsi="仿宋" w:eastAsia="仿宋" w:cs="仿宋"/>
          <w:sz w:val="30"/>
          <w:szCs w:val="30"/>
        </w:rPr>
      </w:pPr>
    </w:p>
    <w:p>
      <w:pPr>
        <w:spacing w:line="600" w:lineRule="exact"/>
        <w:ind w:firstLine="600" w:firstLineChars="200"/>
        <w:rPr>
          <w:rFonts w:ascii="仿宋" w:hAnsi="仿宋" w:eastAsia="仿宋" w:cs="仿宋"/>
          <w:sz w:val="30"/>
          <w:szCs w:val="30"/>
        </w:rPr>
      </w:pPr>
    </w:p>
    <w:p>
      <w:pPr>
        <w:spacing w:line="600" w:lineRule="exact"/>
        <w:ind w:firstLine="600" w:firstLineChars="200"/>
        <w:rPr>
          <w:rFonts w:ascii="仿宋" w:hAnsi="仿宋" w:eastAsia="仿宋" w:cs="仿宋"/>
          <w:sz w:val="30"/>
          <w:szCs w:val="30"/>
        </w:rPr>
      </w:pPr>
    </w:p>
    <w:p>
      <w:pPr>
        <w:spacing w:line="600" w:lineRule="exact"/>
        <w:ind w:firstLine="600" w:firstLineChars="200"/>
        <w:rPr>
          <w:rFonts w:ascii="仿宋" w:hAnsi="仿宋" w:eastAsia="仿宋" w:cs="仿宋"/>
          <w:sz w:val="30"/>
          <w:szCs w:val="30"/>
        </w:rPr>
      </w:pPr>
    </w:p>
    <w:p>
      <w:pPr>
        <w:spacing w:afterLines="50" w:line="600" w:lineRule="exact"/>
        <w:ind w:firstLine="720" w:firstLineChars="200"/>
        <w:jc w:val="center"/>
        <w:rPr>
          <w:rFonts w:ascii="黑体" w:hAnsi="黑体" w:eastAsia="黑体" w:cs="黑体"/>
          <w:sz w:val="36"/>
          <w:szCs w:val="36"/>
        </w:rPr>
      </w:pPr>
    </w:p>
    <w:p>
      <w:pPr>
        <w:pStyle w:val="2"/>
        <w:rPr>
          <w:rFonts w:ascii="黑体" w:hAnsi="黑体" w:eastAsia="黑体" w:cs="黑体"/>
          <w:sz w:val="36"/>
          <w:szCs w:val="36"/>
        </w:rPr>
      </w:pPr>
    </w:p>
    <w:p>
      <w:pPr>
        <w:rPr>
          <w:rFonts w:ascii="黑体" w:hAnsi="黑体" w:eastAsia="黑体" w:cs="黑体"/>
          <w:sz w:val="36"/>
          <w:szCs w:val="36"/>
        </w:rPr>
      </w:pPr>
    </w:p>
    <w:p>
      <w:pPr>
        <w:pStyle w:val="2"/>
        <w:rPr>
          <w:rFonts w:ascii="黑体" w:hAnsi="黑体" w:eastAsia="黑体" w:cs="黑体"/>
          <w:sz w:val="36"/>
          <w:szCs w:val="36"/>
        </w:rPr>
      </w:pPr>
    </w:p>
    <w:p>
      <w:pPr>
        <w:rPr>
          <w:rFonts w:ascii="黑体" w:hAnsi="黑体" w:eastAsia="黑体" w:cs="黑体"/>
          <w:sz w:val="36"/>
          <w:szCs w:val="36"/>
        </w:rPr>
      </w:pPr>
    </w:p>
    <w:p>
      <w:pPr>
        <w:pStyle w:val="2"/>
        <w:rPr>
          <w:rFonts w:ascii="黑体" w:hAnsi="黑体" w:eastAsia="黑体" w:cs="黑体"/>
          <w:sz w:val="36"/>
          <w:szCs w:val="36"/>
        </w:rPr>
      </w:pPr>
    </w:p>
    <w:p/>
    <w:p>
      <w:pPr>
        <w:spacing w:afterLines="50" w:line="600" w:lineRule="exact"/>
        <w:ind w:firstLine="720" w:firstLineChars="200"/>
        <w:jc w:val="center"/>
        <w:rPr>
          <w:rFonts w:ascii="黑体" w:hAnsi="黑体" w:eastAsia="黑体" w:cs="黑体"/>
          <w:sz w:val="36"/>
          <w:szCs w:val="36"/>
        </w:rPr>
      </w:pPr>
      <w:r>
        <w:rPr>
          <w:rFonts w:hint="eastAsia" w:ascii="黑体" w:hAnsi="黑体" w:eastAsia="黑体" w:cs="黑体"/>
          <w:sz w:val="36"/>
          <w:szCs w:val="36"/>
        </w:rPr>
        <w:t>2021年度项目支出绩效自评指标计分表</w:t>
      </w:r>
    </w:p>
    <w:tbl>
      <w:tblPr>
        <w:tblStyle w:val="6"/>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3"/>
        <w:gridCol w:w="454"/>
        <w:gridCol w:w="834"/>
        <w:gridCol w:w="540"/>
        <w:gridCol w:w="2625"/>
        <w:gridCol w:w="4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b/>
                <w:bCs/>
              </w:rPr>
            </w:pPr>
            <w:r>
              <w:rPr>
                <w:rFonts w:hint="eastAsia" w:ascii="宋体" w:hAnsi="宋体"/>
                <w:b/>
                <w:bCs/>
              </w:rPr>
              <w:t>一级</w:t>
            </w:r>
            <w:r>
              <w:rPr>
                <w:rFonts w:hint="eastAsia" w:ascii="宋体"/>
                <w:b/>
                <w:bCs/>
              </w:rPr>
              <w:br w:type="textWrapping"/>
            </w:r>
            <w:r>
              <w:rPr>
                <w:rFonts w:hint="eastAsia" w:ascii="宋体" w:hAnsi="宋体"/>
                <w:b/>
                <w:bCs/>
              </w:rPr>
              <w:t>指标</w:t>
            </w:r>
          </w:p>
        </w:tc>
        <w:tc>
          <w:tcPr>
            <w:tcW w:w="45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b/>
                <w:bCs/>
              </w:rPr>
            </w:pPr>
            <w:r>
              <w:rPr>
                <w:rFonts w:hint="eastAsia" w:ascii="宋体" w:hAnsi="宋体"/>
                <w:b/>
                <w:bCs/>
              </w:rPr>
              <w:t>二级</w:t>
            </w:r>
            <w:r>
              <w:rPr>
                <w:rFonts w:hint="eastAsia" w:ascii="宋体"/>
                <w:b/>
                <w:bCs/>
              </w:rPr>
              <w:br w:type="textWrapping"/>
            </w:r>
            <w:r>
              <w:rPr>
                <w:rFonts w:hint="eastAsia" w:ascii="宋体" w:hAnsi="宋体"/>
                <w:b/>
                <w:bCs/>
              </w:rPr>
              <w:t>指标</w:t>
            </w: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b/>
                <w:bCs/>
              </w:rPr>
            </w:pPr>
            <w:r>
              <w:rPr>
                <w:rFonts w:hint="eastAsia" w:ascii="宋体" w:hAnsi="宋体"/>
                <w:b/>
                <w:bCs/>
              </w:rPr>
              <w:t>三级指标</w:t>
            </w:r>
          </w:p>
        </w:tc>
        <w:tc>
          <w:tcPr>
            <w:tcW w:w="540" w:type="dxa"/>
            <w:tcBorders>
              <w:top w:val="single" w:color="auto" w:sz="4" w:space="0"/>
              <w:left w:val="nil"/>
              <w:bottom w:val="single" w:color="auto" w:sz="4" w:space="0"/>
              <w:right w:val="single" w:color="auto" w:sz="4" w:space="0"/>
            </w:tcBorders>
          </w:tcPr>
          <w:p>
            <w:pPr>
              <w:spacing w:line="240" w:lineRule="exact"/>
              <w:jc w:val="center"/>
              <w:rPr>
                <w:rFonts w:ascii="宋体"/>
                <w:b/>
                <w:bCs/>
              </w:rPr>
            </w:pPr>
            <w:r>
              <w:rPr>
                <w:rFonts w:hint="eastAsia" w:ascii="宋体" w:hAnsi="宋体"/>
                <w:b/>
                <w:bCs/>
              </w:rPr>
              <w:t>自评分</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b/>
                <w:bCs/>
              </w:rPr>
            </w:pPr>
            <w:r>
              <w:rPr>
                <w:rFonts w:hint="eastAsia" w:ascii="宋体" w:hAnsi="宋体"/>
                <w:b/>
                <w:bCs/>
              </w:rPr>
              <w:t>指标解释</w:t>
            </w: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b/>
                <w:bCs/>
              </w:rPr>
            </w:pPr>
            <w:r>
              <w:rPr>
                <w:rFonts w:hint="eastAsia" w:ascii="宋体" w:hAnsi="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rPr>
            </w:pPr>
            <w:r>
              <w:rPr>
                <w:rFonts w:hint="eastAsia" w:ascii="宋体" w:hAnsi="宋体"/>
              </w:rPr>
              <w:t>决  策（20分）</w:t>
            </w:r>
          </w:p>
        </w:tc>
        <w:tc>
          <w:tcPr>
            <w:tcW w:w="454"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rPr>
            </w:pPr>
            <w:r>
              <w:rPr>
                <w:rFonts w:hint="eastAsia" w:ascii="宋体" w:hAnsi="宋体"/>
              </w:rPr>
              <w:t>预算支出决策</w:t>
            </w:r>
          </w:p>
          <w:p>
            <w:pPr>
              <w:spacing w:line="240" w:lineRule="exact"/>
              <w:jc w:val="center"/>
              <w:rPr>
                <w:rFonts w:ascii="宋体"/>
              </w:rPr>
            </w:pPr>
            <w:r>
              <w:rPr>
                <w:rFonts w:hint="eastAsia" w:ascii="宋体" w:hAnsi="宋体"/>
              </w:rPr>
              <w:t>（项目立项）（8分）</w:t>
            </w: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rPr>
              <w:t>预算支出决策（项目立项）依据</w:t>
            </w:r>
          </w:p>
          <w:p>
            <w:pPr>
              <w:spacing w:line="240" w:lineRule="exact"/>
              <w:ind w:left="105" w:leftChars="50" w:right="105" w:rightChars="50"/>
              <w:jc w:val="center"/>
              <w:rPr>
                <w:rFonts w:ascii="宋体"/>
              </w:rPr>
            </w:pPr>
            <w:r>
              <w:rPr>
                <w:rFonts w:hint="eastAsia" w:ascii="宋体" w:hAnsi="宋体"/>
              </w:rPr>
              <w:t>充分性（4分）</w:t>
            </w:r>
          </w:p>
        </w:tc>
        <w:tc>
          <w:tcPr>
            <w:tcW w:w="540" w:type="dxa"/>
            <w:tcBorders>
              <w:top w:val="single" w:color="auto" w:sz="4" w:space="0"/>
              <w:left w:val="nil"/>
              <w:bottom w:val="single" w:color="auto" w:sz="4" w:space="0"/>
              <w:right w:val="single" w:color="auto" w:sz="4" w:space="0"/>
            </w:tcBorders>
          </w:tcPr>
          <w:p>
            <w:pPr>
              <w:spacing w:line="240" w:lineRule="exact"/>
              <w:ind w:right="105" w:rightChars="50"/>
              <w:jc w:val="center"/>
              <w:rPr>
                <w:rFonts w:ascii="宋体" w:eastAsia="宋体"/>
              </w:rPr>
            </w:pPr>
            <w:r>
              <w:rPr>
                <w:rFonts w:hint="eastAsia" w:ascii="宋体"/>
              </w:rPr>
              <w:t>4</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预算支出决策（项目立项）是否符合法律法规、相关政策、发展规划以及部门职责，用以反映和考核决策（立项）的依据情况。</w:t>
            </w: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评价要点：</w:t>
            </w:r>
            <w:r>
              <w:rPr>
                <w:rFonts w:hint="eastAsia" w:ascii="宋体"/>
              </w:rPr>
              <w:br w:type="textWrapping"/>
            </w:r>
            <w:r>
              <w:rPr>
                <w:rFonts w:hint="eastAsia" w:ascii="宋体" w:hAnsi="宋体"/>
              </w:rPr>
              <w:t>①决策（立项）是否符合国家相关法律法规、国民经济发展规划和相关政策；</w:t>
            </w:r>
            <w:r>
              <w:rPr>
                <w:rFonts w:hint="eastAsia" w:ascii="宋体"/>
              </w:rPr>
              <w:br w:type="textWrapping"/>
            </w:r>
            <w:r>
              <w:rPr>
                <w:rFonts w:hint="eastAsia" w:ascii="宋体" w:hAnsi="宋体"/>
              </w:rPr>
              <w:t>②决策（立项）是否符合行业发展规划和政策要求；</w:t>
            </w:r>
            <w:r>
              <w:rPr>
                <w:rFonts w:hint="eastAsia" w:ascii="宋体"/>
              </w:rPr>
              <w:br w:type="textWrapping"/>
            </w:r>
            <w:r>
              <w:rPr>
                <w:rFonts w:hint="eastAsia" w:ascii="宋体" w:hAnsi="宋体"/>
              </w:rPr>
              <w:t>③决策（立项）是否与部门职责范围相符，属于部门履职所需；</w:t>
            </w:r>
            <w:r>
              <w:rPr>
                <w:rFonts w:hint="eastAsia" w:ascii="宋体"/>
              </w:rPr>
              <w:br w:type="textWrapping"/>
            </w:r>
            <w:r>
              <w:rPr>
                <w:rFonts w:hint="eastAsia" w:ascii="宋体" w:hAnsi="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5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454" w:type="dxa"/>
            <w:vMerge w:val="continue"/>
            <w:tcBorders>
              <w:top w:val="nil"/>
              <w:left w:val="nil"/>
              <w:bottom w:val="single" w:color="auto" w:sz="4" w:space="0"/>
              <w:right w:val="single" w:color="auto" w:sz="4" w:space="0"/>
            </w:tcBorders>
            <w:vAlign w:val="center"/>
          </w:tcPr>
          <w:p>
            <w:pPr>
              <w:widowControl/>
              <w:jc w:val="left"/>
              <w:rPr>
                <w:rFonts w:ascii="宋体"/>
              </w:rPr>
            </w:pP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rPr>
              <w:t>决策(立项）程序规范性(4分)</w:t>
            </w:r>
          </w:p>
        </w:tc>
        <w:tc>
          <w:tcPr>
            <w:tcW w:w="540" w:type="dxa"/>
            <w:tcBorders>
              <w:top w:val="single" w:color="auto" w:sz="4" w:space="0"/>
              <w:left w:val="nil"/>
              <w:bottom w:val="single" w:color="auto" w:sz="4" w:space="0"/>
              <w:right w:val="single" w:color="auto" w:sz="4" w:space="0"/>
            </w:tcBorders>
          </w:tcPr>
          <w:p>
            <w:pPr>
              <w:spacing w:line="240" w:lineRule="exact"/>
              <w:ind w:left="105" w:leftChars="50" w:right="105" w:rightChars="50"/>
              <w:rPr>
                <w:rFonts w:ascii="宋体" w:eastAsia="宋体"/>
              </w:rPr>
            </w:pPr>
            <w:r>
              <w:rPr>
                <w:rFonts w:hint="eastAsia" w:ascii="宋体"/>
              </w:rPr>
              <w:t>4</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预算支出申请、设立过程是否符合相关要求，用以反映和考核决策（立项）的规范情况。</w:t>
            </w: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评价要点：</w:t>
            </w:r>
          </w:p>
          <w:p>
            <w:pPr>
              <w:spacing w:line="240" w:lineRule="exact"/>
              <w:ind w:left="105" w:leftChars="50"/>
              <w:rPr>
                <w:rFonts w:ascii="宋体"/>
              </w:rPr>
            </w:pPr>
            <w:r>
              <w:rPr>
                <w:rFonts w:hint="eastAsia" w:ascii="宋体" w:hAnsi="宋体"/>
              </w:rPr>
              <w:t>①预算支出是否按照规定的程序申请设立；</w:t>
            </w:r>
          </w:p>
          <w:p>
            <w:pPr>
              <w:spacing w:line="240" w:lineRule="exact"/>
              <w:ind w:left="105" w:leftChars="50"/>
              <w:rPr>
                <w:rFonts w:ascii="宋体"/>
              </w:rPr>
            </w:pPr>
            <w:r>
              <w:rPr>
                <w:rFonts w:hint="eastAsia" w:ascii="宋体" w:hAnsi="宋体"/>
              </w:rPr>
              <w:t>②审批文件、材料是否符合相关要求；</w:t>
            </w:r>
          </w:p>
          <w:p>
            <w:pPr>
              <w:spacing w:line="240" w:lineRule="exact"/>
              <w:ind w:left="105" w:leftChars="50"/>
              <w:rPr>
                <w:rFonts w:ascii="宋体"/>
              </w:rPr>
            </w:pPr>
            <w:r>
              <w:rPr>
                <w:rFonts w:hint="eastAsia" w:ascii="宋体" w:hAnsi="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5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454" w:type="dxa"/>
            <w:vMerge w:val="restart"/>
            <w:tcBorders>
              <w:top w:val="nil"/>
              <w:left w:val="nil"/>
              <w:bottom w:val="single" w:color="auto" w:sz="4" w:space="0"/>
              <w:right w:val="single" w:color="auto" w:sz="4" w:space="0"/>
            </w:tcBorders>
            <w:vAlign w:val="center"/>
          </w:tcPr>
          <w:p>
            <w:pPr>
              <w:spacing w:line="240" w:lineRule="exact"/>
              <w:jc w:val="center"/>
              <w:rPr>
                <w:rFonts w:ascii="宋体"/>
              </w:rPr>
            </w:pPr>
            <w:r>
              <w:rPr>
                <w:rFonts w:hint="eastAsia" w:ascii="宋体" w:hAnsi="宋体"/>
              </w:rPr>
              <w:t>绩效</w:t>
            </w:r>
          </w:p>
          <w:p>
            <w:pPr>
              <w:spacing w:line="240" w:lineRule="exact"/>
              <w:jc w:val="center"/>
              <w:rPr>
                <w:rFonts w:ascii="宋体"/>
              </w:rPr>
            </w:pPr>
            <w:r>
              <w:rPr>
                <w:rFonts w:hint="eastAsia" w:ascii="宋体" w:hAnsi="宋体"/>
              </w:rPr>
              <w:t>目标（6分）</w:t>
            </w: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rPr>
              <w:t>绩效目标</w:t>
            </w:r>
          </w:p>
          <w:p>
            <w:pPr>
              <w:spacing w:line="240" w:lineRule="exact"/>
              <w:ind w:left="105" w:leftChars="50" w:right="105" w:rightChars="50"/>
              <w:jc w:val="center"/>
              <w:rPr>
                <w:rFonts w:ascii="宋体"/>
              </w:rPr>
            </w:pPr>
            <w:r>
              <w:rPr>
                <w:rFonts w:hint="eastAsia" w:ascii="宋体" w:hAnsi="宋体"/>
              </w:rPr>
              <w:t>合理性（3分）</w:t>
            </w:r>
          </w:p>
        </w:tc>
        <w:tc>
          <w:tcPr>
            <w:tcW w:w="540" w:type="dxa"/>
            <w:tcBorders>
              <w:top w:val="single" w:color="auto" w:sz="4" w:space="0"/>
              <w:left w:val="nil"/>
              <w:bottom w:val="single" w:color="auto" w:sz="4" w:space="0"/>
              <w:right w:val="single" w:color="auto" w:sz="4" w:space="0"/>
            </w:tcBorders>
          </w:tcPr>
          <w:p>
            <w:pPr>
              <w:spacing w:line="240" w:lineRule="exact"/>
              <w:ind w:left="105" w:leftChars="50" w:right="105" w:rightChars="50"/>
              <w:rPr>
                <w:rFonts w:ascii="宋体" w:eastAsia="宋体"/>
              </w:rPr>
            </w:pPr>
            <w:r>
              <w:rPr>
                <w:rFonts w:hint="eastAsia" w:ascii="宋体"/>
              </w:rPr>
              <w:t>3</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预算支出所设定的绩效目标是否依据充分，是否符合客观实际，用以反映和考核预算支出绩效目标与预算支出实施的相符情况。</w:t>
            </w: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评价要点：</w:t>
            </w:r>
          </w:p>
          <w:p>
            <w:pPr>
              <w:spacing w:line="240" w:lineRule="exact"/>
              <w:ind w:left="105" w:leftChars="50" w:right="105" w:rightChars="50"/>
              <w:rPr>
                <w:rFonts w:ascii="宋体"/>
              </w:rPr>
            </w:pPr>
            <w:r>
              <w:rPr>
                <w:rFonts w:hint="eastAsia" w:ascii="宋体" w:hAnsi="宋体"/>
              </w:rPr>
              <w:t>（如未设定预算绩效目标，也可考核其他工作任务目标）</w:t>
            </w:r>
          </w:p>
          <w:p>
            <w:pPr>
              <w:spacing w:line="240" w:lineRule="exact"/>
              <w:ind w:left="105" w:leftChars="50" w:right="105" w:rightChars="50"/>
              <w:rPr>
                <w:rFonts w:ascii="宋体"/>
              </w:rPr>
            </w:pPr>
            <w:r>
              <w:rPr>
                <w:rFonts w:hint="eastAsia" w:ascii="宋体" w:hAnsi="宋体"/>
              </w:rPr>
              <w:t>①预算支出是否有绩效目标；</w:t>
            </w:r>
          </w:p>
          <w:p>
            <w:pPr>
              <w:spacing w:line="240" w:lineRule="exact"/>
              <w:ind w:left="105" w:leftChars="50" w:right="105" w:rightChars="50"/>
              <w:rPr>
                <w:rFonts w:ascii="宋体"/>
              </w:rPr>
            </w:pPr>
            <w:r>
              <w:rPr>
                <w:rFonts w:hint="eastAsia" w:ascii="宋体" w:hAnsi="宋体"/>
              </w:rPr>
              <w:t>②预算支出绩效目标与实际工作内容是否具有相关性；</w:t>
            </w:r>
          </w:p>
          <w:p>
            <w:pPr>
              <w:spacing w:line="240" w:lineRule="exact"/>
              <w:ind w:left="105" w:leftChars="50" w:right="105" w:rightChars="50"/>
              <w:rPr>
                <w:rFonts w:ascii="宋体"/>
              </w:rPr>
            </w:pPr>
            <w:r>
              <w:rPr>
                <w:rFonts w:hint="eastAsia" w:ascii="宋体" w:hAnsi="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454" w:type="dxa"/>
            <w:vMerge w:val="continue"/>
            <w:tcBorders>
              <w:top w:val="nil"/>
              <w:left w:val="nil"/>
              <w:bottom w:val="single" w:color="auto" w:sz="4" w:space="0"/>
              <w:right w:val="single" w:color="auto" w:sz="4" w:space="0"/>
            </w:tcBorders>
            <w:vAlign w:val="center"/>
          </w:tcPr>
          <w:p>
            <w:pPr>
              <w:widowControl/>
              <w:jc w:val="left"/>
              <w:rPr>
                <w:rFonts w:ascii="宋体"/>
              </w:rPr>
            </w:pP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rPr>
              <w:t>绩效指标</w:t>
            </w:r>
          </w:p>
          <w:p>
            <w:pPr>
              <w:spacing w:line="240" w:lineRule="exact"/>
              <w:ind w:left="105" w:leftChars="50" w:right="105" w:rightChars="50"/>
              <w:jc w:val="center"/>
              <w:rPr>
                <w:rFonts w:ascii="宋体"/>
              </w:rPr>
            </w:pPr>
            <w:r>
              <w:rPr>
                <w:rFonts w:hint="eastAsia" w:ascii="宋体" w:hAnsi="宋体"/>
              </w:rPr>
              <w:t>明确性（3分）</w:t>
            </w:r>
          </w:p>
        </w:tc>
        <w:tc>
          <w:tcPr>
            <w:tcW w:w="540" w:type="dxa"/>
            <w:tcBorders>
              <w:top w:val="single" w:color="auto" w:sz="4" w:space="0"/>
              <w:left w:val="nil"/>
              <w:bottom w:val="single" w:color="auto" w:sz="4" w:space="0"/>
              <w:right w:val="single" w:color="auto" w:sz="4" w:space="0"/>
            </w:tcBorders>
          </w:tcPr>
          <w:p>
            <w:pPr>
              <w:spacing w:line="240" w:lineRule="exact"/>
              <w:ind w:left="105" w:leftChars="50" w:right="105" w:rightChars="50"/>
              <w:rPr>
                <w:rFonts w:ascii="宋体" w:eastAsia="宋体"/>
              </w:rPr>
            </w:pPr>
            <w:r>
              <w:rPr>
                <w:rFonts w:hint="eastAsia" w:ascii="宋体"/>
              </w:rPr>
              <w:t>3</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依据绩效目标设定的绩效指标是否清晰、细化、可衡量等，用以反映和考核预算支出绩效目标的明细化情况。</w:t>
            </w: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评价要点：</w:t>
            </w:r>
            <w:r>
              <w:rPr>
                <w:rFonts w:hint="eastAsia" w:ascii="宋体"/>
              </w:rPr>
              <w:br w:type="textWrapping"/>
            </w:r>
            <w:r>
              <w:rPr>
                <w:rFonts w:hint="eastAsia" w:ascii="宋体" w:hAnsi="宋体"/>
              </w:rPr>
              <w:t>①是否将预算支出绩效目标细化分解为具体的绩效指标；</w:t>
            </w:r>
            <w:r>
              <w:rPr>
                <w:rFonts w:hint="eastAsia" w:ascii="宋体"/>
              </w:rPr>
              <w:br w:type="textWrapping"/>
            </w:r>
            <w:r>
              <w:rPr>
                <w:rFonts w:hint="eastAsia" w:ascii="宋体" w:hAnsi="宋体"/>
              </w:rPr>
              <w:t>②是否通过清晰、可衡量的指标值予以体现；</w:t>
            </w:r>
            <w:r>
              <w:rPr>
                <w:rFonts w:hint="eastAsia" w:ascii="宋体"/>
              </w:rPr>
              <w:br w:type="textWrapping"/>
            </w:r>
            <w:r>
              <w:rPr>
                <w:rFonts w:hint="eastAsia" w:ascii="宋体" w:hAnsi="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5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454" w:type="dxa"/>
            <w:vMerge w:val="restart"/>
            <w:tcBorders>
              <w:top w:val="nil"/>
              <w:left w:val="nil"/>
              <w:bottom w:val="single" w:color="auto" w:sz="4" w:space="0"/>
              <w:right w:val="single" w:color="auto" w:sz="4" w:space="0"/>
            </w:tcBorders>
            <w:vAlign w:val="center"/>
          </w:tcPr>
          <w:p>
            <w:pPr>
              <w:spacing w:line="240" w:lineRule="exact"/>
              <w:jc w:val="center"/>
              <w:rPr>
                <w:rFonts w:ascii="宋体"/>
              </w:rPr>
            </w:pPr>
            <w:r>
              <w:rPr>
                <w:rFonts w:hint="eastAsia" w:ascii="宋体" w:hAnsi="宋体"/>
              </w:rPr>
              <w:t>资金</w:t>
            </w:r>
          </w:p>
          <w:p>
            <w:pPr>
              <w:spacing w:line="240" w:lineRule="exact"/>
              <w:jc w:val="center"/>
              <w:rPr>
                <w:rFonts w:ascii="宋体"/>
              </w:rPr>
            </w:pPr>
            <w:r>
              <w:rPr>
                <w:rFonts w:hint="eastAsia" w:ascii="宋体" w:hAnsi="宋体"/>
              </w:rPr>
              <w:t>投入（6分）</w:t>
            </w: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rPr>
              <w:t>预算编制</w:t>
            </w:r>
          </w:p>
          <w:p>
            <w:pPr>
              <w:spacing w:line="240" w:lineRule="exact"/>
              <w:ind w:left="105" w:leftChars="50" w:right="105" w:rightChars="50"/>
              <w:jc w:val="center"/>
              <w:rPr>
                <w:rFonts w:ascii="宋体"/>
              </w:rPr>
            </w:pPr>
            <w:r>
              <w:rPr>
                <w:rFonts w:hint="eastAsia" w:ascii="宋体" w:hAnsi="宋体"/>
              </w:rPr>
              <w:t>科学性（3分）</w:t>
            </w:r>
          </w:p>
        </w:tc>
        <w:tc>
          <w:tcPr>
            <w:tcW w:w="540" w:type="dxa"/>
            <w:tcBorders>
              <w:top w:val="single" w:color="auto" w:sz="4" w:space="0"/>
              <w:left w:val="nil"/>
              <w:bottom w:val="single" w:color="auto" w:sz="4" w:space="0"/>
              <w:right w:val="single" w:color="auto" w:sz="4" w:space="0"/>
            </w:tcBorders>
          </w:tcPr>
          <w:p>
            <w:pPr>
              <w:spacing w:line="240" w:lineRule="exact"/>
              <w:ind w:left="105" w:leftChars="50" w:right="105" w:rightChars="50"/>
              <w:rPr>
                <w:rFonts w:ascii="宋体" w:eastAsia="宋体"/>
              </w:rPr>
            </w:pPr>
            <w:r>
              <w:rPr>
                <w:rFonts w:hint="eastAsia" w:ascii="宋体"/>
              </w:rPr>
              <w:t>3</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预算编制是否经过科学论证、有明确标准，资金额度与年度目标是否相适应，用以反映和考核预算支出预算编制的科学性、合理性情况。</w:t>
            </w: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rPr>
              <w:t>评价要点：</w:t>
            </w:r>
          </w:p>
          <w:p>
            <w:pPr>
              <w:spacing w:line="220" w:lineRule="exact"/>
              <w:ind w:left="105" w:leftChars="50" w:right="105" w:rightChars="50"/>
              <w:rPr>
                <w:rFonts w:ascii="宋体"/>
              </w:rPr>
            </w:pPr>
            <w:r>
              <w:rPr>
                <w:rFonts w:hint="eastAsia" w:ascii="宋体" w:hAnsi="宋体"/>
              </w:rPr>
              <w:t>①预算编制是否经过科学论证；</w:t>
            </w:r>
          </w:p>
          <w:p>
            <w:pPr>
              <w:spacing w:line="220" w:lineRule="exact"/>
              <w:ind w:left="105" w:leftChars="50" w:right="105" w:rightChars="50"/>
              <w:rPr>
                <w:rFonts w:ascii="宋体"/>
              </w:rPr>
            </w:pPr>
            <w:r>
              <w:rPr>
                <w:rFonts w:hint="eastAsia" w:ascii="宋体" w:hAnsi="宋体"/>
              </w:rPr>
              <w:t>②预算内容与支出内容是否匹配；</w:t>
            </w:r>
          </w:p>
          <w:p>
            <w:pPr>
              <w:spacing w:line="220" w:lineRule="exact"/>
              <w:ind w:left="105" w:leftChars="50" w:right="105" w:rightChars="50"/>
              <w:rPr>
                <w:rFonts w:ascii="宋体"/>
              </w:rPr>
            </w:pPr>
            <w:r>
              <w:rPr>
                <w:rFonts w:hint="eastAsia" w:ascii="宋体" w:hAnsi="宋体"/>
              </w:rPr>
              <w:t>③预算额度测算依据是否充分，是否按照标准编制；</w:t>
            </w:r>
          </w:p>
          <w:p>
            <w:pPr>
              <w:spacing w:line="220" w:lineRule="exact"/>
              <w:ind w:left="105" w:leftChars="50" w:right="105" w:rightChars="50"/>
              <w:rPr>
                <w:rFonts w:ascii="宋体"/>
              </w:rPr>
            </w:pPr>
            <w:r>
              <w:rPr>
                <w:rFonts w:hint="eastAsia" w:ascii="宋体" w:hAnsi="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454" w:type="dxa"/>
            <w:vMerge w:val="continue"/>
            <w:tcBorders>
              <w:top w:val="nil"/>
              <w:left w:val="nil"/>
              <w:bottom w:val="single" w:color="auto" w:sz="4" w:space="0"/>
              <w:right w:val="single" w:color="auto" w:sz="4" w:space="0"/>
            </w:tcBorders>
            <w:vAlign w:val="center"/>
          </w:tcPr>
          <w:p>
            <w:pPr>
              <w:widowControl/>
              <w:jc w:val="left"/>
              <w:rPr>
                <w:rFonts w:ascii="宋体"/>
              </w:rPr>
            </w:pP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rPr>
              <w:t>资金分配</w:t>
            </w:r>
          </w:p>
          <w:p>
            <w:pPr>
              <w:spacing w:line="240" w:lineRule="exact"/>
              <w:ind w:left="105" w:leftChars="50" w:right="105" w:rightChars="50"/>
              <w:jc w:val="center"/>
              <w:rPr>
                <w:rFonts w:ascii="宋体"/>
              </w:rPr>
            </w:pPr>
            <w:r>
              <w:rPr>
                <w:rFonts w:hint="eastAsia" w:ascii="宋体" w:hAnsi="宋体"/>
              </w:rPr>
              <w:t>合理性（3分）</w:t>
            </w:r>
          </w:p>
        </w:tc>
        <w:tc>
          <w:tcPr>
            <w:tcW w:w="540" w:type="dxa"/>
            <w:tcBorders>
              <w:top w:val="single" w:color="auto" w:sz="4" w:space="0"/>
              <w:left w:val="nil"/>
              <w:bottom w:val="single" w:color="auto" w:sz="4" w:space="0"/>
              <w:right w:val="single" w:color="auto" w:sz="4" w:space="0"/>
            </w:tcBorders>
          </w:tcPr>
          <w:p>
            <w:pPr>
              <w:spacing w:line="240" w:lineRule="exact"/>
              <w:ind w:left="105" w:leftChars="50" w:right="105" w:rightChars="50"/>
              <w:rPr>
                <w:rFonts w:ascii="宋体" w:eastAsia="宋体"/>
              </w:rPr>
            </w:pPr>
            <w:r>
              <w:rPr>
                <w:rFonts w:hint="eastAsia" w:ascii="宋体"/>
              </w:rPr>
              <w:t>3</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预算资金分配是否有测算依据，与补助单位或地方实际是否相适应，用以反映和考核预算支出预算资金分配的科学性、合理性情况。</w:t>
            </w: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评价要点：</w:t>
            </w:r>
          </w:p>
          <w:p>
            <w:pPr>
              <w:spacing w:line="240" w:lineRule="exact"/>
              <w:ind w:right="105" w:rightChars="50" w:firstLine="105" w:firstLineChars="50"/>
              <w:rPr>
                <w:rFonts w:ascii="宋体"/>
              </w:rPr>
            </w:pPr>
            <w:r>
              <w:rPr>
                <w:rFonts w:hint="eastAsia" w:ascii="宋体" w:hAnsi="宋体"/>
              </w:rPr>
              <w:t>①预算资金分配依据是否充分；</w:t>
            </w:r>
          </w:p>
          <w:p>
            <w:pPr>
              <w:spacing w:line="240" w:lineRule="exact"/>
              <w:ind w:left="105" w:leftChars="50" w:right="105" w:rightChars="50"/>
              <w:rPr>
                <w:rFonts w:ascii="宋体"/>
              </w:rPr>
            </w:pPr>
            <w:r>
              <w:rPr>
                <w:rFonts w:hint="eastAsia" w:ascii="宋体" w:hAnsi="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543"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hAnsi="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rPr>
              <w:t>程（20分）</w:t>
            </w:r>
          </w:p>
        </w:tc>
        <w:tc>
          <w:tcPr>
            <w:tcW w:w="454"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rPr>
            </w:pPr>
            <w:r>
              <w:rPr>
                <w:rFonts w:hint="eastAsia" w:ascii="宋体" w:hAnsi="宋体"/>
              </w:rPr>
              <w:t>资金</w:t>
            </w:r>
            <w:r>
              <w:rPr>
                <w:rFonts w:hint="eastAsia" w:ascii="宋体"/>
              </w:rPr>
              <w:br w:type="textWrapping"/>
            </w:r>
            <w:r>
              <w:rPr>
                <w:rFonts w:hint="eastAsia" w:ascii="宋体" w:hAnsi="宋体"/>
              </w:rPr>
              <w:t>管理（12分）</w:t>
            </w: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rPr>
              <w:t>资金</w:t>
            </w:r>
          </w:p>
          <w:p>
            <w:pPr>
              <w:spacing w:line="240" w:lineRule="exact"/>
              <w:ind w:left="105" w:leftChars="50" w:right="105" w:rightChars="50"/>
              <w:jc w:val="center"/>
              <w:rPr>
                <w:rFonts w:ascii="宋体"/>
              </w:rPr>
            </w:pPr>
            <w:r>
              <w:rPr>
                <w:rFonts w:hint="eastAsia" w:ascii="宋体" w:hAnsi="宋体"/>
              </w:rPr>
              <w:t>到位率（4分）</w:t>
            </w:r>
          </w:p>
        </w:tc>
        <w:tc>
          <w:tcPr>
            <w:tcW w:w="540" w:type="dxa"/>
            <w:tcBorders>
              <w:top w:val="single" w:color="auto" w:sz="4" w:space="0"/>
              <w:left w:val="nil"/>
              <w:bottom w:val="single" w:color="auto" w:sz="4" w:space="0"/>
              <w:right w:val="single" w:color="auto" w:sz="4" w:space="0"/>
            </w:tcBorders>
          </w:tcPr>
          <w:p>
            <w:pPr>
              <w:spacing w:line="240" w:lineRule="exact"/>
              <w:ind w:left="105" w:leftChars="50" w:right="105" w:rightChars="50"/>
              <w:rPr>
                <w:rFonts w:ascii="宋体" w:eastAsia="宋体"/>
              </w:rPr>
            </w:pPr>
            <w:r>
              <w:rPr>
                <w:rFonts w:hint="eastAsia" w:ascii="宋体"/>
              </w:rPr>
              <w:t>4</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实际到位资金与预算资金的比率，用以反映和考核资金落实情况对预算支出实施的总体保障程度。</w:t>
            </w: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资金到位率=（实际到位资金/预算资金）×100%。</w:t>
            </w:r>
            <w:r>
              <w:rPr>
                <w:rFonts w:hint="eastAsia" w:ascii="宋体"/>
              </w:rPr>
              <w:br w:type="textWrapping"/>
            </w:r>
            <w:r>
              <w:rPr>
                <w:rFonts w:hint="eastAsia" w:ascii="宋体" w:hAnsi="宋体"/>
              </w:rPr>
              <w:t>实际到位资金：一定时期（本年度或预算支出期）内落实到具体预算支出的资金。</w:t>
            </w:r>
            <w:r>
              <w:rPr>
                <w:rFonts w:hint="eastAsia" w:ascii="宋体"/>
              </w:rPr>
              <w:br w:type="textWrapping"/>
            </w:r>
            <w:r>
              <w:rPr>
                <w:rFonts w:hint="eastAsia" w:ascii="宋体" w:hAnsi="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5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454" w:type="dxa"/>
            <w:vMerge w:val="continue"/>
            <w:tcBorders>
              <w:top w:val="nil"/>
              <w:left w:val="nil"/>
              <w:bottom w:val="single" w:color="auto" w:sz="4" w:space="0"/>
              <w:right w:val="single" w:color="auto" w:sz="4" w:space="0"/>
            </w:tcBorders>
            <w:vAlign w:val="center"/>
          </w:tcPr>
          <w:p>
            <w:pPr>
              <w:widowControl/>
              <w:jc w:val="left"/>
              <w:rPr>
                <w:rFonts w:ascii="宋体"/>
              </w:rPr>
            </w:pP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rPr>
              <w:t>预算</w:t>
            </w:r>
          </w:p>
          <w:p>
            <w:pPr>
              <w:spacing w:line="240" w:lineRule="exact"/>
              <w:ind w:left="105" w:leftChars="50" w:right="105" w:rightChars="50"/>
              <w:jc w:val="center"/>
              <w:rPr>
                <w:rFonts w:ascii="宋体"/>
              </w:rPr>
            </w:pPr>
            <w:r>
              <w:rPr>
                <w:rFonts w:hint="eastAsia" w:ascii="宋体" w:hAnsi="宋体"/>
              </w:rPr>
              <w:t>执行率（4分）</w:t>
            </w:r>
          </w:p>
        </w:tc>
        <w:tc>
          <w:tcPr>
            <w:tcW w:w="540" w:type="dxa"/>
            <w:tcBorders>
              <w:top w:val="single" w:color="auto" w:sz="4" w:space="0"/>
              <w:left w:val="nil"/>
              <w:bottom w:val="single" w:color="auto" w:sz="4" w:space="0"/>
              <w:right w:val="single" w:color="auto" w:sz="4" w:space="0"/>
            </w:tcBorders>
          </w:tcPr>
          <w:p>
            <w:pPr>
              <w:spacing w:line="240" w:lineRule="exact"/>
              <w:ind w:left="105" w:leftChars="50" w:right="105" w:rightChars="50"/>
              <w:rPr>
                <w:rFonts w:ascii="宋体" w:eastAsia="宋体"/>
              </w:rPr>
            </w:pPr>
            <w:r>
              <w:rPr>
                <w:rFonts w:hint="eastAsia" w:ascii="宋体"/>
              </w:rPr>
              <w:t>4</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预算资金是否按照计划执行，用以反映或考核预算支出预算执行情况。</w:t>
            </w: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预算执行率=（实际支出资金/实际到位资金）×100%。</w:t>
            </w:r>
          </w:p>
          <w:p>
            <w:pPr>
              <w:spacing w:line="240" w:lineRule="exact"/>
              <w:ind w:left="105" w:leftChars="50" w:right="105" w:rightChars="50"/>
              <w:rPr>
                <w:rFonts w:ascii="宋体"/>
              </w:rPr>
            </w:pPr>
            <w:r>
              <w:rPr>
                <w:rFonts w:hint="eastAsia" w:ascii="宋体" w:hAnsi="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454" w:type="dxa"/>
            <w:vMerge w:val="continue"/>
            <w:tcBorders>
              <w:top w:val="nil"/>
              <w:left w:val="nil"/>
              <w:bottom w:val="single" w:color="auto" w:sz="4" w:space="0"/>
              <w:right w:val="single" w:color="auto" w:sz="4" w:space="0"/>
            </w:tcBorders>
            <w:vAlign w:val="center"/>
          </w:tcPr>
          <w:p>
            <w:pPr>
              <w:widowControl/>
              <w:jc w:val="left"/>
              <w:rPr>
                <w:rFonts w:ascii="宋体"/>
              </w:rPr>
            </w:pP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rPr>
              <w:t>资金使用</w:t>
            </w:r>
          </w:p>
          <w:p>
            <w:pPr>
              <w:spacing w:line="240" w:lineRule="exact"/>
              <w:ind w:left="105" w:leftChars="50" w:right="105" w:rightChars="50"/>
              <w:jc w:val="center"/>
              <w:rPr>
                <w:rFonts w:ascii="宋体"/>
              </w:rPr>
            </w:pPr>
            <w:r>
              <w:rPr>
                <w:rFonts w:hint="eastAsia" w:ascii="宋体" w:hAnsi="宋体"/>
              </w:rPr>
              <w:t>合规性（4分）</w:t>
            </w:r>
          </w:p>
        </w:tc>
        <w:tc>
          <w:tcPr>
            <w:tcW w:w="540" w:type="dxa"/>
            <w:tcBorders>
              <w:top w:val="single" w:color="auto" w:sz="4" w:space="0"/>
              <w:left w:val="nil"/>
              <w:bottom w:val="single" w:color="auto" w:sz="4" w:space="0"/>
              <w:right w:val="single" w:color="auto" w:sz="4" w:space="0"/>
            </w:tcBorders>
          </w:tcPr>
          <w:p>
            <w:pPr>
              <w:spacing w:line="240" w:lineRule="exact"/>
              <w:ind w:left="105" w:leftChars="50" w:right="105" w:rightChars="50"/>
              <w:rPr>
                <w:rFonts w:ascii="宋体" w:eastAsia="宋体"/>
              </w:rPr>
            </w:pPr>
            <w:r>
              <w:rPr>
                <w:rFonts w:hint="eastAsia" w:ascii="宋体"/>
              </w:rPr>
              <w:t>4</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预算资金使用是否符合相关的财务管理制度规定，用以反映和考核预算资金的规范运行情况。</w:t>
            </w: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评价要点：</w:t>
            </w:r>
          </w:p>
          <w:p>
            <w:pPr>
              <w:spacing w:line="240" w:lineRule="exact"/>
              <w:ind w:left="105" w:leftChars="50" w:right="105" w:rightChars="50"/>
              <w:rPr>
                <w:rFonts w:ascii="宋体"/>
              </w:rPr>
            </w:pPr>
            <w:r>
              <w:rPr>
                <w:rFonts w:hint="eastAsia" w:ascii="宋体" w:hAnsi="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rPr>
              <w:t>②资金的拨付是否有完整的审批程序和手续；</w:t>
            </w:r>
          </w:p>
          <w:p>
            <w:pPr>
              <w:spacing w:line="240" w:lineRule="exact"/>
              <w:ind w:right="105" w:rightChars="50" w:firstLine="105" w:firstLineChars="50"/>
              <w:rPr>
                <w:rFonts w:ascii="宋体"/>
              </w:rPr>
            </w:pPr>
            <w:r>
              <w:rPr>
                <w:rFonts w:hint="eastAsia" w:ascii="宋体" w:hAnsi="宋体"/>
              </w:rPr>
              <w:t>③是否符合预算支出预算批复或合同规定的用途；</w:t>
            </w:r>
          </w:p>
          <w:p>
            <w:pPr>
              <w:spacing w:line="240" w:lineRule="exact"/>
              <w:ind w:left="105" w:leftChars="50" w:right="105" w:rightChars="50"/>
              <w:rPr>
                <w:rFonts w:ascii="宋体"/>
              </w:rPr>
            </w:pPr>
            <w:r>
              <w:rPr>
                <w:rFonts w:hint="eastAsia" w:ascii="宋体" w:hAnsi="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454"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rPr>
            </w:pPr>
            <w:r>
              <w:rPr>
                <w:rFonts w:hint="eastAsia" w:ascii="宋体" w:hAnsi="宋体"/>
              </w:rPr>
              <w:t>组织</w:t>
            </w:r>
          </w:p>
          <w:p>
            <w:pPr>
              <w:spacing w:line="240" w:lineRule="exact"/>
              <w:jc w:val="center"/>
              <w:rPr>
                <w:rFonts w:ascii="宋体"/>
              </w:rPr>
            </w:pPr>
            <w:r>
              <w:rPr>
                <w:rFonts w:hint="eastAsia" w:ascii="宋体" w:hAnsi="宋体"/>
              </w:rPr>
              <w:t>实施（8分）</w:t>
            </w: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rPr>
              <w:t>管理制度</w:t>
            </w:r>
          </w:p>
          <w:p>
            <w:pPr>
              <w:spacing w:line="240" w:lineRule="exact"/>
              <w:ind w:left="105" w:leftChars="50" w:right="105" w:rightChars="50"/>
              <w:jc w:val="center"/>
              <w:rPr>
                <w:rFonts w:ascii="宋体"/>
              </w:rPr>
            </w:pPr>
            <w:r>
              <w:rPr>
                <w:rFonts w:hint="eastAsia" w:ascii="宋体" w:hAnsi="宋体"/>
              </w:rPr>
              <w:t>健全性（4分）</w:t>
            </w:r>
          </w:p>
        </w:tc>
        <w:tc>
          <w:tcPr>
            <w:tcW w:w="540" w:type="dxa"/>
            <w:tcBorders>
              <w:top w:val="single" w:color="auto" w:sz="4" w:space="0"/>
              <w:left w:val="nil"/>
              <w:bottom w:val="single" w:color="auto" w:sz="4" w:space="0"/>
              <w:right w:val="single" w:color="auto" w:sz="4" w:space="0"/>
            </w:tcBorders>
          </w:tcPr>
          <w:p>
            <w:pPr>
              <w:spacing w:line="240" w:lineRule="exact"/>
              <w:ind w:left="105" w:leftChars="50" w:right="105" w:rightChars="50"/>
              <w:rPr>
                <w:rFonts w:ascii="宋体" w:eastAsia="宋体"/>
              </w:rPr>
            </w:pPr>
            <w:r>
              <w:rPr>
                <w:rFonts w:hint="eastAsia" w:ascii="宋体"/>
              </w:rPr>
              <w:t>4</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预算支出实施单位的财务和业务管理制度是否健全，用以反映和考核财务和业务管理制度对预算支出顺利实施的保障情况。</w:t>
            </w: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评价要点：</w:t>
            </w:r>
            <w:r>
              <w:rPr>
                <w:rFonts w:hint="eastAsia" w:ascii="宋体"/>
              </w:rPr>
              <w:br w:type="textWrapping"/>
            </w:r>
            <w:r>
              <w:rPr>
                <w:rFonts w:hint="eastAsia" w:ascii="宋体" w:hAnsi="宋体"/>
              </w:rPr>
              <w:t>①是否已制定或具有相应的业务管理制度；</w:t>
            </w:r>
            <w:r>
              <w:rPr>
                <w:rFonts w:hint="eastAsia" w:ascii="宋体"/>
              </w:rPr>
              <w:br w:type="textWrapping"/>
            </w:r>
            <w:r>
              <w:rPr>
                <w:rFonts w:hint="eastAsia" w:ascii="宋体" w:hAnsi="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454" w:type="dxa"/>
            <w:vMerge w:val="continue"/>
            <w:tcBorders>
              <w:top w:val="nil"/>
              <w:left w:val="nil"/>
              <w:bottom w:val="single" w:color="auto" w:sz="4" w:space="0"/>
              <w:right w:val="single" w:color="auto" w:sz="4" w:space="0"/>
            </w:tcBorders>
            <w:vAlign w:val="center"/>
          </w:tcPr>
          <w:p>
            <w:pPr>
              <w:widowControl/>
              <w:jc w:val="left"/>
              <w:rPr>
                <w:rFonts w:ascii="宋体"/>
              </w:rPr>
            </w:pP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rPr>
              <w:t>制度执行</w:t>
            </w:r>
          </w:p>
          <w:p>
            <w:pPr>
              <w:spacing w:line="240" w:lineRule="exact"/>
              <w:ind w:left="105" w:leftChars="50" w:right="105" w:rightChars="50"/>
              <w:jc w:val="center"/>
              <w:rPr>
                <w:rFonts w:ascii="宋体"/>
              </w:rPr>
            </w:pPr>
            <w:r>
              <w:rPr>
                <w:rFonts w:hint="eastAsia" w:ascii="宋体" w:hAnsi="宋体"/>
              </w:rPr>
              <w:t>有效性（4分）</w:t>
            </w:r>
          </w:p>
        </w:tc>
        <w:tc>
          <w:tcPr>
            <w:tcW w:w="540" w:type="dxa"/>
            <w:tcBorders>
              <w:top w:val="single" w:color="auto" w:sz="4" w:space="0"/>
              <w:left w:val="nil"/>
              <w:bottom w:val="single" w:color="auto" w:sz="4" w:space="0"/>
              <w:right w:val="single" w:color="auto" w:sz="4" w:space="0"/>
            </w:tcBorders>
          </w:tcPr>
          <w:p>
            <w:pPr>
              <w:spacing w:line="240" w:lineRule="exact"/>
              <w:ind w:left="105" w:leftChars="50" w:right="105" w:rightChars="50"/>
              <w:rPr>
                <w:rFonts w:ascii="宋体" w:eastAsia="宋体"/>
              </w:rPr>
            </w:pPr>
            <w:r>
              <w:rPr>
                <w:rFonts w:hint="eastAsia" w:ascii="宋体"/>
              </w:rPr>
              <w:t>4</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预算支出实施是否符合相关业务管理规定，用以反映和考核业务管理制度的有效执行情况。</w:t>
            </w: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评价要点：</w:t>
            </w:r>
            <w:r>
              <w:rPr>
                <w:rFonts w:hint="eastAsia" w:ascii="宋体"/>
              </w:rPr>
              <w:br w:type="textWrapping"/>
            </w:r>
            <w:r>
              <w:rPr>
                <w:rFonts w:hint="eastAsia" w:ascii="宋体" w:hAnsi="宋体"/>
              </w:rPr>
              <w:t>①是否遵守相关法律法规和相关管理规定；</w:t>
            </w:r>
            <w:r>
              <w:rPr>
                <w:rFonts w:hint="eastAsia" w:ascii="宋体"/>
              </w:rPr>
              <w:br w:type="textWrapping"/>
            </w:r>
            <w:r>
              <w:rPr>
                <w:rFonts w:hint="eastAsia" w:ascii="宋体" w:hAnsi="宋体"/>
              </w:rPr>
              <w:t>②预算支出调整及支出调整手续是否完备；</w:t>
            </w:r>
            <w:r>
              <w:rPr>
                <w:rFonts w:hint="eastAsia" w:ascii="宋体"/>
              </w:rPr>
              <w:br w:type="textWrapping"/>
            </w:r>
            <w:r>
              <w:rPr>
                <w:rFonts w:hint="eastAsia" w:ascii="宋体" w:hAnsi="宋体"/>
              </w:rPr>
              <w:t>③预算支出合同书、验收报告、技术鉴定等资料是否齐全并及时归档；</w:t>
            </w:r>
            <w:r>
              <w:rPr>
                <w:rFonts w:hint="eastAsia" w:ascii="宋体"/>
              </w:rPr>
              <w:br w:type="textWrapping"/>
            </w:r>
            <w:r>
              <w:rPr>
                <w:rFonts w:hint="eastAsia" w:ascii="宋体" w:hAnsi="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543"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rPr>
            </w:pPr>
            <w:r>
              <w:rPr>
                <w:rFonts w:hint="eastAsia" w:ascii="宋体" w:hAnsi="宋体"/>
              </w:rPr>
              <w:t>产   出（40分）</w:t>
            </w:r>
          </w:p>
        </w:tc>
        <w:tc>
          <w:tcPr>
            <w:tcW w:w="45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rPr>
            </w:pPr>
            <w:r>
              <w:rPr>
                <w:rFonts w:hint="eastAsia" w:ascii="宋体" w:hAnsi="宋体"/>
              </w:rPr>
              <w:t>产出</w:t>
            </w:r>
          </w:p>
          <w:p>
            <w:pPr>
              <w:spacing w:line="240" w:lineRule="exact"/>
              <w:jc w:val="center"/>
              <w:rPr>
                <w:rFonts w:ascii="宋体"/>
              </w:rPr>
            </w:pPr>
            <w:r>
              <w:rPr>
                <w:rFonts w:hint="eastAsia" w:ascii="宋体" w:hAnsi="宋体"/>
              </w:rPr>
              <w:t>数量（10分）</w:t>
            </w: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rPr>
              <w:t>实际</w:t>
            </w:r>
          </w:p>
          <w:p>
            <w:pPr>
              <w:spacing w:line="240" w:lineRule="exact"/>
              <w:ind w:left="105" w:leftChars="50" w:right="105" w:rightChars="50"/>
              <w:jc w:val="center"/>
              <w:rPr>
                <w:rFonts w:ascii="宋体"/>
              </w:rPr>
            </w:pPr>
            <w:r>
              <w:rPr>
                <w:rFonts w:hint="eastAsia" w:ascii="宋体" w:hAnsi="宋体"/>
              </w:rPr>
              <w:t>完成率（10分）</w:t>
            </w:r>
          </w:p>
        </w:tc>
        <w:tc>
          <w:tcPr>
            <w:tcW w:w="540" w:type="dxa"/>
            <w:tcBorders>
              <w:top w:val="single" w:color="auto" w:sz="4" w:space="0"/>
              <w:left w:val="nil"/>
              <w:bottom w:val="single" w:color="auto" w:sz="4" w:space="0"/>
              <w:right w:val="single" w:color="auto" w:sz="4" w:space="0"/>
            </w:tcBorders>
          </w:tcPr>
          <w:p>
            <w:pPr>
              <w:spacing w:line="240" w:lineRule="exact"/>
              <w:ind w:left="105" w:leftChars="50" w:right="105" w:rightChars="50"/>
              <w:rPr>
                <w:rFonts w:ascii="宋体" w:eastAsia="宋体"/>
              </w:rPr>
            </w:pPr>
            <w:r>
              <w:rPr>
                <w:rFonts w:hint="eastAsia" w:ascii="宋体"/>
              </w:rPr>
              <w:t>10</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预算支出实施的实际产出数与计划产出数的比率，用以反映和考核预算支出产出数量目标的实现程度。</w:t>
            </w: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实际完成率=（实际产出数/计划产出数）×100%。</w:t>
            </w:r>
            <w:r>
              <w:rPr>
                <w:rFonts w:hint="eastAsia" w:ascii="宋体"/>
              </w:rPr>
              <w:br w:type="textWrapping"/>
            </w:r>
            <w:r>
              <w:rPr>
                <w:rFonts w:hint="eastAsia" w:ascii="宋体" w:hAnsi="宋体"/>
              </w:rPr>
              <w:t>实际产出数：一定时期（本年度或预算支出期）内预算支出实际产出的产品或提供的服务数量。</w:t>
            </w:r>
            <w:r>
              <w:rPr>
                <w:rFonts w:hint="eastAsia" w:ascii="宋体"/>
              </w:rPr>
              <w:br w:type="textWrapping"/>
            </w:r>
            <w:r>
              <w:rPr>
                <w:rFonts w:hint="eastAsia" w:ascii="宋体" w:hAnsi="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5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45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rPr>
            </w:pPr>
            <w:r>
              <w:rPr>
                <w:rFonts w:hint="eastAsia" w:ascii="宋体" w:hAnsi="宋体"/>
              </w:rPr>
              <w:t>产出</w:t>
            </w:r>
          </w:p>
          <w:p>
            <w:pPr>
              <w:spacing w:line="240" w:lineRule="exact"/>
              <w:jc w:val="center"/>
              <w:rPr>
                <w:rFonts w:ascii="宋体"/>
              </w:rPr>
            </w:pPr>
            <w:r>
              <w:rPr>
                <w:rFonts w:hint="eastAsia" w:ascii="宋体" w:hAnsi="宋体"/>
              </w:rPr>
              <w:t>质量（10分）</w:t>
            </w: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rPr>
              <w:t>质量</w:t>
            </w:r>
          </w:p>
          <w:p>
            <w:pPr>
              <w:spacing w:line="240" w:lineRule="exact"/>
              <w:ind w:left="105" w:leftChars="50" w:right="105" w:rightChars="50"/>
              <w:jc w:val="center"/>
              <w:rPr>
                <w:rFonts w:ascii="宋体"/>
              </w:rPr>
            </w:pPr>
            <w:r>
              <w:rPr>
                <w:rFonts w:hint="eastAsia" w:ascii="宋体" w:hAnsi="宋体"/>
              </w:rPr>
              <w:t>达标率（10分）</w:t>
            </w:r>
          </w:p>
        </w:tc>
        <w:tc>
          <w:tcPr>
            <w:tcW w:w="540" w:type="dxa"/>
            <w:tcBorders>
              <w:top w:val="single" w:color="auto" w:sz="4" w:space="0"/>
              <w:left w:val="nil"/>
              <w:bottom w:val="single" w:color="auto" w:sz="4" w:space="0"/>
              <w:right w:val="single" w:color="auto" w:sz="4" w:space="0"/>
            </w:tcBorders>
          </w:tcPr>
          <w:p>
            <w:pPr>
              <w:spacing w:line="240" w:lineRule="exact"/>
              <w:ind w:left="105" w:leftChars="50" w:right="105" w:rightChars="50"/>
              <w:rPr>
                <w:rFonts w:ascii="宋体" w:eastAsia="宋体"/>
              </w:rPr>
            </w:pPr>
            <w:r>
              <w:rPr>
                <w:rFonts w:hint="eastAsia" w:ascii="宋体"/>
              </w:rPr>
              <w:t>10</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预算支出完成的质量达标产出数与实际产出数的比率，用以反映和考核预算支出产出质量目标的实现程度。</w:t>
            </w: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质量达标率=（质量达标产出数/实际产出数）×100%。</w:t>
            </w:r>
            <w:r>
              <w:rPr>
                <w:rFonts w:hint="eastAsia" w:ascii="宋体"/>
              </w:rPr>
              <w:br w:type="textWrapping"/>
            </w:r>
            <w:r>
              <w:rPr>
                <w:rFonts w:hint="eastAsia" w:ascii="宋体" w:hAnsi="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543" w:type="dxa"/>
            <w:vMerge w:val="restart"/>
            <w:tcBorders>
              <w:top w:val="nil"/>
              <w:left w:val="single" w:color="auto" w:sz="4" w:space="0"/>
              <w:bottom w:val="single" w:color="auto" w:sz="4" w:space="0"/>
              <w:right w:val="single" w:color="auto" w:sz="4" w:space="0"/>
            </w:tcBorders>
            <w:vAlign w:val="center"/>
          </w:tcPr>
          <w:p>
            <w:pPr>
              <w:spacing w:line="240" w:lineRule="exact"/>
              <w:ind w:left="113"/>
              <w:rPr>
                <w:rFonts w:ascii="宋体"/>
              </w:rPr>
            </w:pPr>
            <w:r>
              <w:rPr>
                <w:rFonts w:hint="eastAsia" w:ascii="宋体" w:hAnsi="宋体"/>
              </w:rPr>
              <w:t>产   出（40分）</w:t>
            </w:r>
          </w:p>
        </w:tc>
        <w:tc>
          <w:tcPr>
            <w:tcW w:w="45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rPr>
            </w:pPr>
            <w:r>
              <w:rPr>
                <w:rFonts w:hint="eastAsia" w:ascii="宋体" w:hAnsi="宋体"/>
              </w:rPr>
              <w:t>产出</w:t>
            </w:r>
          </w:p>
          <w:p>
            <w:pPr>
              <w:spacing w:line="240" w:lineRule="exact"/>
              <w:jc w:val="center"/>
              <w:rPr>
                <w:rFonts w:ascii="宋体"/>
              </w:rPr>
            </w:pPr>
            <w:r>
              <w:rPr>
                <w:rFonts w:hint="eastAsia" w:ascii="宋体" w:hAnsi="宋体"/>
              </w:rPr>
              <w:t>时效（10分）</w:t>
            </w: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rPr>
              <w:t>完成</w:t>
            </w:r>
          </w:p>
          <w:p>
            <w:pPr>
              <w:spacing w:line="240" w:lineRule="exact"/>
              <w:ind w:left="105" w:leftChars="50" w:right="105" w:rightChars="50"/>
              <w:jc w:val="center"/>
              <w:rPr>
                <w:rFonts w:ascii="宋体"/>
              </w:rPr>
            </w:pPr>
            <w:r>
              <w:rPr>
                <w:rFonts w:hint="eastAsia" w:ascii="宋体" w:hAnsi="宋体"/>
              </w:rPr>
              <w:t>及时性（10分）</w:t>
            </w:r>
          </w:p>
        </w:tc>
        <w:tc>
          <w:tcPr>
            <w:tcW w:w="540" w:type="dxa"/>
            <w:tcBorders>
              <w:top w:val="single" w:color="auto" w:sz="4" w:space="0"/>
              <w:left w:val="nil"/>
              <w:bottom w:val="single" w:color="auto" w:sz="4" w:space="0"/>
              <w:right w:val="single" w:color="auto" w:sz="4" w:space="0"/>
            </w:tcBorders>
          </w:tcPr>
          <w:p>
            <w:pPr>
              <w:spacing w:line="240" w:lineRule="exact"/>
              <w:ind w:left="105" w:leftChars="50" w:right="105" w:rightChars="50"/>
              <w:rPr>
                <w:rFonts w:ascii="宋体" w:eastAsia="宋体"/>
              </w:rPr>
            </w:pPr>
            <w:r>
              <w:rPr>
                <w:rFonts w:hint="eastAsia" w:ascii="宋体"/>
              </w:rPr>
              <w:t>10</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预算支出实际完成时间与计划完成时间的比较，用以反映和考核预算支出产出时效目标的实现程度。</w:t>
            </w: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实际完成时间：预算支出实施单位完成该预算支出实际所耗用的时间。</w:t>
            </w:r>
            <w:r>
              <w:rPr>
                <w:rFonts w:hint="eastAsia" w:ascii="宋体"/>
              </w:rPr>
              <w:br w:type="textWrapping"/>
            </w:r>
            <w:r>
              <w:rPr>
                <w:rFonts w:hint="eastAsia" w:ascii="宋体" w:hAnsi="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45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rPr>
            </w:pPr>
            <w:r>
              <w:rPr>
                <w:rFonts w:hint="eastAsia" w:ascii="宋体" w:hAnsi="宋体"/>
              </w:rPr>
              <w:t>产出</w:t>
            </w:r>
          </w:p>
          <w:p>
            <w:pPr>
              <w:spacing w:line="240" w:lineRule="exact"/>
              <w:jc w:val="center"/>
              <w:rPr>
                <w:rFonts w:ascii="宋体"/>
              </w:rPr>
            </w:pPr>
            <w:r>
              <w:rPr>
                <w:rFonts w:hint="eastAsia" w:ascii="宋体" w:hAnsi="宋体"/>
              </w:rPr>
              <w:t>成本（10分）</w:t>
            </w: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rPr>
              <w:t>成本</w:t>
            </w:r>
          </w:p>
          <w:p>
            <w:pPr>
              <w:spacing w:line="240" w:lineRule="exact"/>
              <w:ind w:left="105" w:leftChars="50" w:right="105" w:rightChars="50"/>
              <w:jc w:val="center"/>
              <w:rPr>
                <w:rFonts w:ascii="宋体"/>
              </w:rPr>
            </w:pPr>
            <w:r>
              <w:rPr>
                <w:rFonts w:hint="eastAsia" w:ascii="宋体" w:hAnsi="宋体"/>
              </w:rPr>
              <w:t>节约率（10分）</w:t>
            </w:r>
          </w:p>
        </w:tc>
        <w:tc>
          <w:tcPr>
            <w:tcW w:w="540" w:type="dxa"/>
            <w:tcBorders>
              <w:top w:val="single" w:color="auto" w:sz="4" w:space="0"/>
              <w:left w:val="nil"/>
              <w:bottom w:val="single" w:color="auto" w:sz="4" w:space="0"/>
              <w:right w:val="single" w:color="auto" w:sz="4" w:space="0"/>
            </w:tcBorders>
          </w:tcPr>
          <w:p>
            <w:pPr>
              <w:spacing w:line="240" w:lineRule="exact"/>
              <w:ind w:left="105" w:leftChars="50" w:right="105" w:rightChars="50"/>
              <w:rPr>
                <w:rFonts w:ascii="宋体" w:eastAsia="宋体"/>
              </w:rPr>
            </w:pPr>
            <w:r>
              <w:rPr>
                <w:rFonts w:hint="eastAsia" w:ascii="宋体"/>
              </w:rPr>
              <w:t>10</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完成预算支出计划工作目标的实际节约成本与计划成本的比率，用以反映和考核预算支出的成本节约程度。</w:t>
            </w: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成本节约率=[（计划成本</w:t>
            </w:r>
            <w:r>
              <w:rPr>
                <w:rFonts w:hint="eastAsia" w:ascii="宋体"/>
              </w:rPr>
              <w:t>-</w:t>
            </w:r>
            <w:r>
              <w:rPr>
                <w:rFonts w:hint="eastAsia" w:ascii="宋体" w:hAnsi="宋体"/>
              </w:rPr>
              <w:t>实际成本）/计划成本]×100%。</w:t>
            </w:r>
            <w:r>
              <w:rPr>
                <w:rFonts w:hint="eastAsia" w:ascii="宋体"/>
              </w:rPr>
              <w:br w:type="textWrapping"/>
            </w:r>
            <w:r>
              <w:rPr>
                <w:rFonts w:hint="eastAsia" w:ascii="宋体" w:hAnsi="宋体"/>
              </w:rPr>
              <w:t>实际成本：预算支出实施单位如期、保质、保量完成既定工作目标实际所耗费的支出。</w:t>
            </w:r>
            <w:r>
              <w:rPr>
                <w:rFonts w:hint="eastAsia" w:ascii="宋体"/>
              </w:rPr>
              <w:br w:type="textWrapping"/>
            </w:r>
            <w:r>
              <w:rPr>
                <w:rFonts w:hint="eastAsia" w:ascii="宋体" w:hAnsi="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rPr>
            </w:pPr>
            <w:r>
              <w:rPr>
                <w:rFonts w:hint="eastAsia" w:ascii="宋体" w:hAnsi="宋体"/>
              </w:rPr>
              <w:t>效   益（20分）</w:t>
            </w:r>
          </w:p>
        </w:tc>
        <w:tc>
          <w:tcPr>
            <w:tcW w:w="454"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rPr>
            </w:pPr>
            <w:r>
              <w:rPr>
                <w:rFonts w:hint="eastAsia" w:ascii="宋体" w:hAnsi="宋体"/>
              </w:rPr>
              <w:t>预算支出</w:t>
            </w:r>
            <w:r>
              <w:rPr>
                <w:rFonts w:hint="eastAsia" w:ascii="宋体"/>
              </w:rPr>
              <w:br w:type="textWrapping"/>
            </w:r>
            <w:r>
              <w:rPr>
                <w:rFonts w:hint="eastAsia" w:ascii="宋体" w:hAnsi="宋体"/>
              </w:rPr>
              <w:t>效益（20分）</w:t>
            </w: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rPr>
              <w:t>实施效益（10分）</w:t>
            </w:r>
          </w:p>
        </w:tc>
        <w:tc>
          <w:tcPr>
            <w:tcW w:w="540" w:type="dxa"/>
            <w:tcBorders>
              <w:top w:val="single" w:color="auto" w:sz="4" w:space="0"/>
              <w:left w:val="nil"/>
              <w:bottom w:val="single" w:color="auto" w:sz="4" w:space="0"/>
              <w:right w:val="single" w:color="auto" w:sz="4" w:space="0"/>
            </w:tcBorders>
          </w:tcPr>
          <w:p>
            <w:pPr>
              <w:spacing w:line="240" w:lineRule="exact"/>
              <w:ind w:left="105" w:leftChars="50" w:right="105" w:rightChars="50"/>
              <w:rPr>
                <w:rFonts w:ascii="宋体" w:eastAsia="宋体"/>
              </w:rPr>
            </w:pPr>
            <w:r>
              <w:rPr>
                <w:rFonts w:hint="eastAsia" w:ascii="宋体"/>
              </w:rPr>
              <w:t>10</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预算支出实施所产生的效益。</w:t>
            </w: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454" w:type="dxa"/>
            <w:vMerge w:val="continue"/>
            <w:tcBorders>
              <w:top w:val="nil"/>
              <w:left w:val="nil"/>
              <w:bottom w:val="single" w:color="auto" w:sz="4" w:space="0"/>
              <w:right w:val="single" w:color="auto" w:sz="4" w:space="0"/>
            </w:tcBorders>
            <w:vAlign w:val="center"/>
          </w:tcPr>
          <w:p>
            <w:pPr>
              <w:widowControl/>
              <w:jc w:val="left"/>
              <w:rPr>
                <w:rFonts w:ascii="宋体"/>
              </w:rPr>
            </w:pP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rPr>
              <w:t>社会公众</w:t>
            </w:r>
          </w:p>
          <w:p>
            <w:pPr>
              <w:spacing w:line="240" w:lineRule="exact"/>
              <w:ind w:left="105" w:leftChars="50" w:right="105" w:rightChars="50"/>
              <w:jc w:val="center"/>
              <w:rPr>
                <w:rFonts w:ascii="宋体"/>
              </w:rPr>
            </w:pPr>
            <w:r>
              <w:rPr>
                <w:rFonts w:hint="eastAsia" w:ascii="宋体" w:hAnsi="宋体"/>
              </w:rPr>
              <w:t>或服务（10分）对</w:t>
            </w:r>
          </w:p>
          <w:p>
            <w:pPr>
              <w:spacing w:line="240" w:lineRule="exact"/>
              <w:ind w:left="105" w:leftChars="50" w:right="105" w:rightChars="50"/>
              <w:jc w:val="center"/>
              <w:rPr>
                <w:rFonts w:ascii="宋体"/>
              </w:rPr>
            </w:pPr>
            <w:r>
              <w:rPr>
                <w:rFonts w:hint="eastAsia" w:ascii="宋体" w:hAnsi="宋体"/>
              </w:rPr>
              <w:t>象满意度</w:t>
            </w:r>
          </w:p>
        </w:tc>
        <w:tc>
          <w:tcPr>
            <w:tcW w:w="540" w:type="dxa"/>
            <w:tcBorders>
              <w:top w:val="single" w:color="auto" w:sz="4" w:space="0"/>
              <w:left w:val="nil"/>
              <w:bottom w:val="single" w:color="auto" w:sz="4" w:space="0"/>
              <w:right w:val="single" w:color="auto" w:sz="4" w:space="0"/>
            </w:tcBorders>
          </w:tcPr>
          <w:p>
            <w:pPr>
              <w:spacing w:line="240" w:lineRule="exact"/>
              <w:ind w:left="105" w:leftChars="50" w:right="105" w:rightChars="50"/>
              <w:rPr>
                <w:rFonts w:ascii="宋体" w:eastAsia="宋体"/>
              </w:rPr>
            </w:pPr>
            <w:r>
              <w:rPr>
                <w:rFonts w:hint="eastAsia" w:ascii="宋体"/>
              </w:rPr>
              <w:t>10</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社会公众或服务对象对预算支出实施效果的满意程度。</w:t>
            </w: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rPr>
            </w:pPr>
            <w:r>
              <w:rPr>
                <w:rFonts w:hint="eastAsia" w:ascii="宋体" w:hAnsi="宋体"/>
              </w:rPr>
              <w:t>总分</w:t>
            </w:r>
          </w:p>
        </w:tc>
        <w:tc>
          <w:tcPr>
            <w:tcW w:w="454" w:type="dxa"/>
            <w:tcBorders>
              <w:top w:val="single" w:color="auto" w:sz="4" w:space="0"/>
              <w:left w:val="nil"/>
              <w:bottom w:val="single" w:color="auto" w:sz="4" w:space="0"/>
              <w:right w:val="single" w:color="auto" w:sz="4" w:space="0"/>
            </w:tcBorders>
            <w:vAlign w:val="center"/>
          </w:tcPr>
          <w:p>
            <w:pPr>
              <w:spacing w:line="240" w:lineRule="exact"/>
              <w:rPr>
                <w:rFonts w:ascii="宋体"/>
              </w:rPr>
            </w:pP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540" w:type="dxa"/>
            <w:tcBorders>
              <w:top w:val="single" w:color="auto" w:sz="4" w:space="0"/>
              <w:left w:val="nil"/>
              <w:bottom w:val="single" w:color="auto" w:sz="4" w:space="0"/>
              <w:right w:val="single" w:color="auto" w:sz="4" w:space="0"/>
            </w:tcBorders>
          </w:tcPr>
          <w:p>
            <w:pPr>
              <w:spacing w:line="240" w:lineRule="exact"/>
              <w:ind w:left="105" w:leftChars="50" w:right="105" w:rightChars="50"/>
              <w:rPr>
                <w:rFonts w:ascii="宋体" w:eastAsia="宋体"/>
              </w:rPr>
            </w:pPr>
            <w:r>
              <w:rPr>
                <w:rFonts w:hint="eastAsia" w:ascii="宋体"/>
              </w:rPr>
              <w:t>100</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E954E8"/>
    <w:multiLevelType w:val="singleLevel"/>
    <w:tmpl w:val="2BE954E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7158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rPr>
      <w:rFonts w:ascii="Calibri" w:hAnsi="Calibri" w:eastAsia="宋体" w:cs="Times New Roman"/>
    </w:rPr>
  </w:style>
  <w:style w:type="paragraph" w:styleId="3">
    <w:name w:val="Body Text"/>
    <w:basedOn w:val="1"/>
    <w:next w:val="4"/>
    <w:qFormat/>
    <w:uiPriority w:val="0"/>
  </w:style>
  <w:style w:type="paragraph" w:styleId="4">
    <w:name w:val="toc 5"/>
    <w:basedOn w:val="1"/>
    <w:next w:val="1"/>
    <w:qFormat/>
    <w:uiPriority w:val="0"/>
    <w:pPr>
      <w:ind w:left="1680" w:leftChars="800"/>
    </w:pPr>
    <w:rPr>
      <w:rFonts w:ascii="Times New Roman" w:hAnsi="Times New Roman"/>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2023-06-20T09:23:00Z</dcterms:created>
  <dc:creator>admin-3</dc:creator>
  <cp:lastModifiedBy>admin-3</cp:lastModifiedBy>
  <dcterms:modified xsi:type="dcterms:W3CDTF">2023-06-20T09:24:40Z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54E0888CC6074F088324589CC3E0F06F_12</vt:lpwstr>
  </property>
</Properties>
</file>