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40" w:lineRule="exact"/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</w:pPr>
    </w:p>
    <w:p>
      <w:pPr>
        <w:spacing w:beforeLines="0" w:afterLines="0" w:line="640" w:lineRule="exact"/>
        <w:jc w:val="both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</w:pPr>
      <w:bookmarkStart w:id="4" w:name="_GoBack"/>
      <w:bookmarkEnd w:id="4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益阳市赫山区畜牧水产事务中心2021年度禁捕退捕</w:t>
      </w:r>
    </w:p>
    <w:p>
      <w:pPr>
        <w:spacing w:beforeLines="0" w:afterLines="0" w:line="640" w:lineRule="exact"/>
        <w:ind w:firstLine="680"/>
        <w:jc w:val="center"/>
        <w:rPr>
          <w:rFonts w:hint="eastAsia" w:ascii="黑体" w:hAnsi="黑体" w:eastAsia="黑体" w:cs="黑体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资金项目支出绩效评价报告</w:t>
      </w:r>
    </w:p>
    <w:p>
      <w:pPr>
        <w:numPr>
          <w:ilvl w:val="0"/>
          <w:numId w:val="1"/>
        </w:numPr>
        <w:spacing w:beforeLines="0" w:afterLines="0" w:line="600" w:lineRule="exact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项目概况</w:t>
      </w:r>
    </w:p>
    <w:p>
      <w:pPr>
        <w:spacing w:beforeLines="0" w:afterLines="0" w:line="60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 项目基本情况</w:t>
      </w:r>
    </w:p>
    <w:p>
      <w:pPr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湘财预[2020]412号《湖南省财政厅关于下达长江禁捕退捕结算资金及直达资金的通知》与湘财预[2020]254号《湖南省财政厅关于2021年中央长江禁捕退捕补助资金的通知》文件精神，下达长江禁捕退捕资金1261万元，主要用于禁捕退捕工作经费545.0088万元；乡镇部门工作经费 319 万元；智慧渔政建设项目458.39万元。各项费用合计 1322.3988 万元。</w:t>
      </w:r>
    </w:p>
    <w:p>
      <w:pPr>
        <w:autoSpaceDE w:val="0"/>
        <w:autoSpaceDN w:val="0"/>
        <w:spacing w:beforeLines="0" w:afterLines="0" w:line="60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（二）项目绩效目标</w:t>
      </w:r>
    </w:p>
    <w:p>
      <w:pPr>
        <w:autoSpaceDE w:val="0"/>
        <w:autoSpaceDN w:val="0"/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开展赫山区重点水域禁捕执法工作，添置渔政执法装备，各乡镇街道、各禁捕退捕相关部门工作经费，进行智慧渔政建设项目，完善了退捕工作、严厉打击了各类渔业违法行为、渔区社会稳定</w:t>
      </w:r>
      <w:r>
        <w:rPr>
          <w:rFonts w:hint="eastAsia" w:ascii="仿宋" w:hAnsi="仿宋" w:eastAsia="仿宋" w:cs="仿宋"/>
          <w:kern w:val="0"/>
          <w:sz w:val="30"/>
          <w:szCs w:val="30"/>
        </w:rPr>
        <w:t>。获得了广大群众的一致好评。</w:t>
      </w:r>
    </w:p>
    <w:p>
      <w:pPr>
        <w:autoSpaceDE w:val="0"/>
        <w:autoSpaceDN w:val="0"/>
        <w:spacing w:beforeLines="0" w:afterLines="0" w:line="600" w:lineRule="exact"/>
        <w:ind w:firstLine="602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二、项目资金使用及管理</w:t>
      </w:r>
    </w:p>
    <w:p>
      <w:pPr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项目资金总额。资金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用于</w:t>
      </w:r>
      <w:r>
        <w:rPr>
          <w:rFonts w:hint="eastAsia" w:ascii="仿宋" w:hAnsi="仿宋" w:eastAsia="仿宋" w:cs="仿宋"/>
          <w:sz w:val="30"/>
          <w:szCs w:val="30"/>
        </w:rPr>
        <w:t>每天安排执法力量通过执法船艇、执法车维护保养、在益阳资江河段黄颡鱼国家水产种质资源保护区范围内进行巡查、拆除违法养殖设施和打击违法捕捞行为等执法经费545.0088万元；用于各乡镇街道、相关业务部门工作经费319 万元；用于智慧渔政建设项目458.39万元。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项目资金管理。由区畜牧水产事务中心项目管理质素明确规定，项目资金实行区级管理原则，由区财政局统一管理，专款专用、公开透明。区畜牧水产事务中心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组织专业、财务人员对项目单位票据开展自查，资金结算严格按照“一核查、两对照、三签字”程序开展，审核确定后，由财政部门审核报帐，项目资金直接拨付建设单位。</w:t>
      </w:r>
    </w:p>
    <w:p>
      <w:pPr>
        <w:autoSpaceDE w:val="0"/>
        <w:autoSpaceDN w:val="0"/>
        <w:spacing w:beforeLines="0" w:afterLines="0" w:line="600" w:lineRule="exact"/>
        <w:ind w:firstLine="602" w:firstLineChars="200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三、项目绩效情况</w:t>
      </w:r>
    </w:p>
    <w:p>
      <w:pPr>
        <w:spacing w:beforeLines="0" w:afterLines="0" w:line="600" w:lineRule="exact"/>
        <w:ind w:firstLine="602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（一）项目完成情况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 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.按照相关法律、文件规定，认真组织开展渔政执法行动，在资江、志溪河、兰溪哑河、新河、镜明河及东湖、鹿角湖、北坪湖水域及其他各类天然水域打南电、毒、炸鱼及利用网箱、迷魂阵、矮围等各种违规渔具进行非法捕捞的行为。每天安排执法力量通过执法船艇、执法车在益阳资江河禁捕水域内进行巡查。2021年</w:t>
      </w:r>
      <w:r>
        <w:rPr>
          <w:rFonts w:hint="eastAsia" w:ascii="仿宋" w:hAnsi="仿宋" w:eastAsia="仿宋" w:cs="仿宋"/>
          <w:sz w:val="30"/>
          <w:szCs w:val="30"/>
        </w:rPr>
        <w:t>共执法巡逻20711人次，出动执法船艇3738艘次，水上巡查里程95350公里，保障了资江禁渔水域中无一条生产作业船；打造渔政执法快艇一艘，5月份交付使用，支付资金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12 万元。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2.根据赫山区禁捕办2021年第一次会商会决议，向乡镇街道及业务部门拨付禁捕工作经费319 万元，已完成拨付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</w:p>
    <w:p>
      <w:pPr>
        <w:spacing w:beforeLines="0" w:afterLines="0" w:line="60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3.启动智慧渔政建设项目，兰溪镇、八字哨镇、赫山街道、金银山街道、桃花仑街道、会龙山街道、泉交河镇、新市渡镇、龙光桥街道等乡镇及街道的资水和志溪河流域新建监控站点25个（其中6个共享铁塔资源建设，新建低位杆19个），具体包括高清监控摄像头25个、指挥调度中心1个、视频会议系统1套、单兵执法设备8套、手持终端15台、渔政趸船改造1艘。3月进入招投标程序，4月底订立施工合同，进场施工，6月底交付使用。</w:t>
      </w:r>
    </w:p>
    <w:p>
      <w:pPr>
        <w:spacing w:beforeLines="0" w:afterLines="0" w:line="600" w:lineRule="exact"/>
        <w:ind w:firstLine="602" w:firstLineChars="200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（二）项目实施成效</w:t>
      </w:r>
    </w:p>
    <w:p>
      <w:pPr>
        <w:autoSpaceDE w:val="0"/>
        <w:autoSpaceDN w:val="0"/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维护了全区禁捕水域禁捕秩序，保障了退捕渔民各项权益，获得了广大群众的一致好评。</w:t>
      </w:r>
    </w:p>
    <w:p>
      <w:pPr>
        <w:autoSpaceDE w:val="0"/>
        <w:autoSpaceDN w:val="0"/>
        <w:spacing w:beforeLines="0" w:afterLines="0" w:line="60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附件：2021年中央长江禁捕退捕补助资金项目绩效目标自评表</w:t>
      </w:r>
    </w:p>
    <w:p>
      <w:pPr>
        <w:spacing w:beforeLines="0" w:afterLines="0" w:line="480" w:lineRule="atLeast"/>
        <w:rPr>
          <w:rFonts w:hint="eastAsia" w:ascii="黑体" w:hAnsi="黑体" w:eastAsia="黑体" w:cs="Tahoma"/>
          <w:kern w:val="0"/>
          <w:sz w:val="32"/>
          <w:szCs w:val="32"/>
        </w:rPr>
      </w:pPr>
    </w:p>
    <w:p>
      <w:pPr>
        <w:spacing w:beforeLines="0" w:afterLines="0" w:line="480" w:lineRule="atLeast"/>
        <w:rPr>
          <w:rFonts w:hint="eastAsia" w:ascii="黑体" w:hAnsi="黑体" w:eastAsia="黑体" w:cs="Tahoma"/>
          <w:kern w:val="0"/>
          <w:sz w:val="32"/>
          <w:szCs w:val="32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2021年中央长江禁捕退捕补助资金项目绩效目标自评表</w:t>
      </w:r>
    </w:p>
    <w:p>
      <w:pPr>
        <w:spacing w:beforeLines="0" w:afterLines="0" w:line="600" w:lineRule="exact"/>
        <w:jc w:val="center"/>
        <w:textAlignment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（ 2021年度）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390"/>
        <w:gridCol w:w="1109"/>
        <w:gridCol w:w="1372"/>
        <w:gridCol w:w="815"/>
        <w:gridCol w:w="1019"/>
        <w:gridCol w:w="1081"/>
        <w:gridCol w:w="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839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转移支付（项目）名称</w:t>
            </w:r>
          </w:p>
        </w:tc>
        <w:tc>
          <w:tcPr>
            <w:tcW w:w="316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2021年中央长江禁捕退捕补助资金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839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中央主管部门</w:t>
            </w:r>
          </w:p>
        </w:tc>
        <w:tc>
          <w:tcPr>
            <w:tcW w:w="316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839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地方主管部门</w:t>
            </w: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资金使用单位</w:t>
            </w:r>
          </w:p>
        </w:tc>
        <w:tc>
          <w:tcPr>
            <w:tcW w:w="123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赫山区禁捕办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839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资金情况 （万元）</w:t>
            </w: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全年预算数</w:t>
            </w:r>
            <w:r>
              <w:rPr>
                <w:rFonts w:hint="eastAsia" w:ascii="宋体" w:hAnsi="宋体" w:cs="宋体"/>
                <w:sz w:val="12"/>
                <w:szCs w:val="12"/>
                <w:lang w:bidi="ar"/>
              </w:rPr>
              <w:t>（</w:t>
            </w:r>
            <w:r>
              <w:rPr>
                <w:rStyle w:val="6"/>
                <w:rFonts w:hint="default" w:hAnsi="Arial" w:eastAsia="MingLiU" w:cs="Arial"/>
                <w:sz w:val="12"/>
                <w:szCs w:val="12"/>
                <w:lang w:bidi="ar"/>
              </w:rPr>
              <w:t>A</w:t>
            </w:r>
            <w:r>
              <w:rPr>
                <w:rStyle w:val="6"/>
                <w:rFonts w:hint="eastAsia" w:hAnsi="Arial" w:eastAsia="MingLiU" w:cs="Arial"/>
                <w:sz w:val="12"/>
                <w:szCs w:val="12"/>
                <w:lang w:bidi="ar"/>
              </w:rPr>
              <w:t>）</w:t>
            </w:r>
          </w:p>
        </w:tc>
        <w:tc>
          <w:tcPr>
            <w:tcW w:w="12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全年执行数</w:t>
            </w:r>
            <w:r>
              <w:rPr>
                <w:rFonts w:hint="eastAsia" w:ascii="宋体" w:hAnsi="宋体" w:cs="宋体"/>
                <w:sz w:val="12"/>
                <w:szCs w:val="12"/>
                <w:lang w:bidi="ar"/>
              </w:rPr>
              <w:t>（</w:t>
            </w:r>
            <w:r>
              <w:rPr>
                <w:rStyle w:val="6"/>
                <w:rFonts w:hint="default" w:hAnsi="Arial" w:eastAsia="MingLiU" w:cs="Arial"/>
                <w:sz w:val="12"/>
                <w:szCs w:val="12"/>
                <w:lang w:bidi="ar"/>
              </w:rPr>
              <w:t>B</w:t>
            </w:r>
            <w:r>
              <w:rPr>
                <w:rStyle w:val="6"/>
                <w:rFonts w:hint="eastAsia" w:hAnsi="Arial" w:eastAsia="MingLiU" w:cs="Arial"/>
                <w:sz w:val="12"/>
                <w:szCs w:val="12"/>
                <w:lang w:bidi="ar"/>
              </w:rPr>
              <w:t>）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预算执行率</w:t>
            </w:r>
            <w:r>
              <w:rPr>
                <w:rFonts w:hint="eastAsia" w:ascii="宋体" w:hAnsi="宋体" w:cs="宋体"/>
                <w:sz w:val="12"/>
                <w:szCs w:val="12"/>
                <w:lang w:bidi="ar"/>
              </w:rPr>
              <w:t>（</w:t>
            </w:r>
            <w:r>
              <w:rPr>
                <w:rStyle w:val="6"/>
                <w:rFonts w:hint="default" w:hAnsi="Arial" w:eastAsia="MingLiU" w:cs="Arial"/>
                <w:sz w:val="12"/>
                <w:szCs w:val="12"/>
                <w:lang w:bidi="ar"/>
              </w:rPr>
              <w:t>B/A</w:t>
            </w:r>
            <w:r>
              <w:rPr>
                <w:rStyle w:val="6"/>
                <w:rFonts w:hint="eastAsia" w:hAnsi="Arial" w:eastAsia="MingLiU" w:cs="Arial"/>
                <w:sz w:val="12"/>
                <w:szCs w:val="12"/>
                <w:lang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83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年度资金总额：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1261</w:t>
            </w:r>
          </w:p>
        </w:tc>
        <w:tc>
          <w:tcPr>
            <w:tcW w:w="12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1261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100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83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其中：中央财政资金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1261</w:t>
            </w:r>
          </w:p>
        </w:tc>
        <w:tc>
          <w:tcPr>
            <w:tcW w:w="12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83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ind w:firstLine="880" w:firstLineChars="400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地方资金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83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8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ind w:firstLine="880" w:firstLineChars="400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其他资金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2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textAlignment w:val="bottom"/>
              <w:rPr>
                <w:rFonts w:hint="eastAsia" w:ascii="MingLiU" w:hAnsi="MingLiU" w:eastAsia="MingLiU" w:cs="MingLiU"/>
                <w:sz w:val="20"/>
                <w:szCs w:val="20"/>
              </w:rPr>
            </w:pPr>
            <w:r>
              <w:rPr>
                <w:rFonts w:hint="eastAsia" w:ascii="MingLiU" w:hAnsi="MingLiU" w:eastAsia="MingLiU" w:cs="MingLiU"/>
                <w:sz w:val="20"/>
                <w:szCs w:val="20"/>
                <w:lang w:bidi="ar"/>
              </w:rPr>
              <w:t>体标成况 总目完惜</w:t>
            </w:r>
          </w:p>
        </w:tc>
        <w:tc>
          <w:tcPr>
            <w:tcW w:w="281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总体目标</w:t>
            </w:r>
          </w:p>
        </w:tc>
        <w:tc>
          <w:tcPr>
            <w:tcW w:w="1847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全年.实际完成情况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281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47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  <w:r>
              <w:rPr>
                <w:rFonts w:hint="eastAsia" w:ascii="MingLiU" w:hAnsi="MingLiU" w:eastAsia="MingLiU" w:cs="MingLiU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8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right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一级 指标</w:t>
            </w:r>
          </w:p>
        </w:tc>
        <w:tc>
          <w:tcPr>
            <w:tcW w:w="6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三级指标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指标值</w:t>
            </w: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textAlignment w:val="bottom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全年实际完 成值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textAlignment w:val="bottom"/>
              <w:rPr>
                <w:rFonts w:hint="eastAsia" w:ascii="MingLiU" w:hAnsi="MingLiU" w:eastAsia="MingLiU" w:cs="MingLiU"/>
                <w:sz w:val="20"/>
                <w:szCs w:val="20"/>
              </w:rPr>
            </w:pPr>
            <w:r>
              <w:rPr>
                <w:rFonts w:hint="eastAsia" w:ascii="MingLiU" w:hAnsi="MingLiU" w:eastAsia="MingLiU" w:cs="MingLiU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6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数</w:t>
            </w:r>
            <w:r>
              <w:rPr>
                <w:rFonts w:hint="eastAsia" w:ascii="MingLiU" w:hAnsi="MingLiU" w:cs="MingLiU"/>
                <w:sz w:val="22"/>
                <w:szCs w:val="22"/>
                <w:lang w:bidi="ar"/>
              </w:rPr>
              <w:t>量</w:t>
            </w: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指标</w:t>
            </w: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default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：出动执法人员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15000</w:t>
            </w:r>
            <w:r>
              <w:rPr>
                <w:rFonts w:hint="eastAsia"/>
                <w:sz w:val="20"/>
                <w:szCs w:val="20"/>
              </w:rPr>
              <w:t>人次</w:t>
            </w: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20711</w:t>
            </w:r>
            <w:r>
              <w:rPr>
                <w:rFonts w:hint="eastAsia"/>
                <w:sz w:val="20"/>
                <w:szCs w:val="20"/>
              </w:rPr>
              <w:t>人次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default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：出动执法船艇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3000</w:t>
            </w:r>
            <w:r>
              <w:rPr>
                <w:rFonts w:hint="eastAsia"/>
                <w:sz w:val="20"/>
                <w:szCs w:val="20"/>
              </w:rPr>
              <w:t>艘次</w:t>
            </w: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3738</w:t>
            </w:r>
            <w:r>
              <w:rPr>
                <w:rFonts w:hint="eastAsia"/>
                <w:sz w:val="20"/>
                <w:szCs w:val="20"/>
              </w:rPr>
              <w:t>艘次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default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：水上巡查里程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70000</w:t>
            </w:r>
            <w:r>
              <w:rPr>
                <w:rFonts w:hint="eastAsia"/>
                <w:sz w:val="20"/>
                <w:szCs w:val="20"/>
              </w:rPr>
              <w:t>公里</w:t>
            </w: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95350</w:t>
            </w:r>
            <w:r>
              <w:rPr>
                <w:rFonts w:hint="eastAsia"/>
                <w:sz w:val="20"/>
                <w:szCs w:val="20"/>
              </w:rPr>
              <w:t>公里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质量指标</w:t>
            </w: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时效指标</w:t>
            </w: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default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：全天</w:t>
            </w:r>
            <w:r>
              <w:rPr>
                <w:rFonts w:hint="default"/>
                <w:sz w:val="20"/>
                <w:szCs w:val="20"/>
              </w:rPr>
              <w:t>24</w:t>
            </w:r>
            <w:r>
              <w:rPr>
                <w:rFonts w:hint="eastAsia"/>
                <w:sz w:val="20"/>
                <w:szCs w:val="20"/>
              </w:rPr>
              <w:t>小时值守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全天</w:t>
            </w:r>
            <w:r>
              <w:rPr>
                <w:rFonts w:hint="default"/>
                <w:sz w:val="20"/>
                <w:szCs w:val="20"/>
              </w:rPr>
              <w:t>24</w:t>
            </w:r>
            <w:r>
              <w:rPr>
                <w:rFonts w:hint="eastAsia"/>
                <w:sz w:val="20"/>
                <w:szCs w:val="20"/>
              </w:rPr>
              <w:t>小时值守</w:t>
            </w: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全天</w:t>
            </w:r>
            <w:r>
              <w:rPr>
                <w:rFonts w:hint="default"/>
                <w:sz w:val="20"/>
                <w:szCs w:val="20"/>
              </w:rPr>
              <w:t>24</w:t>
            </w:r>
            <w:r>
              <w:rPr>
                <w:rFonts w:hint="eastAsia"/>
                <w:sz w:val="20"/>
                <w:szCs w:val="20"/>
              </w:rPr>
              <w:t>小时值守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成本指标</w:t>
            </w: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textAlignment w:val="top"/>
              <w:rPr>
                <w:rFonts w:hint="eastAsia" w:ascii="MingLiU" w:hAnsi="MingLiU" w:eastAsia="MingLiU" w:cs="MingLiU"/>
                <w:sz w:val="20"/>
                <w:szCs w:val="20"/>
              </w:rPr>
            </w:pPr>
            <w:r>
              <w:rPr>
                <w:rFonts w:hint="eastAsia" w:ascii="MingLiU" w:hAnsi="MingLiU" w:eastAsia="MingLiU" w:cs="MingLiU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6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经济效益 指标</w:t>
            </w: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社会效益 指标</w:t>
            </w: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default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：无重大违法捕捞事件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全天无重大违法捕捞事件</w:t>
            </w: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全天无重大违法捕捞事件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生态效益 指标</w:t>
            </w: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可持续影响 指标</w:t>
            </w: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满意 度指 标</w:t>
            </w:r>
          </w:p>
        </w:tc>
        <w:tc>
          <w:tcPr>
            <w:tcW w:w="66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服务对象 满意度指标</w:t>
            </w: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指标</w:t>
            </w:r>
            <w:r>
              <w:rPr>
                <w:rFonts w:hint="default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：满意度百分比</w:t>
            </w: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90%</w:t>
            </w: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100%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66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0"/>
                <w:szCs w:val="20"/>
              </w:rPr>
            </w:pPr>
          </w:p>
        </w:tc>
        <w:tc>
          <w:tcPr>
            <w:tcW w:w="83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MingLiU" w:hAnsi="MingLiU" w:eastAsia="MingLiU" w:cs="MingLiU"/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0"/>
                <w:szCs w:val="20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textAlignment w:val="top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说明</w:t>
            </w:r>
          </w:p>
        </w:tc>
        <w:tc>
          <w:tcPr>
            <w:tcW w:w="4659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beforeLines="0" w:afterLines="0"/>
              <w:textAlignment w:val="top"/>
              <w:rPr>
                <w:rFonts w:hint="eastAsia" w:ascii="MingLiU" w:hAnsi="MingLiU" w:eastAsia="MingLiU" w:cs="MingLiU"/>
                <w:sz w:val="22"/>
                <w:szCs w:val="22"/>
              </w:rPr>
            </w:pPr>
            <w:r>
              <w:rPr>
                <w:rFonts w:hint="eastAsia" w:ascii="MingLiU" w:hAnsi="MingLiU" w:eastAsia="MingLiU" w:cs="MingLiU"/>
                <w:sz w:val="22"/>
                <w:szCs w:val="22"/>
                <w:lang w:bidi="ar"/>
              </w:rPr>
              <w:t>请在此处简要说明中央巡视、各级审计和财政监督中发现的问题及其所涉及的金额，如没有请填无。</w:t>
            </w:r>
          </w:p>
        </w:tc>
      </w:tr>
    </w:tbl>
    <w:p>
      <w:pPr>
        <w:pStyle w:val="7"/>
        <w:spacing w:beforeLines="0" w:afterLines="0" w:line="320" w:lineRule="exact"/>
        <w:ind w:firstLine="0"/>
        <w:rPr>
          <w:rFonts w:hint="eastAsia" w:ascii="MingLiU" w:hAnsi="MingLiU" w:eastAsia="MingLiU" w:cs="MingLiU"/>
          <w:sz w:val="22"/>
          <w:szCs w:val="22"/>
          <w:lang w:val="en-US" w:eastAsia="zh-CN" w:bidi="ar"/>
        </w:rPr>
      </w:pPr>
      <w:r>
        <w:rPr>
          <w:rFonts w:hint="eastAsia" w:ascii="MingLiU" w:hAnsi="MingLiU" w:eastAsia="MingLiU" w:cs="MingLiU"/>
          <w:sz w:val="22"/>
          <w:szCs w:val="22"/>
          <w:lang w:val="en-US" w:eastAsia="zh-CN" w:bidi="ar"/>
        </w:rPr>
        <w:t>注：1.资金使用单位按项目绩效目标填报，主管部门汇总时按区域绩效目标填报。</w:t>
      </w:r>
    </w:p>
    <w:p>
      <w:pPr>
        <w:pStyle w:val="7"/>
        <w:spacing w:beforeLines="0" w:afterLines="0" w:line="320" w:lineRule="exact"/>
        <w:ind w:firstLine="440" w:firstLineChars="200"/>
        <w:rPr>
          <w:rFonts w:hint="eastAsia" w:ascii="MingLiU" w:hAnsi="MingLiU" w:eastAsia="MingLiU" w:cs="MingLiU"/>
          <w:sz w:val="22"/>
          <w:szCs w:val="22"/>
          <w:lang w:val="en-US" w:eastAsia="zh-CN" w:bidi="ar"/>
        </w:rPr>
      </w:pPr>
      <w:bookmarkStart w:id="0" w:name="bookmark6"/>
      <w:bookmarkEnd w:id="0"/>
      <w:r>
        <w:rPr>
          <w:rFonts w:hint="eastAsia" w:ascii="MingLiU" w:hAnsi="MingLiU" w:eastAsia="MingLiU" w:cs="MingLiU"/>
          <w:sz w:val="22"/>
          <w:szCs w:val="22"/>
          <w:lang w:bidi="ar"/>
        </w:rPr>
        <w:t>2.</w:t>
      </w:r>
      <w:r>
        <w:rPr>
          <w:rFonts w:hint="eastAsia" w:ascii="MingLiU" w:hAnsi="MingLiU" w:eastAsia="MingLiU" w:cs="MingLiU"/>
          <w:sz w:val="22"/>
          <w:szCs w:val="22"/>
          <w:lang w:val="en-US" w:eastAsia="zh-CN" w:bidi="ar"/>
        </w:rPr>
        <w:t>其他资金包括与中央财政资金、地方财政资金共同投入到同一项目的自有资金、社会资金，以及以前年度的结 转结余资金等。</w:t>
      </w:r>
    </w:p>
    <w:p>
      <w:pPr>
        <w:pStyle w:val="7"/>
        <w:spacing w:beforeLines="0" w:afterLines="0" w:line="320" w:lineRule="exact"/>
        <w:ind w:firstLine="440" w:firstLineChars="200"/>
        <w:rPr>
          <w:rFonts w:hint="eastAsia" w:ascii="MingLiU" w:hAnsi="MingLiU" w:eastAsia="MingLiU" w:cs="MingLiU"/>
          <w:sz w:val="22"/>
          <w:szCs w:val="22"/>
          <w:lang w:val="en-US" w:eastAsia="zh-CN" w:bidi="ar"/>
        </w:rPr>
      </w:pPr>
      <w:bookmarkStart w:id="1" w:name="bookmark7"/>
      <w:bookmarkEnd w:id="1"/>
      <w:r>
        <w:rPr>
          <w:rFonts w:hint="eastAsia" w:ascii="MingLiU" w:hAnsi="MingLiU" w:eastAsia="MingLiU" w:cs="MingLiU"/>
          <w:sz w:val="22"/>
          <w:szCs w:val="22"/>
          <w:lang w:bidi="ar"/>
        </w:rPr>
        <w:t>3.</w:t>
      </w:r>
      <w:r>
        <w:rPr>
          <w:rFonts w:hint="eastAsia" w:ascii="MingLiU" w:hAnsi="MingLiU" w:eastAsia="MingLiU" w:cs="MingLiU"/>
          <w:sz w:val="22"/>
          <w:szCs w:val="22"/>
          <w:lang w:val="en-US" w:eastAsia="zh-CN" w:bidi="ar"/>
        </w:rPr>
        <w:t>全年执行数是指按照国库集中支付制度要求所形成的实际支出。</w:t>
      </w:r>
    </w:p>
    <w:p>
      <w:pPr>
        <w:pStyle w:val="7"/>
        <w:spacing w:beforeLines="0" w:afterLines="0" w:line="320" w:lineRule="exact"/>
        <w:ind w:firstLine="440" w:firstLineChars="200"/>
        <w:rPr>
          <w:rFonts w:hint="eastAsia" w:ascii="MingLiU" w:hAnsi="MingLiU" w:eastAsia="MingLiU" w:cs="MingLiU"/>
          <w:sz w:val="22"/>
          <w:szCs w:val="22"/>
          <w:lang w:val="en-US" w:eastAsia="zh-CN" w:bidi="ar"/>
        </w:rPr>
      </w:pPr>
      <w:bookmarkStart w:id="2" w:name="bookmark8"/>
      <w:bookmarkEnd w:id="2"/>
      <w:r>
        <w:rPr>
          <w:rFonts w:hint="eastAsia" w:ascii="MingLiU" w:hAnsi="MingLiU" w:eastAsia="MingLiU" w:cs="MingLiU"/>
          <w:sz w:val="22"/>
          <w:szCs w:val="22"/>
          <w:lang w:bidi="ar"/>
        </w:rPr>
        <w:t>4.</w:t>
      </w:r>
      <w:r>
        <w:rPr>
          <w:rFonts w:hint="eastAsia" w:ascii="MingLiU" w:hAnsi="MingLiU" w:eastAsia="MingLiU" w:cs="MingLiU"/>
          <w:sz w:val="22"/>
          <w:szCs w:val="22"/>
          <w:lang w:val="en-US" w:eastAsia="zh-CN" w:bidi="ar"/>
        </w:rPr>
        <w:t>定量指标。地方各级主管部门对资金使用单位填写的实际完成值汇总时，绝对值直接累加计算，相对值按照资 金额度加权平均计算。</w:t>
      </w:r>
    </w:p>
    <w:p>
      <w:pPr>
        <w:pStyle w:val="7"/>
        <w:spacing w:beforeLines="0" w:afterLines="0" w:line="320" w:lineRule="exact"/>
        <w:ind w:firstLine="440" w:firstLineChars="200"/>
        <w:rPr>
          <w:rFonts w:hint="eastAsia" w:ascii="MingLiU" w:hAnsi="MingLiU" w:eastAsia="MingLiU" w:cs="MingLiU"/>
          <w:sz w:val="22"/>
          <w:szCs w:val="22"/>
          <w:lang w:val="en-US" w:eastAsia="zh-CN" w:bidi="ar"/>
        </w:rPr>
      </w:pPr>
      <w:bookmarkStart w:id="3" w:name="bookmark9"/>
      <w:bookmarkEnd w:id="3"/>
      <w:r>
        <w:rPr>
          <w:rFonts w:hint="eastAsia" w:ascii="MingLiU" w:hAnsi="MingLiU" w:eastAsia="MingLiU" w:cs="MingLiU"/>
          <w:sz w:val="22"/>
          <w:szCs w:val="22"/>
          <w:lang w:bidi="ar"/>
        </w:rPr>
        <w:t>5.</w:t>
      </w:r>
      <w:r>
        <w:rPr>
          <w:rFonts w:hint="eastAsia" w:ascii="MingLiU" w:hAnsi="MingLiU" w:eastAsia="MingLiU" w:cs="MingLiU"/>
          <w:sz w:val="22"/>
          <w:szCs w:val="22"/>
          <w:lang w:val="en-US" w:eastAsia="zh-CN" w:bidi="ar"/>
        </w:rPr>
        <w:t>定性指标。资金使用单位分别按照80% （含）一100%、60% （含）一80%、0%—60%合理填写实际完成值。地方各 级主管部门汇总时，按照资金额度加权平均计算完成值。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00" w:usb3="00000000" w:csb0="001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7B99D"/>
    <w:multiLevelType w:val="multilevel"/>
    <w:tmpl w:val="5917B99D"/>
    <w:lvl w:ilvl="0" w:tentative="0">
      <w:start w:val="1"/>
      <w:numFmt w:val="chineseCounting"/>
      <w:suff w:val="nothing"/>
      <w:lvlText w:val="%1、"/>
      <w:lvlJc w:val="left"/>
      <w:rPr>
        <w:rFonts w:hint="default" w:cs="Times New Roman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 w:cs="Times New Roman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 w:cs="Times New Roman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 w:cs="Times New Roman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 w:cs="Times New Roman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 w:cs="Times New Roman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 w:cs="Times New Roman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 w:cs="Times New Roman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 w:cs="Times New Roman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5C9A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beforeLines="0" w:afterLines="0"/>
    </w:pPr>
    <w:rPr>
      <w:rFonts w:hint="eastAsia"/>
      <w:sz w:val="21"/>
      <w:szCs w:val="24"/>
    </w:rPr>
  </w:style>
  <w:style w:type="paragraph" w:styleId="3">
    <w:name w:val="annotation text"/>
    <w:basedOn w:val="1"/>
    <w:unhideWhenUsed/>
    <w:qFormat/>
    <w:uiPriority w:val="99"/>
    <w:pPr>
      <w:spacing w:beforeLines="0" w:afterLines="0"/>
      <w:jc w:val="left"/>
    </w:pPr>
    <w:rPr>
      <w:rFonts w:hint="eastAsia"/>
      <w:sz w:val="21"/>
      <w:szCs w:val="21"/>
    </w:rPr>
  </w:style>
  <w:style w:type="character" w:customStyle="1" w:styleId="6">
    <w:name w:val="font11"/>
    <w:unhideWhenUsed/>
    <w:qFormat/>
    <w:uiPriority w:val="0"/>
    <w:rPr>
      <w:rFonts w:hint="default" w:ascii="Arial" w:hAnsi="Times New Roman" w:eastAsia="宋体"/>
      <w:color w:val="000000"/>
      <w:sz w:val="12"/>
      <w:szCs w:val="24"/>
    </w:rPr>
  </w:style>
  <w:style w:type="paragraph" w:customStyle="1" w:styleId="7">
    <w:name w:val="Body text|2"/>
    <w:basedOn w:val="1"/>
    <w:unhideWhenUsed/>
    <w:qFormat/>
    <w:uiPriority w:val="0"/>
    <w:pPr>
      <w:widowControl w:val="0"/>
      <w:spacing w:beforeLines="0" w:afterLines="0" w:line="264" w:lineRule="auto"/>
      <w:ind w:firstLine="320"/>
    </w:pPr>
    <w:rPr>
      <w:rFonts w:hint="eastAsia" w:ascii="宋体" w:hAnsi="宋体" w:cs="宋体"/>
      <w:sz w:val="15"/>
      <w:szCs w:val="15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2023-06-20T09:43:20Z</dcterms:created>
  <dc:creator>admin-3</dc:creator>
  <cp:lastModifiedBy>admin-3</cp:lastModifiedBy>
  <dcterms:modified xsi:type="dcterms:W3CDTF">2023-06-20T09:44:11Z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11B486EF5E9F47EE89C14FD214B8AD7A_12</vt:lpwstr>
  </property>
</Properties>
</file>