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val="0"/>
        <w:spacing w:line="600" w:lineRule="exact"/>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益阳市赫山区</w:t>
      </w:r>
      <w:r>
        <w:rPr>
          <w:rFonts w:hint="eastAsia" w:ascii="黑体" w:hAnsi="黑体" w:eastAsia="黑体" w:cs="黑体"/>
          <w:b w:val="0"/>
          <w:bCs/>
          <w:color w:val="000000"/>
          <w:kern w:val="0"/>
          <w:sz w:val="36"/>
          <w:szCs w:val="36"/>
          <w:lang w:val="en-US" w:eastAsia="zh-CN"/>
        </w:rPr>
        <w:t>农机事务中心</w:t>
      </w:r>
      <w:r>
        <w:rPr>
          <w:rFonts w:hint="eastAsia" w:ascii="黑体" w:hAnsi="黑体" w:eastAsia="黑体" w:cs="黑体"/>
          <w:b w:val="0"/>
          <w:bCs/>
          <w:color w:val="000000"/>
          <w:kern w:val="0"/>
          <w:sz w:val="36"/>
          <w:szCs w:val="36"/>
        </w:rPr>
        <w:t>2021年度部门</w:t>
      </w:r>
    </w:p>
    <w:p>
      <w:pPr>
        <w:keepNext w:val="0"/>
        <w:keepLines w:val="0"/>
        <w:pageBreakBefore w:val="0"/>
        <w:widowControl/>
        <w:kinsoku/>
        <w:wordWrap/>
        <w:overflowPunct/>
        <w:topLinePunct w:val="0"/>
        <w:bidi w:val="0"/>
        <w:snapToGrid w:val="0"/>
        <w:spacing w:line="600" w:lineRule="exact"/>
        <w:jc w:val="center"/>
        <w:rPr>
          <w:rFonts w:hint="eastAsia" w:ascii="黑体" w:hAnsi="黑体" w:eastAsia="黑体" w:cs="黑体"/>
          <w:b w:val="0"/>
          <w:bCs/>
          <w:color w:val="000000"/>
          <w:kern w:val="0"/>
          <w:sz w:val="36"/>
          <w:szCs w:val="36"/>
          <w:lang w:val="en-US" w:eastAsia="zh-CN"/>
        </w:rPr>
      </w:pPr>
      <w:r>
        <w:rPr>
          <w:rFonts w:hint="eastAsia" w:ascii="黑体" w:hAnsi="黑体" w:eastAsia="黑体" w:cs="黑体"/>
          <w:b w:val="0"/>
          <w:bCs/>
          <w:color w:val="000000"/>
          <w:kern w:val="0"/>
          <w:sz w:val="36"/>
          <w:szCs w:val="36"/>
        </w:rPr>
        <w:t>整体支出绩效评价报告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000000"/>
          <w:spacing w:val="0"/>
          <w:sz w:val="30"/>
          <w:szCs w:val="3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根据</w:t>
      </w:r>
      <w:r>
        <w:rPr>
          <w:rFonts w:hint="eastAsia" w:ascii="仿宋" w:hAnsi="仿宋" w:eastAsia="仿宋" w:cs="仿宋"/>
          <w:i w:val="0"/>
          <w:caps w:val="0"/>
          <w:color w:val="000000"/>
          <w:spacing w:val="0"/>
          <w:sz w:val="30"/>
          <w:szCs w:val="30"/>
          <w:shd w:val="clear" w:fill="FFFFFF"/>
        </w:rPr>
        <w:t>《益阳市赫山区财政局关于做好2021年度预算绩效自评工作的通知》（益赫财绩〔2022〕1号）文件精神，</w:t>
      </w:r>
      <w:r>
        <w:rPr>
          <w:rFonts w:hint="eastAsia" w:ascii="仿宋" w:hAnsi="仿宋" w:eastAsia="仿宋" w:cs="仿宋"/>
          <w:i w:val="0"/>
          <w:caps w:val="0"/>
          <w:color w:val="000000"/>
          <w:spacing w:val="0"/>
          <w:sz w:val="30"/>
          <w:szCs w:val="30"/>
          <w:shd w:val="clear" w:fill="FFFFFF"/>
          <w:lang w:eastAsia="zh-CN"/>
        </w:rPr>
        <w:t>我单位</w:t>
      </w:r>
      <w:r>
        <w:rPr>
          <w:rFonts w:hint="eastAsia" w:ascii="仿宋" w:hAnsi="仿宋" w:eastAsia="仿宋" w:cs="仿宋"/>
          <w:i w:val="0"/>
          <w:caps w:val="0"/>
          <w:color w:val="000000"/>
          <w:spacing w:val="0"/>
          <w:sz w:val="30"/>
          <w:szCs w:val="30"/>
          <w:shd w:val="clear" w:fill="FFFFFF"/>
        </w:rPr>
        <w:t>组织力量对2021年部门预算整体支出进行了绩效评价，现</w:t>
      </w:r>
      <w:r>
        <w:rPr>
          <w:rFonts w:hint="eastAsia" w:ascii="仿宋" w:hAnsi="仿宋" w:eastAsia="仿宋" w:cs="仿宋"/>
          <w:i w:val="0"/>
          <w:caps w:val="0"/>
          <w:color w:val="333333"/>
          <w:spacing w:val="0"/>
          <w:sz w:val="30"/>
          <w:szCs w:val="30"/>
          <w:shd w:val="clear" w:fill="FFFFFF"/>
        </w:rPr>
        <w:t>将自评情况报告如下：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黑体" w:hAnsi="黑体" w:eastAsia="黑体" w:cs="黑体"/>
          <w:i w:val="0"/>
          <w:caps w:val="0"/>
          <w:color w:val="333333"/>
          <w:spacing w:val="0"/>
          <w:sz w:val="30"/>
          <w:szCs w:val="30"/>
        </w:rPr>
      </w:pPr>
      <w:r>
        <w:rPr>
          <w:rFonts w:hint="eastAsia" w:ascii="黑体" w:hAnsi="黑体" w:eastAsia="黑体" w:cs="黑体"/>
          <w:i w:val="0"/>
          <w:caps w:val="0"/>
          <w:color w:val="000000"/>
          <w:spacing w:val="0"/>
          <w:sz w:val="30"/>
          <w:szCs w:val="30"/>
          <w:shd w:val="clear" w:fill="FFFFFF"/>
        </w:rPr>
        <w:t> 一、单位基本情况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default" w:ascii="仿宋" w:hAnsi="仿宋" w:eastAsia="仿宋" w:cs="仿宋"/>
          <w:i w:val="0"/>
          <w:caps w:val="0"/>
          <w:color w:val="333333"/>
          <w:spacing w:val="0"/>
          <w:sz w:val="30"/>
          <w:szCs w:val="30"/>
          <w:shd w:val="clear" w:fill="FFFFFF"/>
          <w:lang w:val="en-US" w:eastAsia="zh-CN"/>
        </w:rPr>
      </w:pPr>
      <w:r>
        <w:rPr>
          <w:rFonts w:hint="eastAsia" w:ascii="仿宋" w:hAnsi="仿宋" w:eastAsia="仿宋" w:cs="仿宋"/>
          <w:i w:val="0"/>
          <w:caps w:val="0"/>
          <w:color w:val="000000"/>
          <w:spacing w:val="0"/>
          <w:sz w:val="30"/>
          <w:szCs w:val="30"/>
          <w:shd w:val="clear" w:fill="FFFFFF"/>
        </w:rPr>
        <w:t>赫山区农机事务中心是赫山区农业农村局下属二级事业单位，单位</w:t>
      </w:r>
      <w:r>
        <w:rPr>
          <w:rFonts w:hint="eastAsia" w:ascii="仿宋" w:hAnsi="仿宋" w:eastAsia="仿宋" w:cs="仿宋"/>
          <w:i w:val="0"/>
          <w:caps w:val="0"/>
          <w:color w:val="333333"/>
          <w:spacing w:val="0"/>
          <w:sz w:val="30"/>
          <w:szCs w:val="30"/>
          <w:shd w:val="clear" w:fill="FFFFFF"/>
        </w:rPr>
        <w:t>内设办公室、人事股、财务审计股、农机监理股、农机技术开发股、农机技术推广股6个股室，无二级机构。2021年底赫山区农机事务中心在职员工人数38人，其中全额拨款事业人员24人，差额拨款人员9人，自收自支人员5人，退休干职工50人，遗属补助人员5人。</w:t>
      </w:r>
      <w:r>
        <w:rPr>
          <w:rFonts w:hint="eastAsia" w:ascii="仿宋" w:hAnsi="仿宋" w:eastAsia="仿宋" w:cs="仿宋"/>
          <w:i w:val="0"/>
          <w:caps w:val="0"/>
          <w:color w:val="333333"/>
          <w:spacing w:val="0"/>
          <w:sz w:val="30"/>
          <w:szCs w:val="30"/>
          <w:shd w:val="clear" w:fill="FFFFFF"/>
          <w:lang w:val="en-US" w:eastAsia="zh-CN"/>
        </w:rPr>
        <w:t>主要职责如下：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拟订农业机械化、农业工程设施发展战略的中长期指导性规划和政策，参与制定农机管理重大措施，经批准后组织实施。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参与制定有关农机安全生产与监督管理制度措施。参与拖拉机、农业工程机械及其它农业机械的安全监督管理。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指导农业机械化服务体系建设和农机信息、咨询网络建设，并制定服务规划，负责为农机企业的生产、经营活动和机械化农业生产提供技术支持服务。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负责农机维修经营市场监管，指导农机维修网络建设。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拟定农业机械化科技、教育发展规划，参与有关农业机械化科学技术研究、技术开发、推广、科研成果鉴定等工作。组织农机重大技术攻关，开展科技交流与合作，推动行业科技进步。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负责乡镇（街道）农业机械化工作指导。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负责全区重大农业机械化项目的立项、论证、报批。农业机械工程设施的专项资金，管理所属单位的事业费、基建投资和其它专项资金。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kern w:val="0"/>
          <w:sz w:val="30"/>
          <w:szCs w:val="30"/>
          <w:shd w:val="clear" w:fill="FFFFFF"/>
          <w:lang w:val="en-US" w:eastAsia="zh-CN" w:bidi="ar"/>
        </w:rPr>
        <w:t>承办区委、区政府和区农业农村局交办的其他事项。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b w:val="0"/>
          <w:bCs w:val="0"/>
          <w:i w:val="0"/>
          <w:caps w:val="0"/>
          <w:color w:val="000000"/>
          <w:spacing w:val="0"/>
          <w:sz w:val="30"/>
          <w:szCs w:val="30"/>
          <w:shd w:val="clear" w:fill="FFFFFF"/>
        </w:rPr>
        <w:t>（一）</w:t>
      </w:r>
      <w:r>
        <w:rPr>
          <w:rFonts w:hint="eastAsia" w:ascii="仿宋" w:hAnsi="仿宋" w:eastAsia="仿宋" w:cs="仿宋"/>
          <w:b w:val="0"/>
          <w:bCs w:val="0"/>
          <w:i w:val="0"/>
          <w:caps w:val="0"/>
          <w:color w:val="333333"/>
          <w:spacing w:val="0"/>
          <w:sz w:val="30"/>
          <w:szCs w:val="30"/>
          <w:shd w:val="clear" w:fill="FFFFFF"/>
        </w:rPr>
        <w:t>部门整体支出概况：2021</w:t>
      </w:r>
      <w:r>
        <w:rPr>
          <w:rFonts w:hint="eastAsia" w:ascii="仿宋" w:hAnsi="仿宋" w:eastAsia="仿宋" w:cs="仿宋"/>
          <w:i w:val="0"/>
          <w:caps w:val="0"/>
          <w:color w:val="333333"/>
          <w:spacing w:val="0"/>
          <w:sz w:val="30"/>
          <w:szCs w:val="30"/>
          <w:shd w:val="clear" w:fill="FFFFFF"/>
        </w:rPr>
        <w:t>年赫山区农机事务中心收入合计2160.48万元，其中：财政拨款收入1798.56万元，其他收入361.92万元。年初预算779万元，决算数大于年初预算的原因是年初上级项目补助未纳入年初预算。</w:t>
      </w:r>
      <w:r>
        <w:rPr>
          <w:rFonts w:hint="eastAsia" w:ascii="仿宋" w:hAnsi="仿宋" w:eastAsia="仿宋" w:cs="仿宋"/>
          <w:i w:val="0"/>
          <w:caps w:val="0"/>
          <w:color w:val="000000"/>
          <w:spacing w:val="0"/>
          <w:sz w:val="30"/>
          <w:szCs w:val="30"/>
          <w:shd w:val="clear" w:fill="FFFFFF"/>
        </w:rPr>
        <w:t>2021年支出合计2695.73万元，其中：基本支出730.69万元（其中：工资福利费用477.3万元，商品服务支出76.59万元，对个人和家庭的补助抚恤费174.59万元,资本性支出2.21万元)，基本支出占本年总支出27.1%，项目支出1965.04万元，较2020年增加165.04万，占本年总支出72.89%，主要原因是农机购置补贴项目为不定期支付，农机购置补贴项目支出加大，总支出增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（二）年初资金结余816.33万，年末结转结余281.08万，2021年结转结余资金减少主要原因是2021根据财政部要求，财务按收付实现制，财政应返还额度为0。</w:t>
      </w:r>
    </w:p>
    <w:p>
      <w:pPr>
        <w:shd w:val="clear" w:color="auto" w:fill="FFFFFF"/>
        <w:wordWrap w:val="0"/>
        <w:spacing w:line="600" w:lineRule="exact"/>
        <w:ind w:firstLine="600" w:firstLineChars="200"/>
        <w:rPr>
          <w:rFonts w:ascii="黑体" w:hAnsi="黑体" w:eastAsia="黑体" w:cs="黑体"/>
          <w:bCs/>
          <w:color w:val="auto"/>
          <w:sz w:val="30"/>
          <w:szCs w:val="30"/>
        </w:rPr>
      </w:pPr>
      <w:r>
        <w:rPr>
          <w:rFonts w:hint="eastAsia" w:ascii="黑体" w:hAnsi="黑体" w:eastAsia="黑体" w:cs="黑体"/>
          <w:bCs/>
          <w:color w:val="auto"/>
          <w:sz w:val="30"/>
          <w:szCs w:val="30"/>
        </w:rPr>
        <w:t>二、一般公共预算支出情况</w:t>
      </w:r>
    </w:p>
    <w:p>
      <w:pPr>
        <w:shd w:val="clear" w:color="auto" w:fill="FFFFFF"/>
        <w:spacing w:line="600" w:lineRule="exact"/>
        <w:ind w:firstLine="602" w:firstLineChars="200"/>
        <w:jc w:val="left"/>
        <w:rPr>
          <w:rFonts w:ascii="仿宋" w:hAnsi="仿宋" w:eastAsia="仿宋" w:cs="仿宋"/>
          <w:b/>
          <w:color w:val="auto"/>
          <w:sz w:val="30"/>
          <w:szCs w:val="30"/>
          <w:shd w:val="clear" w:color="auto" w:fill="FFFFFF"/>
        </w:rPr>
      </w:pPr>
      <w:r>
        <w:rPr>
          <w:rFonts w:hint="eastAsia" w:ascii="仿宋" w:hAnsi="仿宋" w:eastAsia="仿宋" w:cs="仿宋"/>
          <w:b/>
          <w:color w:val="auto"/>
          <w:sz w:val="30"/>
          <w:szCs w:val="30"/>
          <w:shd w:val="clear" w:color="auto" w:fill="FFFFFF"/>
        </w:rPr>
        <w:t>（一）基本支出情况</w:t>
      </w:r>
    </w:p>
    <w:p>
      <w:pPr>
        <w:shd w:val="clear" w:color="auto" w:fill="FFFFFF"/>
        <w:spacing w:line="600" w:lineRule="exact"/>
        <w:ind w:firstLine="600" w:firstLineChars="200"/>
        <w:jc w:val="left"/>
        <w:rPr>
          <w:rFonts w:ascii="仿宋" w:hAnsi="仿宋" w:eastAsia="仿宋" w:cs="仿宋"/>
          <w:color w:val="auto"/>
          <w:sz w:val="30"/>
          <w:szCs w:val="30"/>
        </w:rPr>
      </w:pPr>
      <w:r>
        <w:rPr>
          <w:rFonts w:hint="eastAsia" w:ascii="仿宋" w:hAnsi="仿宋" w:eastAsia="仿宋" w:cs="仿宋"/>
          <w:i w:val="0"/>
          <w:caps w:val="0"/>
          <w:color w:val="auto"/>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color w:val="auto"/>
          <w:sz w:val="30"/>
          <w:szCs w:val="30"/>
        </w:rPr>
        <w:t>包括用于基本工资、津贴补贴等人员经费以及办公费、印刷费、水电费、办公设备购置等日常公用经费。2021年</w:t>
      </w:r>
      <w:r>
        <w:rPr>
          <w:rFonts w:hint="eastAsia" w:ascii="仿宋" w:hAnsi="仿宋" w:eastAsia="仿宋" w:cs="仿宋"/>
          <w:color w:val="auto"/>
          <w:sz w:val="30"/>
          <w:szCs w:val="30"/>
          <w:lang w:val="en-US" w:eastAsia="zh-CN"/>
        </w:rPr>
        <w:t>基本</w:t>
      </w:r>
      <w:r>
        <w:rPr>
          <w:rFonts w:hint="eastAsia" w:ascii="仿宋" w:hAnsi="仿宋" w:eastAsia="仿宋" w:cs="仿宋"/>
          <w:color w:val="auto"/>
          <w:sz w:val="30"/>
          <w:szCs w:val="30"/>
        </w:rPr>
        <w:t>支出为</w:t>
      </w:r>
      <w:r>
        <w:rPr>
          <w:rFonts w:hint="eastAsia" w:ascii="仿宋" w:hAnsi="仿宋" w:eastAsia="仿宋" w:cs="仿宋"/>
          <w:i w:val="0"/>
          <w:caps w:val="0"/>
          <w:color w:val="auto"/>
          <w:spacing w:val="0"/>
          <w:sz w:val="30"/>
          <w:szCs w:val="30"/>
          <w:shd w:val="clear" w:fill="FFFFFF"/>
        </w:rPr>
        <w:t>573.17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w:t>
      </w:r>
      <w:r>
        <w:rPr>
          <w:rFonts w:hint="eastAsia" w:ascii="仿宋" w:hAnsi="仿宋" w:eastAsia="仿宋" w:cs="仿宋"/>
          <w:color w:val="auto"/>
          <w:sz w:val="30"/>
          <w:szCs w:val="30"/>
        </w:rPr>
        <w:t>一般公共预算基本支出</w:t>
      </w:r>
      <w:r>
        <w:rPr>
          <w:rFonts w:hint="eastAsia" w:ascii="仿宋" w:hAnsi="仿宋" w:eastAsia="仿宋" w:cs="仿宋"/>
          <w:color w:val="auto"/>
          <w:sz w:val="30"/>
          <w:szCs w:val="30"/>
          <w:highlight w:val="none"/>
          <w:lang w:val="en-US" w:eastAsia="zh-CN"/>
        </w:rPr>
        <w:t>605.98</w:t>
      </w:r>
      <w:r>
        <w:rPr>
          <w:rFonts w:hint="eastAsia" w:ascii="仿宋" w:hAnsi="仿宋" w:eastAsia="仿宋" w:cs="仿宋"/>
          <w:color w:val="auto"/>
          <w:sz w:val="30"/>
          <w:szCs w:val="30"/>
        </w:rPr>
        <w:t>万元，</w:t>
      </w:r>
      <w:r>
        <w:rPr>
          <w:rFonts w:hint="eastAsia" w:ascii="仿宋" w:hAnsi="仿宋" w:eastAsia="仿宋" w:cs="仿宋"/>
          <w:i w:val="0"/>
          <w:caps w:val="0"/>
          <w:color w:val="auto"/>
          <w:spacing w:val="0"/>
          <w:sz w:val="30"/>
          <w:szCs w:val="30"/>
          <w:shd w:val="clear" w:fill="FFFFFF"/>
          <w:lang w:eastAsia="zh-CN"/>
        </w:rPr>
        <w:t>减少</w:t>
      </w:r>
      <w:r>
        <w:rPr>
          <w:rFonts w:hint="eastAsia" w:ascii="仿宋" w:hAnsi="仿宋" w:eastAsia="仿宋" w:cs="仿宋"/>
          <w:i w:val="0"/>
          <w:caps w:val="0"/>
          <w:color w:val="auto"/>
          <w:spacing w:val="0"/>
          <w:sz w:val="30"/>
          <w:szCs w:val="30"/>
          <w:shd w:val="clear" w:fill="FFFFFF"/>
        </w:rPr>
        <w:t>了</w:t>
      </w:r>
      <w:r>
        <w:rPr>
          <w:rFonts w:hint="eastAsia" w:ascii="仿宋" w:hAnsi="仿宋" w:eastAsia="仿宋" w:cs="仿宋"/>
          <w:i w:val="0"/>
          <w:caps w:val="0"/>
          <w:color w:val="auto"/>
          <w:spacing w:val="0"/>
          <w:sz w:val="30"/>
          <w:szCs w:val="30"/>
          <w:highlight w:val="none"/>
          <w:shd w:val="clear" w:fill="FFFFFF"/>
          <w:lang w:val="en-US" w:eastAsia="zh-CN"/>
        </w:rPr>
        <w:t>32.81</w:t>
      </w:r>
      <w:r>
        <w:rPr>
          <w:rFonts w:hint="eastAsia" w:ascii="仿宋" w:hAnsi="仿宋" w:eastAsia="仿宋" w:cs="仿宋"/>
          <w:i w:val="0"/>
          <w:caps w:val="0"/>
          <w:color w:val="auto"/>
          <w:spacing w:val="0"/>
          <w:sz w:val="30"/>
          <w:szCs w:val="30"/>
          <w:highlight w:val="none"/>
          <w:shd w:val="clear" w:fill="FFFFFF"/>
        </w:rPr>
        <w:t>万元，</w:t>
      </w:r>
      <w:r>
        <w:rPr>
          <w:rFonts w:hint="eastAsia" w:ascii="仿宋" w:hAnsi="仿宋" w:eastAsia="仿宋" w:cs="仿宋"/>
          <w:i w:val="0"/>
          <w:caps w:val="0"/>
          <w:color w:val="auto"/>
          <w:spacing w:val="0"/>
          <w:sz w:val="30"/>
          <w:szCs w:val="30"/>
          <w:highlight w:val="none"/>
          <w:shd w:val="clear" w:fill="FFFFFF"/>
          <w:lang w:eastAsia="zh-CN"/>
        </w:rPr>
        <w:t>减少</w:t>
      </w:r>
      <w:r>
        <w:rPr>
          <w:rFonts w:hint="eastAsia" w:ascii="仿宋" w:hAnsi="仿宋" w:eastAsia="仿宋" w:cs="仿宋"/>
          <w:i w:val="0"/>
          <w:caps w:val="0"/>
          <w:color w:val="auto"/>
          <w:spacing w:val="0"/>
          <w:sz w:val="30"/>
          <w:szCs w:val="30"/>
          <w:highlight w:val="none"/>
          <w:shd w:val="clear" w:fill="FFFFFF"/>
        </w:rPr>
        <w:t>了</w:t>
      </w:r>
      <w:r>
        <w:rPr>
          <w:rFonts w:hint="eastAsia" w:ascii="仿宋" w:hAnsi="仿宋" w:eastAsia="仿宋" w:cs="仿宋"/>
          <w:i w:val="0"/>
          <w:caps w:val="0"/>
          <w:color w:val="auto"/>
          <w:spacing w:val="0"/>
          <w:sz w:val="30"/>
          <w:szCs w:val="30"/>
          <w:highlight w:val="none"/>
          <w:shd w:val="clear" w:fill="FFFFFF"/>
          <w:lang w:val="en-US" w:eastAsia="zh-CN"/>
        </w:rPr>
        <w:t>5.41</w:t>
      </w:r>
      <w:r>
        <w:rPr>
          <w:rFonts w:hint="eastAsia" w:ascii="仿宋" w:hAnsi="仿宋" w:eastAsia="仿宋" w:cs="仿宋"/>
          <w:i w:val="0"/>
          <w:caps w:val="0"/>
          <w:color w:val="auto"/>
          <w:spacing w:val="0"/>
          <w:sz w:val="30"/>
          <w:szCs w:val="30"/>
          <w:highlight w:val="none"/>
          <w:shd w:val="clear" w:fill="FFFFFF"/>
        </w:rPr>
        <w:t>%，主要原因是</w:t>
      </w:r>
      <w:r>
        <w:rPr>
          <w:rFonts w:hint="eastAsia" w:ascii="仿宋" w:hAnsi="仿宋" w:eastAsia="仿宋" w:cs="仿宋"/>
          <w:i w:val="0"/>
          <w:caps w:val="0"/>
          <w:color w:val="auto"/>
          <w:spacing w:val="0"/>
          <w:sz w:val="30"/>
          <w:szCs w:val="30"/>
          <w:highlight w:val="none"/>
          <w:shd w:val="clear" w:fill="FFFFFF"/>
          <w:lang w:eastAsia="zh-CN"/>
        </w:rPr>
        <w:t>在职人员调出</w:t>
      </w:r>
      <w:r>
        <w:rPr>
          <w:rFonts w:hint="eastAsia" w:ascii="仿宋" w:hAnsi="仿宋" w:eastAsia="仿宋" w:cs="仿宋"/>
          <w:i w:val="0"/>
          <w:caps w:val="0"/>
          <w:color w:val="auto"/>
          <w:spacing w:val="0"/>
          <w:sz w:val="30"/>
          <w:szCs w:val="30"/>
          <w:shd w:val="clear" w:fill="FFFFFF"/>
          <w:lang w:eastAsia="zh-CN"/>
        </w:rPr>
        <w:t>，人数减少</w:t>
      </w:r>
      <w:r>
        <w:rPr>
          <w:rFonts w:hint="eastAsia" w:ascii="仿宋" w:hAnsi="仿宋" w:eastAsia="仿宋" w:cs="仿宋"/>
          <w:color w:val="auto"/>
          <w:sz w:val="30"/>
          <w:szCs w:val="30"/>
          <w:lang w:val="en-US" w:eastAsia="zh-CN"/>
        </w:rPr>
        <w:t>，支出减少。</w:t>
      </w:r>
      <w:r>
        <w:rPr>
          <w:rFonts w:hint="eastAsia" w:ascii="仿宋" w:hAnsi="仿宋" w:eastAsia="仿宋" w:cs="仿宋"/>
          <w:color w:val="auto"/>
          <w:sz w:val="30"/>
          <w:szCs w:val="30"/>
        </w:rPr>
        <w:t>其中人员经费</w:t>
      </w:r>
      <w:r>
        <w:rPr>
          <w:rFonts w:hint="eastAsia" w:ascii="仿宋" w:hAnsi="仿宋" w:eastAsia="仿宋" w:cs="仿宋"/>
          <w:i w:val="0"/>
          <w:caps w:val="0"/>
          <w:color w:val="auto"/>
          <w:spacing w:val="0"/>
          <w:sz w:val="30"/>
          <w:szCs w:val="30"/>
          <w:shd w:val="clear" w:fill="FFFFFF"/>
        </w:rPr>
        <w:t>502.58</w:t>
      </w:r>
      <w:r>
        <w:rPr>
          <w:rFonts w:hint="eastAsia" w:ascii="仿宋" w:hAnsi="仿宋" w:eastAsia="仿宋" w:cs="仿宋"/>
          <w:color w:val="auto"/>
          <w:sz w:val="30"/>
          <w:szCs w:val="30"/>
        </w:rPr>
        <w:t>万元，占比</w:t>
      </w:r>
      <w:r>
        <w:rPr>
          <w:rFonts w:hint="eastAsia" w:ascii="仿宋" w:hAnsi="仿宋" w:eastAsia="仿宋" w:cs="仿宋"/>
          <w:color w:val="auto"/>
          <w:sz w:val="30"/>
          <w:szCs w:val="30"/>
          <w:lang w:val="en-US" w:eastAsia="zh-CN"/>
        </w:rPr>
        <w:t>87.68</w:t>
      </w:r>
      <w:r>
        <w:rPr>
          <w:rFonts w:hint="eastAsia" w:ascii="仿宋" w:hAnsi="仿宋" w:eastAsia="仿宋" w:cs="仿宋"/>
          <w:color w:val="auto"/>
          <w:sz w:val="30"/>
          <w:szCs w:val="30"/>
        </w:rPr>
        <w:t>%；公用经费</w:t>
      </w:r>
      <w:r>
        <w:rPr>
          <w:rFonts w:hint="eastAsia" w:ascii="仿宋" w:hAnsi="仿宋" w:eastAsia="仿宋" w:cs="仿宋"/>
          <w:i w:val="0"/>
          <w:caps w:val="0"/>
          <w:color w:val="auto"/>
          <w:spacing w:val="0"/>
          <w:sz w:val="30"/>
          <w:szCs w:val="30"/>
          <w:shd w:val="clear" w:fill="FFFFFF"/>
        </w:rPr>
        <w:t>70.58</w:t>
      </w:r>
      <w:r>
        <w:rPr>
          <w:rFonts w:hint="eastAsia" w:ascii="仿宋" w:hAnsi="仿宋" w:eastAsia="仿宋" w:cs="仿宋"/>
          <w:color w:val="auto"/>
          <w:sz w:val="30"/>
          <w:szCs w:val="30"/>
        </w:rPr>
        <w:t>万元，占比</w:t>
      </w:r>
      <w:r>
        <w:rPr>
          <w:rFonts w:hint="eastAsia" w:ascii="仿宋" w:hAnsi="仿宋" w:eastAsia="仿宋" w:cs="仿宋"/>
          <w:color w:val="auto"/>
          <w:sz w:val="30"/>
          <w:szCs w:val="30"/>
          <w:lang w:val="en-US" w:eastAsia="zh-CN"/>
        </w:rPr>
        <w:t>12.31</w:t>
      </w:r>
      <w:r>
        <w:rPr>
          <w:rFonts w:hint="eastAsia" w:ascii="仿宋" w:hAnsi="仿宋" w:eastAsia="仿宋" w:cs="仿宋"/>
          <w:color w:val="auto"/>
          <w:sz w:val="30"/>
          <w:szCs w:val="30"/>
        </w:rPr>
        <w:t>%。 </w:t>
      </w:r>
    </w:p>
    <w:p>
      <w:pPr>
        <w:shd w:val="clear" w:color="auto" w:fill="FFFFFF"/>
        <w:spacing w:line="600" w:lineRule="exact"/>
        <w:ind w:firstLine="602" w:firstLineChars="200"/>
        <w:jc w:val="left"/>
        <w:rPr>
          <w:rFonts w:ascii="仿宋" w:hAnsi="仿宋" w:eastAsia="仿宋" w:cs="仿宋"/>
          <w:b/>
          <w:color w:val="auto"/>
          <w:sz w:val="30"/>
          <w:szCs w:val="30"/>
          <w:shd w:val="clear" w:color="auto" w:fill="FFFFFF"/>
        </w:rPr>
      </w:pPr>
      <w:r>
        <w:rPr>
          <w:rFonts w:hint="eastAsia" w:ascii="仿宋" w:hAnsi="仿宋" w:eastAsia="仿宋" w:cs="仿宋"/>
          <w:b/>
          <w:color w:val="auto"/>
          <w:sz w:val="30"/>
          <w:szCs w:val="30"/>
          <w:shd w:val="clear" w:color="auto" w:fill="FFFFFF"/>
        </w:rPr>
        <w:t>（二）项目支出情况</w:t>
      </w:r>
    </w:p>
    <w:p>
      <w:pPr>
        <w:shd w:val="clear" w:color="auto" w:fill="FFFFFF"/>
        <w:spacing w:line="600" w:lineRule="exact"/>
        <w:ind w:firstLine="600" w:firstLineChars="200"/>
        <w:jc w:val="left"/>
        <w:rPr>
          <w:rFonts w:hint="eastAsia" w:ascii="黑体" w:hAnsi="黑体" w:eastAsia="黑体" w:cs="黑体"/>
          <w:i w:val="0"/>
          <w:caps w:val="0"/>
          <w:color w:val="auto"/>
          <w:spacing w:val="0"/>
          <w:sz w:val="30"/>
          <w:szCs w:val="30"/>
          <w:shd w:val="clear" w:fill="FFFFFF"/>
        </w:rPr>
      </w:pPr>
      <w:r>
        <w:rPr>
          <w:rFonts w:hint="eastAsia" w:ascii="仿宋" w:hAnsi="仿宋" w:eastAsia="仿宋" w:cs="仿宋"/>
          <w:i w:val="0"/>
          <w:caps w:val="0"/>
          <w:color w:val="auto"/>
          <w:spacing w:val="0"/>
          <w:kern w:val="0"/>
          <w:sz w:val="30"/>
          <w:szCs w:val="30"/>
          <w:shd w:val="clear" w:fill="FFFFFF"/>
          <w:lang w:val="en-US" w:eastAsia="zh-CN" w:bidi="ar"/>
        </w:rPr>
        <w:t>项目支出是指单位为完成特定行政工作任务或事业发展目标而发生的支出。2021年项目支出</w:t>
      </w:r>
      <w:r>
        <w:rPr>
          <w:rFonts w:hint="eastAsia" w:ascii="仿宋" w:hAnsi="仿宋" w:eastAsia="仿宋" w:cs="仿宋"/>
          <w:color w:val="auto"/>
          <w:sz w:val="30"/>
          <w:szCs w:val="30"/>
          <w:lang w:val="en-US" w:eastAsia="zh-CN"/>
        </w:rPr>
        <w:t>1793.16</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w:t>
      </w:r>
      <w:r>
        <w:rPr>
          <w:rFonts w:hint="eastAsia" w:ascii="仿宋" w:hAnsi="仿宋" w:eastAsia="仿宋" w:cs="仿宋"/>
          <w:color w:val="auto"/>
          <w:sz w:val="30"/>
          <w:szCs w:val="30"/>
        </w:rPr>
        <w:t>一般公共预算项目支出</w:t>
      </w:r>
      <w:r>
        <w:rPr>
          <w:rFonts w:hint="eastAsia" w:ascii="仿宋" w:hAnsi="仿宋" w:eastAsia="仿宋" w:cs="仿宋"/>
          <w:color w:val="auto"/>
          <w:sz w:val="30"/>
          <w:szCs w:val="30"/>
          <w:lang w:val="en-US" w:eastAsia="zh-CN"/>
        </w:rPr>
        <w:t>818.49</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增加974.67万元，</w:t>
      </w:r>
      <w:r>
        <w:rPr>
          <w:rFonts w:hint="eastAsia" w:ascii="仿宋" w:hAnsi="仿宋" w:eastAsia="仿宋" w:cs="仿宋"/>
          <w:color w:val="auto"/>
          <w:sz w:val="30"/>
          <w:szCs w:val="30"/>
          <w:lang w:eastAsia="zh-CN"/>
        </w:rPr>
        <w:t>增加</w:t>
      </w:r>
      <w:r>
        <w:rPr>
          <w:rFonts w:hint="eastAsia" w:ascii="仿宋" w:hAnsi="仿宋" w:eastAsia="仿宋" w:cs="仿宋"/>
          <w:color w:val="auto"/>
          <w:sz w:val="30"/>
          <w:szCs w:val="30"/>
          <w:lang w:val="en-US" w:eastAsia="zh-CN"/>
        </w:rPr>
        <w:t>119.08</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增加</w:t>
      </w:r>
      <w:r>
        <w:rPr>
          <w:rFonts w:hint="eastAsia" w:ascii="仿宋" w:hAnsi="仿宋" w:eastAsia="仿宋" w:cs="仿宋"/>
          <w:color w:val="auto"/>
          <w:sz w:val="30"/>
          <w:szCs w:val="30"/>
        </w:rPr>
        <w:t>的主要原因是</w:t>
      </w:r>
      <w:r>
        <w:rPr>
          <w:rFonts w:hint="eastAsia" w:ascii="仿宋" w:hAnsi="仿宋" w:eastAsia="仿宋" w:cs="仿宋"/>
          <w:color w:val="auto"/>
          <w:sz w:val="30"/>
          <w:szCs w:val="30"/>
          <w:lang w:val="en-US" w:eastAsia="zh-CN"/>
        </w:rPr>
        <w:t>2021年</w:t>
      </w:r>
      <w:r>
        <w:rPr>
          <w:rFonts w:hint="eastAsia" w:ascii="仿宋" w:hAnsi="仿宋" w:eastAsia="仿宋" w:cs="仿宋"/>
          <w:color w:val="auto"/>
          <w:sz w:val="30"/>
          <w:szCs w:val="30"/>
          <w:lang w:eastAsia="zh-CN"/>
        </w:rPr>
        <w:t>农机购置补贴资金和合作社建设资金投入加大，增加了农机购置补贴累加补贴项目，支出增大。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279"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主要用于以下项目: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lang w:val="en-US" w:eastAsia="zh-CN"/>
        </w:rPr>
        <w:t>1.</w:t>
      </w:r>
      <w:r>
        <w:rPr>
          <w:rFonts w:hint="eastAsia" w:ascii="仿宋" w:hAnsi="仿宋" w:eastAsia="仿宋" w:cs="仿宋"/>
          <w:i w:val="0"/>
          <w:caps w:val="0"/>
          <w:color w:val="333333"/>
          <w:spacing w:val="0"/>
          <w:sz w:val="30"/>
          <w:szCs w:val="30"/>
          <w:shd w:val="clear" w:fill="FFFFFF"/>
        </w:rPr>
        <w:t>财政拨款124.96万元（湘财农指(2020)107号），用于2020年农机购置补贴省级累加补贴及装备技术创新研发资金，</w:t>
      </w:r>
      <w:r>
        <w:rPr>
          <w:rFonts w:hint="eastAsia" w:ascii="仿宋" w:hAnsi="仿宋" w:eastAsia="仿宋" w:cs="仿宋"/>
          <w:i w:val="0"/>
          <w:caps w:val="0"/>
          <w:color w:val="000000"/>
          <w:spacing w:val="0"/>
          <w:sz w:val="30"/>
          <w:szCs w:val="30"/>
          <w:shd w:val="clear" w:fill="FFFFFF"/>
        </w:rPr>
        <w:t>2021年，农机新机具新技术加速推广，农机新技术“智慧农机”快速推广农机农艺有机融合。</w:t>
      </w:r>
      <w:r>
        <w:rPr>
          <w:rFonts w:hint="eastAsia" w:ascii="仿宋" w:hAnsi="仿宋" w:eastAsia="仿宋" w:cs="仿宋"/>
          <w:i w:val="0"/>
          <w:caps w:val="0"/>
          <w:color w:val="333333"/>
          <w:spacing w:val="0"/>
          <w:sz w:val="30"/>
          <w:szCs w:val="30"/>
          <w:shd w:val="clear" w:fill="FFFFFF"/>
        </w:rPr>
        <w:t>新推广高速插秧机、抛秧机；推广化肥深施机、农用北斗终端；新推精量石灰撒施机新推轮式拖拉机36台、履带式旋耕机89台、智能控制谷物烘干机5台；植保机5台；新推水稻秸秆综合利用机械30多台套。建设水稻生产</w:t>
      </w:r>
      <w:bookmarkStart w:id="0" w:name="_GoBack"/>
      <w:bookmarkEnd w:id="0"/>
      <w:r>
        <w:rPr>
          <w:rFonts w:hint="eastAsia" w:ascii="仿宋" w:hAnsi="仿宋" w:eastAsia="仿宋" w:cs="仿宋"/>
          <w:i w:val="0"/>
          <w:caps w:val="0"/>
          <w:color w:val="333333"/>
          <w:spacing w:val="0"/>
          <w:sz w:val="30"/>
          <w:szCs w:val="30"/>
          <w:shd w:val="clear" w:fill="FFFFFF"/>
        </w:rPr>
        <w:t>全程机械化示范基地4个，新建温室催芽育秧中心1个，新建钢架连栋塑料大棚4000多平米。早稻完成机插集中育秧904.3亩、机抛集中育秧112.6亩。</w:t>
      </w:r>
      <w:r>
        <w:rPr>
          <w:rFonts w:hint="eastAsia" w:ascii="仿宋" w:hAnsi="仿宋" w:eastAsia="仿宋" w:cs="仿宋"/>
          <w:i w:val="0"/>
          <w:caps w:val="0"/>
          <w:color w:val="000000"/>
          <w:spacing w:val="0"/>
          <w:sz w:val="30"/>
          <w:szCs w:val="30"/>
          <w:shd w:val="clear" w:fill="FFFFFF"/>
        </w:rPr>
        <w:t>完成机械化深施肥作业补贴试点项目任务面积42086亩，完成</w:t>
      </w:r>
      <w:r>
        <w:rPr>
          <w:rFonts w:hint="eastAsia" w:ascii="仿宋" w:hAnsi="仿宋" w:eastAsia="仿宋" w:cs="仿宋"/>
          <w:i w:val="0"/>
          <w:caps w:val="0"/>
          <w:color w:val="333333"/>
          <w:spacing w:val="0"/>
          <w:sz w:val="30"/>
          <w:szCs w:val="30"/>
          <w:shd w:val="clear" w:fill="FFFFFF"/>
        </w:rPr>
        <w:t>水稻机插秧和有序机抛秧作业补贴试点项目</w:t>
      </w:r>
      <w:r>
        <w:rPr>
          <w:rFonts w:hint="eastAsia" w:ascii="仿宋" w:hAnsi="仿宋" w:eastAsia="仿宋" w:cs="仿宋"/>
          <w:i w:val="0"/>
          <w:caps w:val="0"/>
          <w:color w:val="000000"/>
          <w:spacing w:val="0"/>
          <w:sz w:val="30"/>
          <w:szCs w:val="30"/>
          <w:shd w:val="clear" w:fill="FFFFFF"/>
        </w:rPr>
        <w:t>任务面积30191亩，完成冬季油菜机械化播种面积达10万亩，其中核心示范面积全程机械化生产面积2万多亩，支付费用124.96万，项目已完成。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lang w:val="en-US" w:eastAsia="zh-CN"/>
        </w:rPr>
        <w:t>2.</w:t>
      </w:r>
      <w:r>
        <w:rPr>
          <w:rFonts w:hint="eastAsia" w:ascii="仿宋" w:hAnsi="仿宋" w:eastAsia="仿宋" w:cs="仿宋"/>
          <w:i w:val="0"/>
          <w:caps w:val="0"/>
          <w:color w:val="333333"/>
          <w:spacing w:val="0"/>
          <w:sz w:val="30"/>
          <w:szCs w:val="30"/>
          <w:shd w:val="clear" w:fill="FFFFFF"/>
        </w:rPr>
        <w:t>财政拨款260万元（湘财预指[2021]0200号）用于</w:t>
      </w:r>
      <w:r>
        <w:rPr>
          <w:rFonts w:hint="eastAsia" w:ascii="仿宋" w:hAnsi="仿宋" w:eastAsia="仿宋" w:cs="仿宋"/>
          <w:i w:val="0"/>
          <w:caps w:val="0"/>
          <w:color w:val="333333"/>
          <w:spacing w:val="4"/>
          <w:sz w:val="30"/>
          <w:szCs w:val="30"/>
          <w:shd w:val="clear" w:fill="FFFFFF"/>
        </w:rPr>
        <w:t>2021年中央</w:t>
      </w:r>
      <w:r>
        <w:rPr>
          <w:rFonts w:hint="eastAsia" w:ascii="仿宋" w:hAnsi="仿宋" w:eastAsia="仿宋" w:cs="仿宋"/>
          <w:i w:val="0"/>
          <w:caps w:val="0"/>
          <w:color w:val="333333"/>
          <w:spacing w:val="0"/>
          <w:sz w:val="30"/>
          <w:szCs w:val="30"/>
          <w:shd w:val="clear" w:fill="FFFFFF"/>
        </w:rPr>
        <w:t>农机合作社建设。2021年建设农机合作社2家（岳好农机专业合作社、顺应农机专业合作社）,建设农机专业合作社示范社1家（跃红农机专业合作社），建设全程机械化综合农事服务中心2家（惠民农机专业合作社、恒茂农机专业合作社），</w:t>
      </w:r>
      <w:r>
        <w:rPr>
          <w:rFonts w:hint="eastAsia" w:ascii="仿宋" w:hAnsi="仿宋" w:eastAsia="仿宋" w:cs="仿宋"/>
          <w:i w:val="0"/>
          <w:caps w:val="0"/>
          <w:color w:val="333333"/>
          <w:spacing w:val="4"/>
          <w:sz w:val="30"/>
          <w:szCs w:val="30"/>
          <w:shd w:val="clear" w:fill="FFFFFF"/>
        </w:rPr>
        <w:t>项目验收已完成，项目款项260万已支付完成。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lang w:val="en-US" w:eastAsia="zh-CN"/>
        </w:rPr>
        <w:t>3.</w:t>
      </w:r>
      <w:r>
        <w:rPr>
          <w:rFonts w:hint="eastAsia" w:ascii="仿宋" w:hAnsi="仿宋" w:eastAsia="仿宋" w:cs="仿宋"/>
          <w:i w:val="0"/>
          <w:caps w:val="0"/>
          <w:color w:val="333333"/>
          <w:spacing w:val="0"/>
          <w:sz w:val="30"/>
          <w:szCs w:val="30"/>
          <w:shd w:val="clear" w:fill="FFFFFF"/>
        </w:rPr>
        <w:t>财政</w:t>
      </w:r>
      <w:r>
        <w:rPr>
          <w:rFonts w:hint="eastAsia" w:ascii="仿宋" w:hAnsi="仿宋" w:eastAsia="仿宋" w:cs="仿宋"/>
          <w:i w:val="0"/>
          <w:caps w:val="0"/>
          <w:color w:val="333333"/>
          <w:spacing w:val="4"/>
          <w:sz w:val="30"/>
          <w:szCs w:val="30"/>
          <w:shd w:val="clear" w:fill="FFFFFF"/>
        </w:rPr>
        <w:t>拨款67万元</w:t>
      </w:r>
      <w:r>
        <w:rPr>
          <w:rFonts w:hint="eastAsia" w:ascii="仿宋" w:hAnsi="仿宋" w:eastAsia="仿宋" w:cs="仿宋"/>
          <w:i w:val="0"/>
          <w:caps w:val="0"/>
          <w:color w:val="333333"/>
          <w:spacing w:val="0"/>
          <w:sz w:val="30"/>
          <w:szCs w:val="30"/>
          <w:shd w:val="clear" w:fill="FFFFFF"/>
        </w:rPr>
        <w:t>（湘财农指（2021）47号）</w:t>
      </w:r>
      <w:r>
        <w:rPr>
          <w:rFonts w:hint="eastAsia" w:ascii="仿宋" w:hAnsi="仿宋" w:eastAsia="仿宋" w:cs="仿宋"/>
          <w:i w:val="0"/>
          <w:caps w:val="0"/>
          <w:color w:val="333333"/>
          <w:spacing w:val="4"/>
          <w:sz w:val="30"/>
          <w:szCs w:val="30"/>
          <w:shd w:val="clear" w:fill="FFFFFF"/>
        </w:rPr>
        <w:t>用于2021年省农机购置累加补贴及装备创新研发资金。</w:t>
      </w:r>
      <w:r>
        <w:rPr>
          <w:rFonts w:hint="eastAsia" w:ascii="仿宋" w:hAnsi="仿宋" w:eastAsia="仿宋" w:cs="仿宋"/>
          <w:i w:val="0"/>
          <w:caps w:val="0"/>
          <w:color w:val="333333"/>
          <w:spacing w:val="0"/>
          <w:sz w:val="30"/>
          <w:szCs w:val="30"/>
          <w:shd w:val="clear" w:fill="FFFFFF"/>
        </w:rPr>
        <w:t>其中9万元已全部用于农机购置补贴累加补帖，58万元用于保障农机购置补贴实施，农机安全生产，新机具新及技术推广和其他重点工作。根据项目内容完成情况，资金逐步支付中。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lang w:val="en-US" w:eastAsia="zh-CN"/>
        </w:rPr>
        <w:t>4.</w:t>
      </w:r>
      <w:r>
        <w:rPr>
          <w:rFonts w:hint="eastAsia" w:ascii="仿宋" w:hAnsi="仿宋" w:eastAsia="仿宋" w:cs="仿宋"/>
          <w:i w:val="0"/>
          <w:caps w:val="0"/>
          <w:color w:val="333333"/>
          <w:spacing w:val="0"/>
          <w:sz w:val="30"/>
          <w:szCs w:val="30"/>
          <w:shd w:val="clear" w:fill="FFFFFF"/>
        </w:rPr>
        <w:t>财政拨款</w:t>
      </w:r>
      <w:r>
        <w:rPr>
          <w:rFonts w:hint="eastAsia" w:ascii="仿宋" w:hAnsi="仿宋" w:eastAsia="仿宋" w:cs="仿宋"/>
          <w:i w:val="0"/>
          <w:caps w:val="0"/>
          <w:color w:val="333333"/>
          <w:spacing w:val="4"/>
          <w:sz w:val="30"/>
          <w:szCs w:val="30"/>
          <w:shd w:val="clear" w:fill="FFFFFF"/>
        </w:rPr>
        <w:t>1375万元</w:t>
      </w:r>
      <w:r>
        <w:rPr>
          <w:rFonts w:hint="eastAsia" w:ascii="仿宋" w:hAnsi="仿宋" w:eastAsia="仿宋" w:cs="仿宋"/>
          <w:i w:val="0"/>
          <w:caps w:val="0"/>
          <w:color w:val="333333"/>
          <w:spacing w:val="0"/>
          <w:sz w:val="30"/>
          <w:szCs w:val="30"/>
          <w:shd w:val="clear" w:fill="FFFFFF"/>
        </w:rPr>
        <w:t>（2020农指380号、湘财预指（2021）120号）用于2021年农机购置补贴资金项目，</w:t>
      </w:r>
      <w:r>
        <w:rPr>
          <w:rFonts w:hint="eastAsia" w:ascii="仿宋" w:hAnsi="仿宋" w:eastAsia="仿宋" w:cs="仿宋"/>
          <w:i w:val="0"/>
          <w:caps w:val="0"/>
          <w:color w:val="333333"/>
          <w:spacing w:val="4"/>
          <w:sz w:val="30"/>
          <w:szCs w:val="30"/>
          <w:shd w:val="clear" w:fill="FFFFFF"/>
        </w:rPr>
        <w:t>2021年，赫山区共受理农机购置、农机报废补贴机具913台，受益农户552户，该批资金2021年分9批次进行结算（其中农机购置补贴支付5批，农机报废补贴4批），我中心于2021年底前对农机购置、报废补贴进行了6批次打卡支付1100.7339万（其中：农机购置补贴4批次，农机报废补贴2批次），2022年1月进行了3批次打卡支付122.333万（其中农机购置补贴1批次，农机报废补贴2批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4"/>
          <w:sz w:val="30"/>
          <w:szCs w:val="30"/>
          <w:shd w:val="clear" w:fill="FFFFFF"/>
          <w:lang w:val="en-US" w:eastAsia="zh-CN"/>
        </w:rPr>
        <w:t>5.</w:t>
      </w:r>
      <w:r>
        <w:rPr>
          <w:rFonts w:hint="eastAsia" w:ascii="仿宋" w:hAnsi="仿宋" w:eastAsia="仿宋" w:cs="仿宋"/>
          <w:i w:val="0"/>
          <w:caps w:val="0"/>
          <w:color w:val="333333"/>
          <w:spacing w:val="4"/>
          <w:sz w:val="30"/>
          <w:szCs w:val="30"/>
          <w:shd w:val="clear" w:fill="FFFFFF"/>
        </w:rPr>
        <w:t>2020年财政年初小型专项预算77万元，其中：党建经费2万元，农机购置补贴工作经费20万元，放管服改革费用40万元，农机安全生产10万元，农机管理及农机安全生产5万元。此笔费用已分别用于党建开支，农机项目推广实施工作开支及农机安全生产、农机牌证管理、顽瘴痼疾治理及放管服改革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i w:val="0"/>
          <w:caps w:val="0"/>
          <w:color w:val="333333"/>
          <w:spacing w:val="0"/>
          <w:sz w:val="30"/>
          <w:szCs w:val="30"/>
        </w:rPr>
      </w:pPr>
      <w:r>
        <w:rPr>
          <w:rFonts w:hint="eastAsia" w:ascii="黑体" w:hAnsi="黑体" w:eastAsia="黑体" w:cs="黑体"/>
          <w:b w:val="0"/>
          <w:i w:val="0"/>
          <w:caps w:val="0"/>
          <w:color w:val="333333"/>
          <w:spacing w:val="4"/>
          <w:sz w:val="30"/>
          <w:szCs w:val="30"/>
          <w:shd w:val="clear" w:fill="FFFFFF"/>
        </w:rPr>
        <w:t> 三、政府性基金预算支出情况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4"/>
          <w:sz w:val="30"/>
          <w:szCs w:val="30"/>
          <w:shd w:val="clear" w:fill="FFFFFF"/>
        </w:rPr>
        <w:t>2021年赫山区农机事务中心年初结转政府性基金0万元，政府性基金年初预算支出为零万元，2021年无政府性基金支出。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 四、国有资本经营预算支出情况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4"/>
          <w:sz w:val="30"/>
          <w:szCs w:val="30"/>
          <w:shd w:val="clear" w:fill="FFFFFF"/>
        </w:rPr>
        <w:t>2021年国有资本经营收入预算为15.83万元，用于弥补人员经费不足。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五、社会保险基金预算支出情况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4"/>
          <w:sz w:val="30"/>
          <w:szCs w:val="30"/>
          <w:shd w:val="clear" w:fill="FFFFFF"/>
        </w:rPr>
        <w:t>2021年社会保险基金</w:t>
      </w:r>
      <w:r>
        <w:rPr>
          <w:rFonts w:hint="eastAsia" w:ascii="仿宋" w:hAnsi="仿宋" w:eastAsia="仿宋" w:cs="仿宋"/>
          <w:i w:val="0"/>
          <w:caps w:val="0"/>
          <w:color w:val="000000"/>
          <w:spacing w:val="0"/>
          <w:sz w:val="30"/>
          <w:szCs w:val="30"/>
          <w:shd w:val="clear" w:fill="FFFFFF"/>
        </w:rPr>
        <w:t>预算支出零万元，决算支出零万元。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 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我单位严格按照年初预算进行部门整体支出。在支出过程中，遵守各项规章制度，“三公经费”较上年有所下降。所有农机工作都详细制定了方案，严格按方案组织实施，并加强了监督。尤其是在农业项目专项资金支出上，专款专用，按工作实施计划情况进行资金拨付。落实省、市、区下达的全年工作目标任务和重点工作。实行了先有预算、后有执行、“用钱必问效、无效必问责”的常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绩效目标方面：在编制2021年的补贴项目计划时，编制项目效益计划，确定各项目的绩效目标。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绩效跟踪方面:由各项目负责人组织、协调和督促落实绩效管理工作，为推进绩效管理工作健康有序开展，根据上级有关规定和要求，由各项目负责人与有关单位沟通、对接，在顺利完成项目建设任务的同时确保计划的绩效目标实现，在生态效益和群众满意度均达到预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000000"/>
          <w:spacing w:val="0"/>
          <w:sz w:val="30"/>
          <w:szCs w:val="30"/>
          <w:shd w:val="clear" w:fill="FFFFFF"/>
        </w:rPr>
        <w:t>绩效目标完成情况：2021年，</w:t>
      </w:r>
      <w:r>
        <w:rPr>
          <w:rFonts w:hint="eastAsia" w:ascii="仿宋" w:hAnsi="仿宋" w:eastAsia="仿宋" w:cs="仿宋"/>
          <w:i w:val="0"/>
          <w:caps w:val="0"/>
          <w:color w:val="333333"/>
          <w:spacing w:val="0"/>
          <w:sz w:val="30"/>
          <w:szCs w:val="30"/>
          <w:shd w:val="clear" w:fill="FFFFFF"/>
        </w:rPr>
        <w:t>水稻生产综合机械化水平增长</w:t>
      </w:r>
      <w:r>
        <w:rPr>
          <w:rFonts w:hint="eastAsia" w:ascii="仿宋" w:hAnsi="仿宋" w:eastAsia="仿宋" w:cs="仿宋"/>
          <w:i w:val="0"/>
          <w:caps w:val="0"/>
          <w:color w:val="000000"/>
          <w:spacing w:val="0"/>
          <w:sz w:val="30"/>
          <w:szCs w:val="30"/>
          <w:shd w:val="clear" w:fill="FFFFFF"/>
        </w:rPr>
        <w:t>1.84个百分点，达88.69%，其中：机耕水平达99.8%，机收水平达99.7%，机种水平达62.3%。水稻高效植保机械化水平</w:t>
      </w:r>
      <w:r>
        <w:rPr>
          <w:rFonts w:hint="eastAsia" w:ascii="仿宋" w:hAnsi="仿宋" w:eastAsia="仿宋" w:cs="仿宋"/>
          <w:i w:val="0"/>
          <w:caps w:val="0"/>
          <w:color w:val="333333"/>
          <w:spacing w:val="0"/>
          <w:sz w:val="30"/>
          <w:szCs w:val="30"/>
          <w:shd w:val="clear" w:fill="FFFFFF"/>
        </w:rPr>
        <w:t>增长3.5个百分点，达70</w:t>
      </w:r>
      <w:r>
        <w:rPr>
          <w:rFonts w:hint="eastAsia" w:ascii="仿宋" w:hAnsi="仿宋" w:eastAsia="仿宋" w:cs="仿宋"/>
          <w:i w:val="0"/>
          <w:caps w:val="0"/>
          <w:color w:val="000000"/>
          <w:spacing w:val="0"/>
          <w:sz w:val="30"/>
          <w:szCs w:val="30"/>
          <w:shd w:val="clear" w:fill="FFFFFF"/>
        </w:rPr>
        <w:t>%。水稻烘干机械化水平</w:t>
      </w:r>
      <w:r>
        <w:rPr>
          <w:rFonts w:hint="eastAsia" w:ascii="仿宋" w:hAnsi="仿宋" w:eastAsia="仿宋" w:cs="仿宋"/>
          <w:i w:val="0"/>
          <w:caps w:val="0"/>
          <w:color w:val="333333"/>
          <w:spacing w:val="0"/>
          <w:sz w:val="30"/>
          <w:szCs w:val="30"/>
          <w:shd w:val="clear" w:fill="FFFFFF"/>
        </w:rPr>
        <w:t>增长4个百分点，</w:t>
      </w:r>
      <w:r>
        <w:rPr>
          <w:rFonts w:hint="eastAsia" w:ascii="仿宋" w:hAnsi="仿宋" w:eastAsia="仿宋" w:cs="仿宋"/>
          <w:i w:val="0"/>
          <w:caps w:val="0"/>
          <w:color w:val="000000"/>
          <w:spacing w:val="0"/>
          <w:sz w:val="30"/>
          <w:szCs w:val="30"/>
          <w:shd w:val="clear" w:fill="FFFFFF"/>
        </w:rPr>
        <w:t>达72%。</w:t>
      </w:r>
      <w:r>
        <w:rPr>
          <w:rFonts w:hint="eastAsia" w:ascii="仿宋" w:hAnsi="仿宋" w:eastAsia="仿宋" w:cs="仿宋"/>
          <w:i w:val="0"/>
          <w:caps w:val="0"/>
          <w:color w:val="333333"/>
          <w:spacing w:val="0"/>
          <w:sz w:val="30"/>
          <w:szCs w:val="30"/>
          <w:shd w:val="clear" w:fill="FFFFFF"/>
        </w:rPr>
        <w:t>全区油菜生产综合机械化水平增长6个百分点，</w:t>
      </w:r>
      <w:r>
        <w:rPr>
          <w:rFonts w:hint="eastAsia" w:ascii="仿宋" w:hAnsi="仿宋" w:eastAsia="仿宋" w:cs="仿宋"/>
          <w:i w:val="0"/>
          <w:caps w:val="0"/>
          <w:color w:val="000000"/>
          <w:spacing w:val="0"/>
          <w:sz w:val="30"/>
          <w:szCs w:val="30"/>
          <w:shd w:val="clear" w:fill="FFFFFF"/>
        </w:rPr>
        <w:t>达85%，机耕与机收基本实现机械化，机种水平达50%。</w:t>
      </w:r>
      <w:r>
        <w:rPr>
          <w:rFonts w:hint="eastAsia" w:ascii="仿宋" w:hAnsi="仿宋" w:eastAsia="仿宋" w:cs="仿宋"/>
          <w:i w:val="0"/>
          <w:caps w:val="0"/>
          <w:color w:val="333333"/>
          <w:spacing w:val="0"/>
          <w:sz w:val="30"/>
          <w:szCs w:val="30"/>
          <w:shd w:val="clear" w:fill="FFFFFF"/>
        </w:rPr>
        <w:t>全区油菜生产综合机械化水平增长6个百分点，</w:t>
      </w:r>
      <w:r>
        <w:rPr>
          <w:rFonts w:hint="eastAsia" w:ascii="仿宋" w:hAnsi="仿宋" w:eastAsia="仿宋" w:cs="仿宋"/>
          <w:i w:val="0"/>
          <w:caps w:val="0"/>
          <w:color w:val="000000"/>
          <w:spacing w:val="0"/>
          <w:sz w:val="30"/>
          <w:szCs w:val="30"/>
          <w:shd w:val="clear" w:fill="FFFFFF"/>
        </w:rPr>
        <w:t>达85%，机耕与机收基本实现机械化，机种水平达50%，2021年</w:t>
      </w:r>
      <w:r>
        <w:rPr>
          <w:rFonts w:hint="eastAsia" w:ascii="仿宋" w:hAnsi="仿宋" w:eastAsia="仿宋" w:cs="仿宋"/>
          <w:i w:val="0"/>
          <w:caps w:val="0"/>
          <w:color w:val="333333"/>
          <w:spacing w:val="0"/>
          <w:sz w:val="30"/>
          <w:szCs w:val="30"/>
          <w:shd w:val="clear" w:fill="FFFFFF"/>
        </w:rPr>
        <w:t>已受理国家农机购置补贴申请机具913台套、受益农户552户，资金1355.27万元。其中国家农机购置补贴资金1249.17万元、省级累补资金106.10万元。</w:t>
      </w:r>
      <w:r>
        <w:rPr>
          <w:rFonts w:hint="eastAsia" w:ascii="仿宋" w:hAnsi="仿宋" w:eastAsia="仿宋" w:cs="仿宋"/>
          <w:i w:val="0"/>
          <w:caps w:val="0"/>
          <w:color w:val="000000"/>
          <w:spacing w:val="0"/>
          <w:sz w:val="30"/>
          <w:szCs w:val="30"/>
          <w:shd w:val="clear" w:fill="FFFFFF"/>
        </w:rPr>
        <w:t>争取省级奖补资金15万元，培建省级现代农机专业合作社2家；争取奖补资金30万元，培建省级现代农机专业合作社示范社1家；争取奖补资金200万元，培建全程机械化综合农事服务中心2家。农机合作社社会化服务能力明显提升。完成机械化深施肥作业补贴试点项目任务面积42086亩，完成</w:t>
      </w:r>
      <w:r>
        <w:rPr>
          <w:rFonts w:hint="eastAsia" w:ascii="仿宋" w:hAnsi="仿宋" w:eastAsia="仿宋" w:cs="仿宋"/>
          <w:i w:val="0"/>
          <w:caps w:val="0"/>
          <w:color w:val="333333"/>
          <w:spacing w:val="0"/>
          <w:sz w:val="30"/>
          <w:szCs w:val="30"/>
          <w:shd w:val="clear" w:fill="FFFFFF"/>
        </w:rPr>
        <w:t>水稻机插秧和有序机抛秧作业补贴试点项目</w:t>
      </w:r>
      <w:r>
        <w:rPr>
          <w:rFonts w:hint="eastAsia" w:ascii="仿宋" w:hAnsi="仿宋" w:eastAsia="仿宋" w:cs="仿宋"/>
          <w:i w:val="0"/>
          <w:caps w:val="0"/>
          <w:color w:val="000000"/>
          <w:spacing w:val="0"/>
          <w:sz w:val="30"/>
          <w:szCs w:val="30"/>
          <w:shd w:val="clear" w:fill="FFFFFF"/>
        </w:rPr>
        <w:t>任务面积30191亩，完成冬季油菜机械化播种面积达10万亩，其中核心示范面积全程机械化生产面积2万多亩。举办农机技术培训班4期，机具现场展示、演示6次，培训学员200多人。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资产管理方面：2021年新增资产3.06万元。单位严格根据国有资产管理的有关规定，组织并实施</w:t>
      </w:r>
      <w:r>
        <w:rPr>
          <w:rFonts w:hint="eastAsia" w:ascii="仿宋" w:hAnsi="仿宋" w:eastAsia="仿宋" w:cs="仿宋"/>
          <w:i w:val="0"/>
          <w:caps w:val="0"/>
          <w:color w:val="333333"/>
          <w:spacing w:val="0"/>
          <w:sz w:val="30"/>
          <w:szCs w:val="30"/>
          <w:shd w:val="clear" w:fill="FFFFFF"/>
          <w:lang w:eastAsia="zh-CN"/>
        </w:rPr>
        <w:t>本部门</w:t>
      </w:r>
      <w:r>
        <w:rPr>
          <w:rFonts w:hint="eastAsia" w:ascii="仿宋" w:hAnsi="仿宋" w:eastAsia="仿宋" w:cs="仿宋"/>
          <w:i w:val="0"/>
          <w:caps w:val="0"/>
          <w:color w:val="333333"/>
          <w:spacing w:val="0"/>
          <w:sz w:val="30"/>
          <w:szCs w:val="30"/>
          <w:shd w:val="clear" w:fill="FFFFFF"/>
        </w:rPr>
        <w:t>的国有资产管理工作。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三公经费控制方面： 2021年三公经费2.83万元，因公出(国)境费用0元，公务用车购置及运行维护费0元。国内公务接待费2.83万元。零增长，把推进厉行节约、反对浪费工作的制度化、规范化、程序化，确保“三公”经费各项要求落到实处。中心严格按照财务制度的规定，每一笔业务支出严格按照财务审批程序执行财务报销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预决算公开方面:按照上级的要求，我单位在赫山政府网站上进行了2022年预算公开，2020年决算公开。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内部管理制度建设情况：2021年，我</w:t>
      </w:r>
      <w:r>
        <w:rPr>
          <w:rFonts w:hint="eastAsia" w:ascii="仿宋" w:hAnsi="仿宋" w:eastAsia="仿宋" w:cs="仿宋"/>
          <w:i w:val="0"/>
          <w:caps w:val="0"/>
          <w:color w:val="333333"/>
          <w:spacing w:val="0"/>
          <w:sz w:val="30"/>
          <w:szCs w:val="30"/>
          <w:shd w:val="clear" w:fill="FFFFFF"/>
          <w:lang w:eastAsia="zh-CN"/>
        </w:rPr>
        <w:t>单位</w:t>
      </w:r>
      <w:r>
        <w:rPr>
          <w:rFonts w:hint="eastAsia" w:ascii="仿宋" w:hAnsi="仿宋" w:eastAsia="仿宋" w:cs="仿宋"/>
          <w:i w:val="0"/>
          <w:caps w:val="0"/>
          <w:color w:val="333333"/>
          <w:spacing w:val="0"/>
          <w:sz w:val="30"/>
          <w:szCs w:val="30"/>
          <w:shd w:val="clear" w:fill="FFFFFF"/>
        </w:rPr>
        <w:t>更新完善了部分内部控制管理制度。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绩效评价方面：积极落实区财政局的相关文件精神，在所有项目实施过程中进行绩效评价，推进绩效管理工作水平的不断提升，进一步完善绩效评价管理机制，督促绩效问题的整改。通过开展绩效评价，我们及时找出项目管理中存在的问题及其原因，在下一年度项目计划的申报和实施中，积极采取措施，加强项目的规划与科学论证，健全项目资金的核算与管理制度，改进资金使用管理方式，逐步形成自我约束、内部规范的良性机制，提高了管理水平和资金使用效益。部门决算中项目绩效自评结果为93分，较好地完成了项目预定的绩效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七、存在的问题及原因分析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textAlignment w:val="center"/>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在单位编制年初预算时，预算编制不够明确和细化,受项目申报等原因影响在年初预算时未把有些项目纳入年初预算，使年初项目支出预算与年终实际项目支出数存在差异。预算执行中，2021年由于受新冠疫情影响、管理政策及帮扶资金投入等因素的影响，单位需要调整预算。影响全年预算的完成预算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八、下一步改进措施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both"/>
        <w:textAlignment w:val="center"/>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在单位进行年初预算时，一定要根据实际情况科学全面的编制各项费用所需的预算支出，把单位重点绩效项目预算支出编制入年初预算，提高单位预算执行率，以提高执行效率。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16" w:firstLineChars="200"/>
        <w:jc w:val="left"/>
        <w:rPr>
          <w:rFonts w:hint="eastAsia" w:ascii="黑体" w:hAnsi="黑体" w:eastAsia="黑体" w:cs="黑体"/>
          <w:b w:val="0"/>
          <w:i w:val="0"/>
          <w:caps w:val="0"/>
          <w:color w:val="333333"/>
          <w:spacing w:val="4"/>
          <w:sz w:val="30"/>
          <w:szCs w:val="30"/>
          <w:shd w:val="clear" w:fill="FFFFFF"/>
        </w:rPr>
      </w:pPr>
      <w:r>
        <w:rPr>
          <w:rFonts w:hint="eastAsia" w:ascii="黑体" w:hAnsi="黑体" w:eastAsia="黑体" w:cs="黑体"/>
          <w:b w:val="0"/>
          <w:i w:val="0"/>
          <w:caps w:val="0"/>
          <w:color w:val="333333"/>
          <w:spacing w:val="4"/>
          <w:sz w:val="30"/>
          <w:szCs w:val="30"/>
          <w:shd w:val="clear" w:fill="FFFFFF"/>
        </w:rPr>
        <w:t>九、其它需要说明的事项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left"/>
        <w:rPr>
          <w:rFonts w:hint="eastAsia" w:ascii="仿宋" w:hAnsi="仿宋" w:eastAsia="仿宋" w:cs="仿宋"/>
          <w:i w:val="0"/>
          <w:caps w:val="0"/>
          <w:color w:val="333333"/>
          <w:spacing w:val="0"/>
          <w:sz w:val="30"/>
          <w:szCs w:val="30"/>
          <w:shd w:val="clear" w:fill="FFFFFF"/>
        </w:rPr>
      </w:pPr>
      <w:r>
        <w:rPr>
          <w:rFonts w:hint="eastAsia" w:ascii="仿宋" w:hAnsi="仿宋" w:eastAsia="仿宋" w:cs="仿宋"/>
          <w:i w:val="0"/>
          <w:caps w:val="0"/>
          <w:color w:val="333333"/>
          <w:spacing w:val="0"/>
          <w:sz w:val="30"/>
          <w:szCs w:val="30"/>
          <w:shd w:val="clear" w:fill="FFFFFF"/>
        </w:rPr>
        <w:t>上级巡查，各级审计和财政监督中没有发现问题。绩效评价是一项综合性、专业性较强的工作，涉及财务管理、经济学、社会学、工程造价等多项领域，故仅仅依靠财务人员在没有与其他相关领域的专家进行沟通的情况下，对部门整体支出进行独立评价可能结果可能并不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right="0" w:firstLine="600" w:firstLineChars="200"/>
        <w:jc w:val="center"/>
        <w:rPr>
          <w:rFonts w:hint="eastAsia" w:ascii="仿宋" w:hAnsi="仿宋" w:eastAsia="仿宋" w:cs="仿宋"/>
          <w:i w:val="0"/>
          <w:caps w:val="0"/>
          <w:color w:val="333333"/>
          <w:spacing w:val="0"/>
          <w:sz w:val="30"/>
          <w:szCs w:val="30"/>
          <w:shd w:val="clear" w:fill="FFFFFF"/>
          <w:lang w:val="en-US" w:eastAsia="zh-CN"/>
        </w:rPr>
      </w:pPr>
      <w:r>
        <w:rPr>
          <w:rFonts w:hint="eastAsia" w:ascii="仿宋" w:hAnsi="仿宋" w:eastAsia="仿宋" w:cs="仿宋"/>
          <w:i w:val="0"/>
          <w:caps w:val="0"/>
          <w:color w:val="333333"/>
          <w:spacing w:val="0"/>
          <w:sz w:val="30"/>
          <w:szCs w:val="30"/>
          <w:shd w:val="clear" w:fill="FFFFFF"/>
        </w:rPr>
        <w:t> </w:t>
      </w:r>
      <w:r>
        <w:rPr>
          <w:rFonts w:hint="eastAsia" w:ascii="仿宋" w:hAnsi="仿宋" w:eastAsia="仿宋" w:cs="仿宋"/>
          <w:i w:val="0"/>
          <w:caps w:val="0"/>
          <w:color w:val="333333"/>
          <w:spacing w:val="0"/>
          <w:sz w:val="30"/>
          <w:szCs w:val="30"/>
          <w:shd w:val="clear" w:fill="FFFFFF"/>
          <w:lang w:val="en-US" w:eastAsia="zh-CN"/>
        </w:rPr>
        <w:t xml:space="preserve">                               </w:t>
      </w:r>
    </w:p>
    <w:p>
      <w:pPr>
        <w:keepNext w:val="0"/>
        <w:keepLines w:val="0"/>
        <w:pageBreakBefore w:val="0"/>
        <w:kinsoku/>
        <w:wordWrap/>
        <w:overflowPunct/>
        <w:topLinePunct w:val="0"/>
        <w:bidi w:val="0"/>
        <w:snapToGrid w:val="0"/>
        <w:spacing w:beforeLines="50" w:afterLines="50" w:line="600" w:lineRule="exact"/>
        <w:ind w:firstLine="600" w:firstLineChars="200"/>
        <w:jc w:val="center"/>
        <w:rPr>
          <w:rFonts w:hint="eastAsia" w:ascii="仿宋" w:hAnsi="仿宋" w:eastAsia="仿宋" w:cs="仿宋"/>
          <w:sz w:val="30"/>
          <w:szCs w:val="30"/>
        </w:rPr>
      </w:pPr>
      <w:r>
        <w:rPr>
          <w:rFonts w:hint="eastAsia" w:ascii="仿宋" w:hAnsi="仿宋" w:eastAsia="仿宋" w:cs="仿宋"/>
          <w:i w:val="0"/>
          <w:caps w:val="0"/>
          <w:color w:val="333333"/>
          <w:spacing w:val="0"/>
          <w:sz w:val="30"/>
          <w:szCs w:val="30"/>
          <w:shd w:val="clear" w:fill="FFFFFF"/>
          <w:lang w:val="en-US" w:eastAsia="zh-CN"/>
        </w:rPr>
        <w:t xml:space="preserve">                             </w:t>
      </w:r>
    </w:p>
    <w:p>
      <w:pPr>
        <w:keepNext w:val="0"/>
        <w:keepLines w:val="0"/>
        <w:pageBreakBefore w:val="0"/>
        <w:kinsoku/>
        <w:wordWrap/>
        <w:overflowPunct/>
        <w:topLinePunct w:val="0"/>
        <w:bidi w:val="0"/>
        <w:snapToGrid w:val="0"/>
        <w:spacing w:beforeLines="5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4"/>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3.5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7.5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rPr>
            </w:pPr>
            <w:r>
              <w:rPr>
                <w:rFonts w:hint="eastAsia" w:ascii="宋体" w:hAnsi="宋体" w:cs="宋体"/>
              </w:rPr>
              <w:t>总分</w:t>
            </w:r>
          </w:p>
        </w:tc>
        <w:tc>
          <w:tcPr>
            <w:tcW w:w="710" w:type="dxa"/>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 w:lineRule="atLeast"/>
        <w:ind w:left="0" w:right="0" w:firstLine="640"/>
        <w:jc w:val="left"/>
        <w:rPr>
          <w:rFonts w:hint="default" w:ascii="Times New Roman" w:hAnsi="Times New Roman" w:cs="Times New Roman"/>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 w:lineRule="atLeast"/>
        <w:ind w:left="0" w:right="0" w:firstLine="0"/>
        <w:jc w:val="center"/>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afterLines="50"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Lines="50" w:line="600" w:lineRule="exact"/>
        <w:ind w:firstLine="600" w:firstLineChars="200"/>
        <w:jc w:val="lef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Lines="50" w:line="600" w:lineRule="exact"/>
        <w:ind w:firstLine="600" w:firstLineChars="200"/>
        <w:jc w:val="left"/>
        <w:textAlignment w:val="auto"/>
        <w:rPr>
          <w:rFonts w:hint="eastAsia" w:ascii="仿宋" w:hAnsi="仿宋" w:eastAsia="仿宋" w:cs="仿宋"/>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3F6A591F"/>
    <w:rsid w:val="61D8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7721</Words>
  <Characters>8232</Characters>
  <Lines>0</Lines>
  <Paragraphs>0</Paragraphs>
  <TotalTime>0</TotalTime>
  <ScaleCrop>false</ScaleCrop>
  <LinksUpToDate>false</LinksUpToDate>
  <CharactersWithSpaces>8351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2023-06-20T10:02:00Z</dcterms:created>
  <dc:creator>admin-3</dc:creator>
  <cp:lastModifiedBy>Administrator</cp:lastModifiedBy>
  <dcterms:modified xsi:type="dcterms:W3CDTF">2023-10-05T07:08:43Z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CD48846DF4DA46859392EE48F0227F3B_12</vt:lpwstr>
  </property>
</Properties>
</file>