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hint="eastAsia" w:ascii="黑体" w:hAnsi="黑体" w:eastAsia="黑体" w:cs="黑体"/>
          <w:sz w:val="36"/>
          <w:szCs w:val="36"/>
          <w:highlight w:val="none"/>
        </w:rPr>
      </w:pPr>
    </w:p>
    <w:p>
      <w:pPr>
        <w:widowControl w:val="0"/>
        <w:spacing w:line="560" w:lineRule="exact"/>
        <w:jc w:val="center"/>
        <w:rPr>
          <w:rFonts w:hint="eastAsia" w:ascii="黑体" w:hAnsi="黑体" w:eastAsia="黑体" w:cs="黑体"/>
          <w:sz w:val="36"/>
          <w:szCs w:val="36"/>
          <w:highlight w:val="none"/>
        </w:rPr>
      </w:pPr>
      <w:bookmarkStart w:id="0" w:name="_GoBack"/>
      <w:bookmarkEnd w:id="0"/>
      <w:r>
        <w:rPr>
          <w:rFonts w:hint="eastAsia" w:ascii="黑体" w:hAnsi="黑体" w:eastAsia="黑体" w:cs="黑体"/>
          <w:sz w:val="36"/>
          <w:szCs w:val="36"/>
          <w:highlight w:val="none"/>
        </w:rPr>
        <w:t>益阳市</w:t>
      </w:r>
      <w:r>
        <w:rPr>
          <w:rFonts w:hint="eastAsia" w:ascii="黑体" w:hAnsi="黑体" w:eastAsia="黑体" w:cs="黑体"/>
          <w:sz w:val="36"/>
          <w:szCs w:val="36"/>
          <w:highlight w:val="none"/>
          <w:lang w:eastAsia="zh-CN"/>
        </w:rPr>
        <w:t>赫山</w:t>
      </w:r>
      <w:r>
        <w:rPr>
          <w:rFonts w:hint="eastAsia" w:ascii="黑体" w:hAnsi="黑体" w:eastAsia="黑体" w:cs="黑体"/>
          <w:sz w:val="36"/>
          <w:szCs w:val="36"/>
          <w:highlight w:val="none"/>
        </w:rPr>
        <w:t>区林业局2021年度部门</w:t>
      </w:r>
    </w:p>
    <w:p>
      <w:pPr>
        <w:widowControl w:val="0"/>
        <w:spacing w:line="560" w:lineRule="exact"/>
        <w:jc w:val="center"/>
        <w:rPr>
          <w:rFonts w:hint="eastAsia" w:ascii="方正小标宋简体" w:hAnsi="方正小标宋简体" w:eastAsia="方正小标宋简体" w:cs="方正小标宋简体"/>
          <w:sz w:val="44"/>
          <w:szCs w:val="44"/>
          <w:highlight w:val="none"/>
        </w:rPr>
      </w:pPr>
      <w:r>
        <w:rPr>
          <w:rFonts w:hint="eastAsia" w:ascii="黑体" w:hAnsi="黑体" w:eastAsia="黑体" w:cs="黑体"/>
          <w:sz w:val="36"/>
          <w:szCs w:val="36"/>
          <w:highlight w:val="none"/>
        </w:rPr>
        <w:t>整体支出绩效评价报告</w:t>
      </w:r>
    </w:p>
    <w:p>
      <w:pPr>
        <w:spacing w:line="560" w:lineRule="exact"/>
        <w:jc w:val="center"/>
        <w:rPr>
          <w:rFonts w:hint="eastAsia" w:ascii="方正小标宋简体" w:hAnsi="方正小标宋简体" w:eastAsia="方正小标宋简体" w:cs="方正小标宋简体"/>
          <w:sz w:val="44"/>
          <w:szCs w:val="44"/>
          <w:highlight w:val="none"/>
        </w:rPr>
      </w:pPr>
    </w:p>
    <w:p>
      <w:pPr>
        <w:keepNext/>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kern w:val="0"/>
          <w:sz w:val="32"/>
          <w:szCs w:val="24"/>
          <w:highlight w:val="none"/>
        </w:rPr>
      </w:pPr>
      <w:r>
        <w:rPr>
          <w:rFonts w:hint="eastAsia" w:ascii="仿宋" w:hAnsi="仿宋" w:eastAsia="仿宋" w:cs="仿宋"/>
          <w:color w:val="000000"/>
          <w:kern w:val="0"/>
          <w:sz w:val="30"/>
          <w:szCs w:val="30"/>
          <w:highlight w:val="none"/>
        </w:rPr>
        <w:t>根据《益阳市赫山区财政局关于做好2021年度预算绩效自评工作的通知》（益赫财绩〔2022〕1号）文件精神，我局对2021年度部门整体支出绩效进行了全面的综合评价。部门整体支出重点评价：津贴补贴政策落实情况，资产管理情况，三公经费控制及预算决算公开情况，存量资金管理情况和区委政府年度绩效目标个性指标完成情况和其他应该重点评价的内容等。经相关业务股室全面综合自评，我局2021年度部门整体支出绩效自评分为91分，评价等级为“优”。现将自评情况汇报如下：</w:t>
      </w:r>
    </w:p>
    <w:p>
      <w:pPr>
        <w:overflowPunct w:val="0"/>
        <w:spacing w:line="560" w:lineRule="exact"/>
        <w:ind w:firstLine="600" w:firstLineChars="200"/>
        <w:rPr>
          <w:rFonts w:hint="eastAsia" w:ascii="黑体" w:hAnsi="黑体" w:eastAsia="黑体" w:cs="黑体"/>
          <w:bCs/>
          <w:color w:val="000000"/>
          <w:kern w:val="0"/>
          <w:sz w:val="30"/>
          <w:szCs w:val="30"/>
          <w:highlight w:val="none"/>
        </w:rPr>
      </w:pPr>
      <w:r>
        <w:rPr>
          <w:rFonts w:hint="eastAsia" w:ascii="黑体" w:hAnsi="黑体" w:eastAsia="黑体" w:cs="黑体"/>
          <w:bCs/>
          <w:color w:val="000000"/>
          <w:kern w:val="0"/>
          <w:sz w:val="30"/>
          <w:szCs w:val="30"/>
          <w:highlight w:val="none"/>
        </w:rPr>
        <w:t>一、</w:t>
      </w:r>
      <w:r>
        <w:rPr>
          <w:rFonts w:hint="eastAsia" w:ascii="黑体" w:eastAsia="黑体" w:cs="仿宋_GB2312"/>
          <w:sz w:val="30"/>
          <w:szCs w:val="30"/>
          <w:highlight w:val="none"/>
        </w:rPr>
        <w:t>部门基本情况</w:t>
      </w:r>
    </w:p>
    <w:p>
      <w:pPr>
        <w:overflowPunct w:val="0"/>
        <w:spacing w:line="560" w:lineRule="exact"/>
        <w:ind w:firstLine="600" w:firstLineChars="200"/>
        <w:rPr>
          <w:rFonts w:hint="eastAsia" w:eastAsia="仿宋_GB2312"/>
          <w:sz w:val="32"/>
          <w:szCs w:val="32"/>
          <w:highlight w:val="none"/>
        </w:rPr>
      </w:pPr>
      <w:r>
        <w:rPr>
          <w:rFonts w:hint="eastAsia" w:ascii="仿宋" w:hAnsi="仿宋" w:eastAsia="仿宋" w:cs="仿宋"/>
          <w:color w:val="000000"/>
          <w:kern w:val="0"/>
          <w:sz w:val="30"/>
          <w:szCs w:val="30"/>
          <w:highlight w:val="none"/>
        </w:rPr>
        <w:t>林业局属行政事业单位，编办核定我局编制42个，其中全额编制40个，自收自支编制2个。2021年年末实有在职人数46人。</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黑体" w:hAnsi="黑体" w:eastAsia="黑体" w:cs="黑体"/>
          <w:bCs/>
          <w:color w:val="000000"/>
          <w:kern w:val="0"/>
          <w:sz w:val="30"/>
          <w:szCs w:val="30"/>
          <w:highlight w:val="none"/>
        </w:rPr>
        <w:t>二、一般公共预算支出情况</w:t>
      </w:r>
    </w:p>
    <w:p>
      <w:pPr>
        <w:overflowPunct w:val="0"/>
        <w:spacing w:line="600" w:lineRule="exact"/>
        <w:ind w:firstLine="590" w:firstLineChars="196"/>
        <w:rPr>
          <w:rFonts w:hint="eastAsia" w:ascii="仿宋" w:hAnsi="仿宋" w:eastAsia="仿宋" w:cs="仿宋"/>
          <w:b/>
          <w:color w:val="000000"/>
          <w:kern w:val="0"/>
          <w:sz w:val="30"/>
          <w:szCs w:val="30"/>
          <w:highlight w:val="none"/>
        </w:rPr>
      </w:pPr>
      <w:r>
        <w:rPr>
          <w:rFonts w:hint="eastAsia" w:ascii="仿宋" w:hAnsi="仿宋" w:eastAsia="仿宋" w:cs="仿宋"/>
          <w:b/>
          <w:color w:val="000000"/>
          <w:kern w:val="0"/>
          <w:sz w:val="30"/>
          <w:szCs w:val="30"/>
          <w:highlight w:val="none"/>
        </w:rPr>
        <w:t>(一)基本支出情况</w:t>
      </w:r>
    </w:p>
    <w:p>
      <w:pPr>
        <w:keepLines w:val="0"/>
        <w:pageBreakBefore w:val="0"/>
        <w:widowControl w:val="0"/>
        <w:kinsoku/>
        <w:wordWrap/>
        <w:overflowPunct/>
        <w:topLinePunct w:val="0"/>
        <w:autoSpaceDE/>
        <w:autoSpaceDN/>
        <w:bidi w:val="0"/>
        <w:spacing w:line="600" w:lineRule="exact"/>
        <w:ind w:firstLine="600" w:firstLineChars="200"/>
        <w:jc w:val="left"/>
        <w:textAlignment w:val="auto"/>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基本支出9</w:t>
      </w:r>
      <w:r>
        <w:rPr>
          <w:rFonts w:hint="eastAsia" w:ascii="仿宋" w:hAnsi="仿宋" w:eastAsia="仿宋" w:cs="仿宋"/>
          <w:color w:val="000000"/>
          <w:kern w:val="0"/>
          <w:sz w:val="30"/>
          <w:szCs w:val="30"/>
          <w:highlight w:val="none"/>
          <w:lang w:val="en-US" w:eastAsia="zh-CN"/>
        </w:rPr>
        <w:t>29.21万</w:t>
      </w:r>
      <w:r>
        <w:rPr>
          <w:rFonts w:hint="eastAsia" w:ascii="仿宋" w:hAnsi="仿宋" w:eastAsia="仿宋" w:cs="仿宋"/>
          <w:color w:val="000000"/>
          <w:kern w:val="0"/>
          <w:sz w:val="30"/>
          <w:szCs w:val="30"/>
          <w:highlight w:val="none"/>
        </w:rPr>
        <w:t>元，其中人员经费支出</w:t>
      </w:r>
      <w:r>
        <w:rPr>
          <w:rFonts w:hint="eastAsia" w:ascii="仿宋" w:hAnsi="仿宋" w:eastAsia="仿宋" w:cs="仿宋"/>
          <w:color w:val="000000"/>
          <w:kern w:val="0"/>
          <w:sz w:val="30"/>
          <w:szCs w:val="30"/>
          <w:highlight w:val="none"/>
          <w:lang w:val="en-US" w:eastAsia="zh-CN"/>
        </w:rPr>
        <w:t>691.25万</w:t>
      </w:r>
      <w:r>
        <w:rPr>
          <w:rFonts w:hint="eastAsia" w:ascii="仿宋" w:hAnsi="仿宋" w:eastAsia="仿宋" w:cs="仿宋"/>
          <w:color w:val="000000"/>
          <w:kern w:val="0"/>
          <w:sz w:val="30"/>
          <w:szCs w:val="30"/>
          <w:highlight w:val="none"/>
        </w:rPr>
        <w:t>元，</w:t>
      </w:r>
      <w:r>
        <w:rPr>
          <w:rFonts w:hint="eastAsia" w:ascii="仿宋" w:hAnsi="仿宋" w:eastAsia="仿宋" w:cs="仿宋"/>
          <w:color w:val="333333"/>
          <w:sz w:val="30"/>
          <w:szCs w:val="30"/>
          <w:highlight w:val="none"/>
          <w:lang w:val="zh-CN" w:eastAsia="zh-CN"/>
        </w:rPr>
        <w:t>占基本支出的</w:t>
      </w:r>
      <w:r>
        <w:rPr>
          <w:rFonts w:hint="eastAsia" w:ascii="仿宋" w:hAnsi="仿宋" w:eastAsia="仿宋" w:cs="仿宋"/>
          <w:color w:val="333333"/>
          <w:sz w:val="30"/>
          <w:szCs w:val="30"/>
          <w:highlight w:val="none"/>
          <w:lang w:val="en-US" w:eastAsia="zh-CN"/>
        </w:rPr>
        <w:t>74.39</w:t>
      </w:r>
      <w:r>
        <w:rPr>
          <w:rFonts w:hint="eastAsia" w:ascii="仿宋" w:hAnsi="仿宋" w:eastAsia="仿宋" w:cs="仿宋"/>
          <w:color w:val="333333"/>
          <w:sz w:val="30"/>
          <w:szCs w:val="30"/>
          <w:highlight w:val="none"/>
          <w:lang w:val="zh-CN" w:eastAsia="zh-CN"/>
        </w:rPr>
        <w:t>%</w:t>
      </w:r>
      <w:r>
        <w:rPr>
          <w:rFonts w:hint="eastAsia" w:ascii="仿宋" w:hAnsi="仿宋" w:eastAsia="仿宋" w:cs="仿宋"/>
          <w:color w:val="000000"/>
          <w:kern w:val="0"/>
          <w:sz w:val="30"/>
          <w:szCs w:val="30"/>
          <w:highlight w:val="none"/>
        </w:rPr>
        <w:t>；公用经费支出237.96万元，占基本支出的25.</w:t>
      </w:r>
      <w:r>
        <w:rPr>
          <w:rFonts w:hint="eastAsia" w:ascii="仿宋" w:hAnsi="仿宋" w:eastAsia="仿宋" w:cs="仿宋"/>
          <w:color w:val="000000"/>
          <w:kern w:val="0"/>
          <w:sz w:val="30"/>
          <w:szCs w:val="30"/>
          <w:highlight w:val="none"/>
          <w:lang w:val="en-US" w:eastAsia="zh-CN"/>
        </w:rPr>
        <w:t>61</w:t>
      </w:r>
      <w:r>
        <w:rPr>
          <w:rFonts w:hint="eastAsia" w:ascii="仿宋" w:hAnsi="仿宋" w:eastAsia="仿宋" w:cs="仿宋"/>
          <w:color w:val="000000"/>
          <w:kern w:val="0"/>
          <w:sz w:val="30"/>
          <w:szCs w:val="30"/>
          <w:highlight w:val="none"/>
        </w:rPr>
        <w:t>%。基本支出主要是保障局机关正常运转而发生的必要费用。我局局机关遵循厉行节约的原则，严控 “三公”经费支出，2021年 “三公”经费支</w:t>
      </w:r>
      <w:r>
        <w:rPr>
          <w:rFonts w:hint="eastAsia" w:ascii="仿宋" w:hAnsi="仿宋" w:eastAsia="仿宋" w:cs="仿宋"/>
          <w:color w:val="000000"/>
          <w:kern w:val="0"/>
          <w:sz w:val="30"/>
          <w:szCs w:val="30"/>
          <w:highlight w:val="none"/>
          <w:lang w:eastAsia="zh-CN"/>
        </w:rPr>
        <w:t>出</w:t>
      </w:r>
      <w:r>
        <w:rPr>
          <w:rFonts w:hint="eastAsia" w:ascii="仿宋" w:hAnsi="仿宋" w:eastAsia="仿宋" w:cs="仿宋"/>
          <w:color w:val="000000"/>
          <w:kern w:val="0"/>
          <w:sz w:val="30"/>
          <w:szCs w:val="30"/>
          <w:highlight w:val="none"/>
          <w:lang w:val="en-US" w:eastAsia="zh-CN"/>
        </w:rPr>
        <w:t>5.</w:t>
      </w:r>
      <w:r>
        <w:rPr>
          <w:rFonts w:hint="eastAsia" w:ascii="仿宋" w:hAnsi="仿宋" w:eastAsia="仿宋" w:cs="仿宋"/>
          <w:color w:val="000000"/>
          <w:kern w:val="0"/>
          <w:sz w:val="30"/>
          <w:szCs w:val="30"/>
          <w:highlight w:val="none"/>
        </w:rPr>
        <w:t>8</w:t>
      </w:r>
      <w:r>
        <w:rPr>
          <w:rFonts w:hint="eastAsia" w:ascii="仿宋" w:hAnsi="仿宋" w:eastAsia="仿宋" w:cs="仿宋"/>
          <w:color w:val="000000"/>
          <w:kern w:val="0"/>
          <w:sz w:val="30"/>
          <w:szCs w:val="30"/>
          <w:highlight w:val="none"/>
          <w:lang w:val="en-US" w:eastAsia="zh-CN"/>
        </w:rPr>
        <w:t>1万</w:t>
      </w:r>
      <w:r>
        <w:rPr>
          <w:rFonts w:hint="eastAsia" w:ascii="仿宋" w:hAnsi="仿宋" w:eastAsia="仿宋" w:cs="仿宋"/>
          <w:color w:val="000000"/>
          <w:kern w:val="0"/>
          <w:sz w:val="30"/>
          <w:szCs w:val="30"/>
          <w:highlight w:val="none"/>
        </w:rPr>
        <w:t>元，较上年增加</w:t>
      </w:r>
      <w:r>
        <w:rPr>
          <w:rFonts w:hint="eastAsia" w:ascii="仿宋" w:hAnsi="仿宋" w:eastAsia="仿宋" w:cs="仿宋"/>
          <w:color w:val="000000"/>
          <w:kern w:val="0"/>
          <w:sz w:val="30"/>
          <w:szCs w:val="30"/>
          <w:highlight w:val="none"/>
          <w:lang w:val="en-US" w:eastAsia="zh-CN"/>
        </w:rPr>
        <w:t>4.53万</w:t>
      </w:r>
      <w:r>
        <w:rPr>
          <w:rFonts w:hint="eastAsia" w:ascii="仿宋" w:hAnsi="仿宋" w:eastAsia="仿宋" w:cs="仿宋"/>
          <w:color w:val="000000"/>
          <w:kern w:val="0"/>
          <w:sz w:val="30"/>
          <w:szCs w:val="30"/>
          <w:highlight w:val="none"/>
        </w:rPr>
        <w:t>元，增加的</w:t>
      </w:r>
      <w:r>
        <w:rPr>
          <w:rFonts w:hint="eastAsia" w:ascii="仿宋" w:hAnsi="仿宋" w:eastAsia="仿宋" w:cs="仿宋"/>
          <w:sz w:val="30"/>
          <w:szCs w:val="30"/>
          <w:highlight w:val="none"/>
          <w:lang w:val="en-US" w:eastAsia="zh-CN"/>
        </w:rPr>
        <w:t>主要原因是本年度支出H3RY88维修及配件、轮胎费用3.78万元，增加森林防火车保险费、油费0.80万元。</w:t>
      </w:r>
    </w:p>
    <w:p>
      <w:pPr>
        <w:overflowPunct w:val="0"/>
        <w:spacing w:line="600" w:lineRule="exact"/>
        <w:ind w:firstLine="590" w:firstLineChars="196"/>
        <w:rPr>
          <w:rFonts w:hint="eastAsia" w:ascii="仿宋" w:hAnsi="仿宋" w:eastAsia="仿宋" w:cs="仿宋"/>
          <w:b/>
          <w:color w:val="000000"/>
          <w:kern w:val="0"/>
          <w:sz w:val="30"/>
          <w:szCs w:val="30"/>
          <w:highlight w:val="none"/>
        </w:rPr>
      </w:pPr>
      <w:r>
        <w:rPr>
          <w:rFonts w:hint="eastAsia" w:ascii="仿宋" w:hAnsi="仿宋" w:eastAsia="仿宋" w:cs="仿宋"/>
          <w:b/>
          <w:color w:val="000000"/>
          <w:kern w:val="0"/>
          <w:sz w:val="30"/>
          <w:szCs w:val="30"/>
          <w:highlight w:val="none"/>
        </w:rPr>
        <w:t>（二）项目支出情况</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项目支出181</w:t>
      </w:r>
      <w:r>
        <w:rPr>
          <w:rFonts w:hint="eastAsia" w:ascii="仿宋" w:hAnsi="仿宋" w:eastAsia="仿宋" w:cs="仿宋"/>
          <w:color w:val="000000"/>
          <w:kern w:val="0"/>
          <w:sz w:val="30"/>
          <w:szCs w:val="30"/>
          <w:highlight w:val="none"/>
          <w:lang w:val="en-US" w:eastAsia="zh-CN"/>
        </w:rPr>
        <w:t>1.99万</w:t>
      </w:r>
      <w:r>
        <w:rPr>
          <w:rFonts w:hint="eastAsia" w:ascii="仿宋" w:hAnsi="仿宋" w:eastAsia="仿宋" w:cs="仿宋"/>
          <w:color w:val="000000"/>
          <w:kern w:val="0"/>
          <w:sz w:val="30"/>
          <w:szCs w:val="30"/>
          <w:highlight w:val="none"/>
        </w:rPr>
        <w:t>元,其中行政事业类项目支出181</w:t>
      </w:r>
      <w:r>
        <w:rPr>
          <w:rFonts w:hint="eastAsia" w:ascii="仿宋" w:hAnsi="仿宋" w:eastAsia="仿宋" w:cs="仿宋"/>
          <w:color w:val="000000"/>
          <w:kern w:val="0"/>
          <w:sz w:val="30"/>
          <w:szCs w:val="30"/>
          <w:highlight w:val="none"/>
          <w:lang w:val="en-US" w:eastAsia="zh-CN"/>
        </w:rPr>
        <w:t>1.99</w:t>
      </w:r>
      <w:r>
        <w:rPr>
          <w:rFonts w:hint="eastAsia" w:ascii="仿宋" w:hAnsi="仿宋" w:eastAsia="仿宋" w:cs="仿宋"/>
          <w:color w:val="000000"/>
          <w:kern w:val="0"/>
          <w:sz w:val="30"/>
          <w:szCs w:val="30"/>
          <w:highlight w:val="none"/>
        </w:rPr>
        <w:t>。林业专项资金主要用于森林资源培育、森林管护、森林资源管理、林业有害生物防治、油茶产业发展、林业科技推广、林业贷款贴息、动植物保护等方面。</w:t>
      </w:r>
    </w:p>
    <w:p>
      <w:pPr>
        <w:overflowPunct w:val="0"/>
        <w:spacing w:line="560" w:lineRule="exact"/>
        <w:ind w:firstLine="600" w:firstLineChars="200"/>
        <w:rPr>
          <w:rFonts w:hint="eastAsia" w:ascii="仿宋_GB2312" w:hAnsi="仿宋_GB2312" w:eastAsia="仿宋_GB2312" w:cs="仿宋_GB2312"/>
          <w:color w:val="000000"/>
          <w:kern w:val="0"/>
          <w:sz w:val="32"/>
          <w:szCs w:val="24"/>
          <w:highlight w:val="none"/>
        </w:rPr>
      </w:pPr>
      <w:r>
        <w:rPr>
          <w:rFonts w:hint="eastAsia" w:ascii="仿宋" w:hAnsi="仿宋" w:eastAsia="仿宋" w:cs="仿宋"/>
          <w:color w:val="000000"/>
          <w:kern w:val="0"/>
          <w:sz w:val="30"/>
          <w:szCs w:val="30"/>
          <w:highlight w:val="none"/>
        </w:rPr>
        <w:t>我局严格按照局机关《财务管理制度》等各项内部控制制度执行财务管理，资金使用按照会审程序办理，资金支出执行区财政国库集中支付制度,会计核算严格按照政府会计准则执行，确保了资金支出的规范化、合理化、制度化。资产管理严格按照财务制度进行管理,固定资产严格按照 《益阳市赫山区财政局关于转发〈益阳市2021年政府集中采购目录及政府采购限额标准〉的通知》（益赫财采〔2021〕1号）文件依法依规按程序办理政府采购手续进行配置,固定资产处置按流程办理审批手续后进行处置。部门预决算公开严格按照预决算文件要求执行，财政局批复后20个工作日内在林业局门户网站及时公开，接受社会的监督。全年预算资金按规定管理使用，较好的完成了全年预算目标任务。</w:t>
      </w:r>
    </w:p>
    <w:p>
      <w:pPr>
        <w:overflowPunct w:val="0"/>
        <w:spacing w:line="560" w:lineRule="exact"/>
        <w:ind w:firstLine="600" w:firstLineChars="200"/>
        <w:rPr>
          <w:rFonts w:hint="eastAsia" w:ascii="黑体" w:hAnsi="黑体" w:eastAsia="黑体" w:cs="黑体"/>
          <w:bCs/>
          <w:color w:val="000000"/>
          <w:kern w:val="0"/>
          <w:sz w:val="30"/>
          <w:szCs w:val="30"/>
          <w:highlight w:val="none"/>
        </w:rPr>
      </w:pPr>
      <w:r>
        <w:rPr>
          <w:rFonts w:hint="eastAsia" w:ascii="黑体" w:hAnsi="黑体" w:eastAsia="黑体" w:cs="黑体"/>
          <w:bCs/>
          <w:color w:val="000000"/>
          <w:kern w:val="0"/>
          <w:sz w:val="30"/>
          <w:szCs w:val="30"/>
          <w:highlight w:val="none"/>
        </w:rPr>
        <w:t>三、部门整体支出绩效情况</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2021年我局在区委区政府的坚强领导下，在全局干职工的共同努力下，加强森林资源管护，加快林业产业转型升级，不断深化林业改革，全区林业经济健康、持续、稳定发展，成效显著，各项目标任务全面高效完成，得到了省、市、区的充分肯定。2021年林业局部门整体支出绩效任务完成情况如下：</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1</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2021年全年完成营造林任务5.9</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万亩，其中人工造林1.1</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万亩，任务完成率为100%。全区农村人居环境整治美丽村庄建设造林绿化3年任务已完成，绿化美化村庄数101个，达到森林村庄标准村数73个。</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2</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全区义务义务植树基地数12处，全民参与义务植树46.5</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万人次，尽责率达83%。今年，在义务植树的活动中开展“党建林”、“青年林”、“巾帼林”、“幸福林”等义务植树主题林建设活动。结合加快发展水杉类树种三年行动，我局与笔架山乡政府共同打造了一个百亩连片的高标准水杉种植示范点，共栽植米径5公分以上水杉2000余株。</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3</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全区林地面积57.93万亩，林地保有量稳定率达100%。公益林管护面积25万亩，管护率达100%。林木采伐面积19.32公顷，采伐蓄积2229.8</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立方米,年林木采伐蓄积量没有突破省下达年度采伐限额，林木生长量大于采伐量。全区森林覆盖率为35.39%，比上年提高0.19个百分点，0森林总蓄积量达到191.5</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万立方米，年增长率达4%。</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4</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全区林业有害生物发生面积3610亩,林业有害防治率为100%，无公害防治率达88%，林业有害生物没有发生成灾，成灾率控制在国家规定标准以下。</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5</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全区没有发生森林火灾,森林火灾受害率控制在0.9</w:t>
      </w:r>
      <w:r>
        <w:rPr>
          <w:rFonts w:hint="eastAsia" w:ascii="仿宋" w:hAnsi="仿宋" w:eastAsia="仿宋" w:cs="仿宋"/>
          <w:color w:val="000000"/>
          <w:kern w:val="0"/>
          <w:sz w:val="30"/>
          <w:szCs w:val="30"/>
          <w:highlight w:val="none"/>
          <w:lang w:val="en-US" w:eastAsia="zh-CN"/>
        </w:rPr>
        <w:t>0</w:t>
      </w:r>
      <w:r>
        <w:rPr>
          <w:rFonts w:hint="eastAsia" w:ascii="仿宋" w:hAnsi="仿宋" w:eastAsia="仿宋" w:cs="仿宋"/>
          <w:color w:val="000000"/>
          <w:kern w:val="0"/>
          <w:sz w:val="30"/>
          <w:szCs w:val="30"/>
          <w:highlight w:val="none"/>
        </w:rPr>
        <w:t>‰以内。</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6</w:t>
      </w:r>
      <w:r>
        <w:rPr>
          <w:rFonts w:hint="eastAsia" w:ascii="仿宋" w:hAnsi="仿宋" w:eastAsia="仿宋" w:cs="仿宋"/>
          <w:color w:val="000000"/>
          <w:kern w:val="0"/>
          <w:sz w:val="30"/>
          <w:szCs w:val="30"/>
          <w:highlight w:val="none"/>
          <w:lang w:eastAsia="zh-CN"/>
        </w:rPr>
        <w:t>.</w:t>
      </w:r>
      <w:r>
        <w:rPr>
          <w:rFonts w:hint="eastAsia" w:ascii="仿宋" w:hAnsi="仿宋" w:eastAsia="仿宋" w:cs="仿宋"/>
          <w:color w:val="000000"/>
          <w:kern w:val="0"/>
          <w:sz w:val="30"/>
          <w:szCs w:val="30"/>
          <w:highlight w:val="none"/>
        </w:rPr>
        <w:t>全年完成立项争资2508.27万元，完成了计划任务的100%。</w:t>
      </w:r>
    </w:p>
    <w:p>
      <w:pPr>
        <w:overflowPunct w:val="0"/>
        <w:spacing w:line="560" w:lineRule="exact"/>
        <w:ind w:firstLine="600" w:firstLineChars="200"/>
        <w:rPr>
          <w:rFonts w:hint="eastAsia" w:ascii="黑体" w:hAnsi="黑体" w:eastAsia="黑体" w:cs="黑体"/>
          <w:bCs/>
          <w:color w:val="000000"/>
          <w:kern w:val="0"/>
          <w:sz w:val="30"/>
          <w:szCs w:val="30"/>
          <w:highlight w:val="none"/>
        </w:rPr>
      </w:pPr>
      <w:r>
        <w:rPr>
          <w:rFonts w:hint="eastAsia" w:ascii="黑体" w:hAnsi="黑体" w:eastAsia="黑体" w:cs="黑体"/>
          <w:bCs/>
          <w:color w:val="000000"/>
          <w:kern w:val="0"/>
          <w:sz w:val="30"/>
          <w:szCs w:val="30"/>
          <w:highlight w:val="none"/>
        </w:rPr>
        <w:t>四、绩效评价工作情况</w:t>
      </w:r>
    </w:p>
    <w:p>
      <w:pPr>
        <w:overflowPunct w:val="0"/>
        <w:spacing w:line="600" w:lineRule="exact"/>
        <w:ind w:firstLine="590" w:firstLineChars="196"/>
        <w:rPr>
          <w:rFonts w:hint="eastAsia" w:ascii="仿宋" w:hAnsi="仿宋" w:eastAsia="仿宋" w:cs="仿宋"/>
          <w:b/>
          <w:color w:val="000000"/>
          <w:kern w:val="0"/>
          <w:sz w:val="30"/>
          <w:szCs w:val="30"/>
          <w:highlight w:val="none"/>
        </w:rPr>
      </w:pPr>
      <w:r>
        <w:rPr>
          <w:rFonts w:hint="eastAsia" w:ascii="仿宋" w:hAnsi="仿宋" w:eastAsia="仿宋" w:cs="仿宋"/>
          <w:b/>
          <w:color w:val="000000"/>
          <w:kern w:val="0"/>
          <w:sz w:val="30"/>
          <w:szCs w:val="30"/>
          <w:highlight w:val="none"/>
          <w:lang w:eastAsia="zh-CN"/>
        </w:rPr>
        <w:t>（</w:t>
      </w:r>
      <w:r>
        <w:rPr>
          <w:rFonts w:hint="eastAsia" w:ascii="仿宋" w:hAnsi="仿宋" w:eastAsia="仿宋" w:cs="仿宋"/>
          <w:b/>
          <w:color w:val="000000"/>
          <w:kern w:val="0"/>
          <w:sz w:val="30"/>
          <w:szCs w:val="30"/>
          <w:highlight w:val="none"/>
          <w:lang w:val="en-US" w:eastAsia="zh-CN"/>
        </w:rPr>
        <w:t>一）</w:t>
      </w:r>
      <w:r>
        <w:rPr>
          <w:rFonts w:hint="eastAsia" w:ascii="仿宋" w:hAnsi="仿宋" w:eastAsia="仿宋" w:cs="仿宋"/>
          <w:b/>
          <w:color w:val="000000"/>
          <w:kern w:val="0"/>
          <w:sz w:val="30"/>
          <w:szCs w:val="30"/>
          <w:highlight w:val="none"/>
        </w:rPr>
        <w:t>绩效评价目的</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加强和改进新形势下赫山林业工作，进一步理清部门职责，规范林业资金管理，强化资金使用效益意识，提升林业资金管理水平。</w:t>
      </w:r>
    </w:p>
    <w:p>
      <w:pPr>
        <w:overflowPunct w:val="0"/>
        <w:spacing w:line="600" w:lineRule="exact"/>
        <w:ind w:firstLine="590" w:firstLineChars="196"/>
        <w:rPr>
          <w:rFonts w:hint="eastAsia" w:ascii="仿宋" w:hAnsi="仿宋" w:eastAsia="仿宋" w:cs="仿宋"/>
          <w:b/>
          <w:color w:val="000000"/>
          <w:kern w:val="0"/>
          <w:sz w:val="30"/>
          <w:szCs w:val="30"/>
          <w:highlight w:val="none"/>
          <w:lang w:eastAsia="zh-CN"/>
        </w:rPr>
      </w:pPr>
      <w:r>
        <w:rPr>
          <w:rFonts w:hint="eastAsia" w:ascii="仿宋" w:hAnsi="仿宋" w:eastAsia="仿宋" w:cs="仿宋"/>
          <w:b/>
          <w:color w:val="000000"/>
          <w:kern w:val="0"/>
          <w:sz w:val="30"/>
          <w:szCs w:val="30"/>
          <w:highlight w:val="none"/>
          <w:lang w:eastAsia="zh-CN"/>
        </w:rPr>
        <w:t>（</w:t>
      </w:r>
      <w:r>
        <w:rPr>
          <w:rFonts w:hint="eastAsia" w:ascii="仿宋" w:hAnsi="仿宋" w:eastAsia="仿宋" w:cs="仿宋"/>
          <w:b/>
          <w:color w:val="000000"/>
          <w:kern w:val="0"/>
          <w:sz w:val="30"/>
          <w:szCs w:val="30"/>
          <w:highlight w:val="none"/>
          <w:lang w:val="en-US" w:eastAsia="zh-CN"/>
        </w:rPr>
        <w:t>二）</w:t>
      </w:r>
      <w:r>
        <w:rPr>
          <w:rFonts w:hint="eastAsia" w:ascii="仿宋" w:hAnsi="仿宋" w:eastAsia="仿宋" w:cs="仿宋"/>
          <w:b/>
          <w:color w:val="000000"/>
          <w:kern w:val="0"/>
          <w:sz w:val="30"/>
          <w:szCs w:val="30"/>
          <w:highlight w:val="none"/>
          <w:lang w:eastAsia="zh-CN"/>
        </w:rPr>
        <w:t>绩效评价工作过程</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我局成立了</w:t>
      </w:r>
      <w:r>
        <w:rPr>
          <w:rFonts w:hint="eastAsia" w:ascii="仿宋" w:hAnsi="仿宋" w:eastAsia="仿宋" w:cs="仿宋"/>
          <w:color w:val="000000"/>
          <w:kern w:val="0"/>
          <w:sz w:val="30"/>
          <w:szCs w:val="30"/>
          <w:highlight w:val="none"/>
          <w:lang w:eastAsia="zh-CN"/>
        </w:rPr>
        <w:t>以</w:t>
      </w:r>
      <w:r>
        <w:rPr>
          <w:rFonts w:hint="eastAsia" w:ascii="仿宋" w:hAnsi="仿宋" w:eastAsia="仿宋" w:cs="仿宋"/>
          <w:color w:val="000000"/>
          <w:kern w:val="0"/>
          <w:sz w:val="30"/>
          <w:szCs w:val="30"/>
          <w:highlight w:val="none"/>
        </w:rPr>
        <w:t>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w:t>
      </w:r>
    </w:p>
    <w:p>
      <w:pPr>
        <w:overflowPunct w:val="0"/>
        <w:spacing w:line="560" w:lineRule="exact"/>
        <w:ind w:firstLine="600" w:firstLineChars="200"/>
        <w:rPr>
          <w:rFonts w:hint="eastAsia" w:ascii="黑体" w:hAnsi="黑体" w:eastAsia="黑体" w:cs="黑体"/>
          <w:bCs/>
          <w:color w:val="000000"/>
          <w:kern w:val="0"/>
          <w:sz w:val="30"/>
          <w:szCs w:val="30"/>
          <w:highlight w:val="none"/>
        </w:rPr>
      </w:pPr>
      <w:r>
        <w:rPr>
          <w:rFonts w:hint="eastAsia" w:ascii="黑体" w:hAnsi="黑体" w:eastAsia="黑体" w:cs="黑体"/>
          <w:bCs/>
          <w:color w:val="000000"/>
          <w:kern w:val="0"/>
          <w:sz w:val="30"/>
          <w:szCs w:val="30"/>
          <w:highlight w:val="none"/>
        </w:rPr>
        <w:t>五、存在的问题</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单位部分项目资金支付进度滞后,影响部门预算执行力度。</w:t>
      </w:r>
    </w:p>
    <w:p>
      <w:pPr>
        <w:overflowPunct w:val="0"/>
        <w:spacing w:line="560" w:lineRule="exact"/>
        <w:ind w:firstLine="600" w:firstLineChars="200"/>
        <w:rPr>
          <w:rFonts w:hint="eastAsia" w:ascii="黑体" w:hAnsi="黑体" w:eastAsia="黑体" w:cs="黑体"/>
          <w:bCs/>
          <w:color w:val="000000"/>
          <w:kern w:val="0"/>
          <w:sz w:val="30"/>
          <w:szCs w:val="30"/>
          <w:highlight w:val="none"/>
        </w:rPr>
      </w:pPr>
      <w:r>
        <w:rPr>
          <w:rFonts w:hint="eastAsia" w:ascii="黑体" w:hAnsi="黑体" w:eastAsia="黑体" w:cs="黑体"/>
          <w:bCs/>
          <w:color w:val="000000"/>
          <w:kern w:val="0"/>
          <w:sz w:val="30"/>
          <w:szCs w:val="30"/>
          <w:highlight w:val="none"/>
        </w:rPr>
        <w:t>六、下一步改进措施</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规范项目资金管理，加快项目资金支付进度，提高项目资金使用效益。</w:t>
      </w:r>
    </w:p>
    <w:p>
      <w:pPr>
        <w:overflowPunct w:val="0"/>
        <w:spacing w:line="560" w:lineRule="exact"/>
        <w:ind w:firstLine="600" w:firstLineChars="200"/>
        <w:rPr>
          <w:rFonts w:hint="eastAsia" w:ascii="仿宋" w:hAnsi="仿宋" w:eastAsia="仿宋" w:cs="仿宋"/>
          <w:color w:val="000000"/>
          <w:kern w:val="0"/>
          <w:sz w:val="30"/>
          <w:szCs w:val="30"/>
          <w:highlight w:val="none"/>
        </w:rPr>
      </w:pPr>
      <w:r>
        <w:rPr>
          <w:rFonts w:hint="eastAsia" w:ascii="仿宋" w:hAnsi="仿宋" w:eastAsia="仿宋" w:cs="仿宋"/>
          <w:color w:val="000000"/>
          <w:kern w:val="0"/>
          <w:sz w:val="30"/>
          <w:szCs w:val="30"/>
          <w:highlight w:val="none"/>
        </w:rPr>
        <w:t xml:space="preserve">附件： </w:t>
      </w:r>
      <w:r>
        <w:rPr>
          <w:rFonts w:hint="eastAsia" w:ascii="仿宋" w:hAnsi="仿宋" w:eastAsia="仿宋" w:cs="仿宋"/>
          <w:color w:val="000000"/>
          <w:kern w:val="0"/>
          <w:sz w:val="30"/>
          <w:szCs w:val="30"/>
          <w:highlight w:val="none"/>
        </w:rPr>
        <w:fldChar w:fldCharType="begin"/>
      </w:r>
      <w:r>
        <w:rPr>
          <w:rFonts w:hint="eastAsia" w:ascii="仿宋" w:hAnsi="仿宋" w:eastAsia="仿宋" w:cs="仿宋"/>
          <w:color w:val="000000"/>
          <w:kern w:val="0"/>
          <w:sz w:val="30"/>
          <w:szCs w:val="30"/>
          <w:highlight w:val="none"/>
        </w:rPr>
        <w:instrText xml:space="preserve">HYPERLINK "http://www.yuanling.gov.cn/UploadFiles/ZWGK/2016/11/201611110829153640.xls"</w:instrText>
      </w:r>
      <w:r>
        <w:rPr>
          <w:rFonts w:hint="eastAsia" w:ascii="仿宋" w:hAnsi="仿宋" w:eastAsia="仿宋" w:cs="仿宋"/>
          <w:color w:val="000000"/>
          <w:kern w:val="0"/>
          <w:sz w:val="30"/>
          <w:szCs w:val="30"/>
          <w:highlight w:val="none"/>
        </w:rPr>
        <w:fldChar w:fldCharType="separate"/>
      </w:r>
      <w:r>
        <w:rPr>
          <w:rFonts w:hint="eastAsia" w:ascii="仿宋" w:hAnsi="仿宋" w:eastAsia="仿宋" w:cs="仿宋"/>
          <w:color w:val="000000"/>
          <w:kern w:val="0"/>
          <w:sz w:val="30"/>
          <w:szCs w:val="30"/>
          <w:highlight w:val="none"/>
        </w:rPr>
        <w:t>2021年度部门整体支出绩效自评指标计分表</w:t>
      </w:r>
      <w:r>
        <w:rPr>
          <w:rFonts w:hint="eastAsia" w:ascii="仿宋" w:hAnsi="仿宋" w:eastAsia="仿宋" w:cs="仿宋"/>
          <w:color w:val="000000"/>
          <w:kern w:val="0"/>
          <w:sz w:val="30"/>
          <w:szCs w:val="30"/>
          <w:highlight w:val="none"/>
        </w:rPr>
        <w:fldChar w:fldCharType="end"/>
      </w:r>
    </w:p>
    <w:p>
      <w:pPr>
        <w:overflowPunct w:val="0"/>
        <w:spacing w:line="560" w:lineRule="exact"/>
        <w:ind w:firstLine="640" w:firstLineChars="200"/>
        <w:rPr>
          <w:rFonts w:hint="eastAsia" w:ascii="仿宋_GB2312" w:hAnsi="华文仿宋" w:eastAsia="仿宋_GB2312" w:cs="华文仿宋"/>
          <w:color w:val="000000"/>
          <w:kern w:val="0"/>
          <w:sz w:val="32"/>
          <w:szCs w:val="32"/>
        </w:rPr>
      </w:pPr>
    </w:p>
    <w:p>
      <w:pPr>
        <w:overflowPunct w:val="0"/>
        <w:spacing w:line="560" w:lineRule="exact"/>
        <w:ind w:firstLine="640" w:firstLineChars="200"/>
        <w:rPr>
          <w:rFonts w:hint="eastAsia" w:ascii="仿宋_GB2312" w:hAnsi="华文仿宋" w:eastAsia="仿宋_GB2312" w:cs="华文仿宋"/>
          <w:color w:val="000000"/>
          <w:kern w:val="0"/>
          <w:sz w:val="32"/>
          <w:szCs w:val="32"/>
        </w:rPr>
      </w:pPr>
    </w:p>
    <w:p>
      <w:pPr>
        <w:overflowPunct w:val="0"/>
        <w:spacing w:line="560" w:lineRule="exact"/>
        <w:ind w:firstLine="640" w:firstLineChars="200"/>
        <w:rPr>
          <w:rFonts w:hint="eastAsia" w:ascii="仿宋_GB2312" w:hAnsi="华文仿宋" w:eastAsia="仿宋_GB2312" w:cs="华文仿宋"/>
          <w:color w:val="000000"/>
          <w:kern w:val="0"/>
          <w:sz w:val="32"/>
          <w:szCs w:val="32"/>
        </w:rPr>
      </w:pPr>
      <w:r>
        <w:rPr>
          <w:rFonts w:hint="eastAsia" w:ascii="仿宋_GB2312" w:hAnsi="华文仿宋" w:eastAsia="仿宋_GB2312" w:cs="华文仿宋"/>
          <w:color w:val="000000"/>
          <w:kern w:val="0"/>
          <w:sz w:val="32"/>
          <w:szCs w:val="32"/>
        </w:rPr>
        <w:t>　　　　　   　　　</w:t>
      </w:r>
    </w:p>
    <w:p>
      <w:pPr>
        <w:pStyle w:val="2"/>
        <w:rPr>
          <w:rFonts w:hint="eastAsia" w:ascii="仿宋_GB2312" w:hAnsi="华文仿宋" w:eastAsia="仿宋_GB2312" w:cs="华文仿宋"/>
          <w:color w:val="000000"/>
          <w:kern w:val="0"/>
          <w:sz w:val="32"/>
          <w:szCs w:val="32"/>
        </w:rPr>
      </w:pPr>
    </w:p>
    <w:p>
      <w:pPr>
        <w:rPr>
          <w:rFonts w:hint="eastAsia" w:ascii="仿宋_GB2312" w:hAnsi="华文仿宋" w:eastAsia="仿宋_GB2312" w:cs="华文仿宋"/>
          <w:color w:val="000000"/>
          <w:kern w:val="0"/>
          <w:sz w:val="32"/>
          <w:szCs w:val="32"/>
        </w:rPr>
      </w:pPr>
    </w:p>
    <w:p>
      <w:pPr>
        <w:spacing w:before="156" w:beforeLines="50" w:after="156" w:afterLines="50"/>
        <w:jc w:val="center"/>
        <w:rPr>
          <w:rFonts w:ascii="方正小标宋简体" w:eastAsia="方正小标宋简体" w:cs="方正小标宋简体"/>
          <w:sz w:val="36"/>
          <w:szCs w:val="36"/>
        </w:rPr>
      </w:pPr>
    </w:p>
    <w:p>
      <w:pPr>
        <w:pStyle w:val="2"/>
        <w:rPr>
          <w:rFonts w:ascii="方正小标宋简体" w:eastAsia="方正小标宋简体" w:cs="方正小标宋简体"/>
          <w:sz w:val="36"/>
          <w:szCs w:val="36"/>
        </w:rPr>
      </w:pPr>
    </w:p>
    <w:p>
      <w:pPr>
        <w:rPr>
          <w:rFonts w:ascii="方正小标宋简体" w:eastAsia="方正小标宋简体" w:cs="方正小标宋简体"/>
          <w:sz w:val="36"/>
          <w:szCs w:val="36"/>
        </w:rPr>
      </w:pPr>
    </w:p>
    <w:p>
      <w:pPr>
        <w:pStyle w:val="2"/>
        <w:rPr>
          <w:rFonts w:ascii="方正小标宋简体" w:eastAsia="方正小标宋简体" w:cs="方正小标宋简体"/>
          <w:sz w:val="36"/>
          <w:szCs w:val="36"/>
        </w:rPr>
      </w:pPr>
    </w:p>
    <w:p>
      <w:pPr>
        <w:rPr>
          <w:rFonts w:ascii="方正小标宋简体" w:eastAsia="方正小标宋简体" w:cs="方正小标宋简体"/>
          <w:sz w:val="36"/>
          <w:szCs w:val="36"/>
        </w:rPr>
      </w:pPr>
    </w:p>
    <w:p>
      <w:pPr>
        <w:pStyle w:val="2"/>
        <w:rPr>
          <w:rFonts w:ascii="方正小标宋简体" w:eastAsia="方正小标宋简体" w:cs="方正小标宋简体"/>
          <w:sz w:val="36"/>
          <w:szCs w:val="36"/>
        </w:rPr>
      </w:pPr>
    </w:p>
    <w:p>
      <w:pPr>
        <w:rPr>
          <w:rFonts w:ascii="方正小标宋简体" w:eastAsia="方正小标宋简体" w:cs="方正小标宋简体"/>
          <w:sz w:val="36"/>
          <w:szCs w:val="36"/>
        </w:rPr>
      </w:pPr>
    </w:p>
    <w:p>
      <w:pPr>
        <w:pStyle w:val="2"/>
      </w:pPr>
    </w:p>
    <w:p>
      <w:pPr>
        <w:spacing w:before="156" w:beforeLines="50" w:after="156" w:afterLines="50"/>
        <w:jc w:val="center"/>
        <w:rPr>
          <w:rFonts w:ascii="方正小标宋简体" w:eastAsia="方正小标宋简体" w:cs="方正小标宋简体"/>
          <w:sz w:val="36"/>
          <w:szCs w:val="36"/>
        </w:rPr>
      </w:pPr>
    </w:p>
    <w:p>
      <w:pPr>
        <w:spacing w:before="156" w:beforeLines="50" w:after="156" w:afterLines="50"/>
        <w:jc w:val="center"/>
        <w:rPr>
          <w:rFonts w:ascii="方正小标宋简体" w:eastAsia="方正小标宋简体"/>
          <w:sz w:val="36"/>
          <w:szCs w:val="36"/>
        </w:rPr>
      </w:pPr>
      <w:r>
        <w:rPr>
          <w:rFonts w:ascii="方正小标宋简体" w:eastAsia="方正小标宋简体" w:cs="方正小标宋简体"/>
          <w:sz w:val="36"/>
          <w:szCs w:val="36"/>
        </w:rPr>
        <w:t>2021</w:t>
      </w:r>
      <w:r>
        <w:rPr>
          <w:rFonts w:hint="eastAsia" w:ascii="方正小标宋简体" w:eastAsia="方正小标宋简体" w:cs="方正小标宋简体"/>
          <w:sz w:val="36"/>
          <w:szCs w:val="36"/>
        </w:rPr>
        <w:t>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right="-174" w:rightChars="-83"/>
              <w:jc w:val="center"/>
              <w:rPr>
                <w:rFonts w:ascii="宋体"/>
                <w:b/>
                <w:bCs/>
              </w:rPr>
            </w:pPr>
            <w:r>
              <w:rPr>
                <w:rFonts w:hint="eastAsia" w:ascii="宋体" w:hAnsi="宋体" w:cs="宋体"/>
                <w:b/>
                <w:bCs/>
              </w:rPr>
              <w:t>二级</w:t>
            </w:r>
          </w:p>
          <w:p>
            <w:pPr>
              <w:spacing w:line="240" w:lineRule="exact"/>
              <w:ind w:right="-174" w:rightChars="-83"/>
              <w:jc w:val="center"/>
              <w:rPr>
                <w:rFonts w:ascii="宋体"/>
                <w:b/>
                <w:bCs/>
              </w:rPr>
            </w:pPr>
            <w:r>
              <w:rPr>
                <w:rFonts w:hint="eastAsia" w:ascii="宋体" w:hAnsi="宋体" w:cs="宋体"/>
                <w:b/>
                <w:bCs/>
              </w:rPr>
              <w:t>指标</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w:t>
            </w:r>
          </w:p>
          <w:p>
            <w:pPr>
              <w:spacing w:line="240" w:lineRule="exact"/>
              <w:jc w:val="center"/>
              <w:rPr>
                <w:rFonts w:ascii="宋体"/>
                <w:b/>
                <w:bCs/>
              </w:rPr>
            </w:pPr>
            <w:r>
              <w:rPr>
                <w:rFonts w:hint="eastAsia" w:ascii="宋体" w:hAnsi="宋体" w:cs="宋体"/>
                <w:b/>
                <w:bCs/>
              </w:rPr>
              <w:t>指标</w:t>
            </w:r>
          </w:p>
        </w:tc>
        <w:tc>
          <w:tcPr>
            <w:tcW w:w="37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jc w:val="center"/>
              <w:rPr>
                <w:rFonts w:ascii="宋体"/>
                <w:b/>
                <w:bCs/>
              </w:rPr>
            </w:pPr>
            <w:r>
              <w:rPr>
                <w:rFonts w:hint="eastAsia" w:ascii="宋体" w:hAnsi="宋体" w:cs="宋体"/>
                <w:b/>
                <w:bCs/>
              </w:rPr>
              <w:t>自评分</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b/>
                <w:bCs/>
              </w:rPr>
            </w:pPr>
            <w:r>
              <w:rPr>
                <w:rFonts w:hint="eastAsia" w:ascii="宋体" w:hAnsi="宋体" w:cs="宋体"/>
                <w:b/>
                <w:bCs/>
              </w:rPr>
              <w:t>指标解释</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w:t>
            </w:r>
          </w:p>
          <w:p>
            <w:pPr>
              <w:spacing w:line="240" w:lineRule="exact"/>
              <w:jc w:val="center"/>
              <w:rPr>
                <w:rFonts w:ascii="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①是否符合国家法律法规、国民经济和社会发展总体规划；</w:t>
            </w:r>
            <w:r>
              <w:rPr>
                <w:rFonts w:ascii="宋体"/>
              </w:rPr>
              <w:br w:type="textWrapping"/>
            </w:r>
            <w:r>
              <w:rPr>
                <w:rFonts w:hint="eastAsia" w:ascii="宋体" w:hAnsi="宋体" w:cs="宋体"/>
              </w:rPr>
              <w:t>②是否符合部门“三定”方案确定的职责；</w:t>
            </w:r>
            <w:r>
              <w:rPr>
                <w:rFonts w:ascii="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w:t>
            </w:r>
          </w:p>
          <w:p>
            <w:pPr>
              <w:spacing w:line="240" w:lineRule="exact"/>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3</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①是否将部门整体的绩效目标细化分解为具体的工作任务；</w:t>
            </w:r>
            <w:r>
              <w:rPr>
                <w:rFonts w:ascii="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w:t>
            </w:r>
          </w:p>
          <w:p>
            <w:pPr>
              <w:spacing w:line="240" w:lineRule="exact"/>
              <w:jc w:val="center"/>
              <w:rPr>
                <w:rFonts w:ascii="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3</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部门本年度实际在职人员数与编制数的比率，用以反映和考核部门对人员成本的控制程度。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在职人员数：部门实际在职人数，以财政部确定的部门决算编制口径为准。</w:t>
            </w:r>
            <w:r>
              <w:rPr>
                <w:rFonts w:ascii="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w:t>
            </w:r>
          </w:p>
          <w:p>
            <w:pPr>
              <w:spacing w:line="240" w:lineRule="exact"/>
              <w:jc w:val="center"/>
              <w:rPr>
                <w:rFonts w:ascii="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p>
          <w:p>
            <w:pPr>
              <w:spacing w:line="24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3</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部门本年度预算完成数与预算数的比率，用以反映和考核部门预算完成程度。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预算执行数：部门本年度实际完成的预算数。</w:t>
            </w:r>
            <w:r>
              <w:rPr>
                <w:rFonts w:ascii="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p>
          <w:p>
            <w:pPr>
              <w:spacing w:line="240" w:lineRule="exact"/>
              <w:jc w:val="center"/>
              <w:rPr>
                <w:rFonts w:ascii="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部门本年度预算调整数与预算数的比率，用以反映和考核部门预算的调整程度。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w:t>
            </w:r>
          </w:p>
          <w:p>
            <w:pPr>
              <w:spacing w:line="240" w:lineRule="exact"/>
              <w:jc w:val="center"/>
              <w:rPr>
                <w:rFonts w:ascii="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olor w:val="000000"/>
              </w:rPr>
            </w:pPr>
            <w:r>
              <w:rPr>
                <w:rFonts w:hint="eastAsia" w:ascii="宋体" w:hAnsi="宋体" w:cs="宋体"/>
                <w:color w:val="000000"/>
              </w:rPr>
              <w:t>部门实际支付进度与既定支付进度的比率，用以反映和考核部门预算执行的及时性和均衡性程度。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实际支付进度：部门在某一时点的支出预算执行总数与年度支出预算数的比率。</w:t>
            </w:r>
            <w:r>
              <w:rPr>
                <w:rFonts w:ascii="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结转</w:t>
            </w:r>
          </w:p>
          <w:p>
            <w:pPr>
              <w:spacing w:line="240" w:lineRule="exact"/>
              <w:jc w:val="center"/>
              <w:rPr>
                <w:rFonts w:ascii="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部门本年度结转结余总额与支出预算数的比率，用以反映和考核部门对本年度结转结余资金的实际控制程度。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结转结余</w:t>
            </w:r>
          </w:p>
          <w:p>
            <w:pPr>
              <w:spacing w:line="240" w:lineRule="exact"/>
              <w:jc w:val="center"/>
              <w:rPr>
                <w:rFonts w:ascii="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公用经费</w:t>
            </w:r>
          </w:p>
          <w:p>
            <w:pPr>
              <w:spacing w:line="24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olor w:val="000000"/>
              </w:rPr>
            </w:pPr>
            <w:r>
              <w:rPr>
                <w:rFonts w:hint="eastAsia" w:ascii="宋体" w:hAnsi="宋体" w:cs="宋体"/>
                <w:color w:val="000000"/>
              </w:rPr>
              <w:t>部门本年度实际支出的公用经费总额与预算安排的公用经费总额的比率，用以反映和考核部门对机构运转成本的实际控制程度。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部门本年度“三公经费”实际支出数与预算安排数的比率，用以反映和考核部门对“三公经费”的实际控制程度。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政府采购</w:t>
            </w:r>
          </w:p>
          <w:p>
            <w:pPr>
              <w:spacing w:line="24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color w:val="000000"/>
              </w:rPr>
            </w:pPr>
            <w:r>
              <w:rPr>
                <w:rFonts w:ascii="宋体" w:cs="宋体"/>
                <w:color w:val="000000"/>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部门本年度实际政府采购金额与年初政府采购预算的比率，用以反映和考核部门政府采购预算执行情况。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rPr>
            </w:pPr>
            <w:r>
              <w:rPr>
                <w:rFonts w:hint="eastAsia" w:ascii="宋体" w:hAnsi="宋体" w:cs="宋体"/>
              </w:rPr>
              <w:t>）</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管理制度</w:t>
            </w:r>
          </w:p>
          <w:p>
            <w:pPr>
              <w:spacing w:line="24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①是否已制定或具有预算资金管理办法、内部财务管理制度、会计核算制度等管理制度；</w:t>
            </w:r>
            <w:r>
              <w:rPr>
                <w:rFonts w:ascii="宋体"/>
              </w:rPr>
              <w:br w:type="textWrapping"/>
            </w:r>
            <w:r>
              <w:rPr>
                <w:rFonts w:hint="eastAsia" w:ascii="宋体" w:hAnsi="宋体" w:cs="宋体"/>
              </w:rPr>
              <w:t>②相关管理制度是否合法、合规、完整；</w:t>
            </w:r>
            <w:r>
              <w:rPr>
                <w:rFonts w:ascii="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资金使用</w:t>
            </w:r>
          </w:p>
          <w:p>
            <w:pPr>
              <w:spacing w:line="24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部门使用预算资金是否符合相关的预算财务管理制度的规定，用以反映和考核部门预算资金的规范运行情况。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①是否符合国家财经法规和财务管理制度规定以及有关预算支出管理办法的规定；</w:t>
            </w:r>
            <w:r>
              <w:rPr>
                <w:rFonts w:ascii="宋体"/>
              </w:rPr>
              <w:br w:type="textWrapping"/>
            </w:r>
            <w:r>
              <w:rPr>
                <w:rFonts w:hint="eastAsia" w:ascii="宋体" w:hAnsi="宋体" w:cs="宋体"/>
              </w:rPr>
              <w:t>②资金的拨付是否有完整的审批程序和手续；</w:t>
            </w:r>
            <w:r>
              <w:rPr>
                <w:rFonts w:ascii="宋体"/>
              </w:rPr>
              <w:br w:type="textWrapping"/>
            </w:r>
            <w:r>
              <w:rPr>
                <w:rFonts w:hint="eastAsia" w:ascii="宋体" w:hAnsi="宋体" w:cs="宋体"/>
              </w:rPr>
              <w:t>③预算支出的重大开支是否经过评估论证；</w:t>
            </w:r>
            <w:r>
              <w:rPr>
                <w:rFonts w:ascii="宋体"/>
              </w:rPr>
              <w:br w:type="textWrapping"/>
            </w:r>
            <w:r>
              <w:rPr>
                <w:rFonts w:hint="eastAsia" w:ascii="宋体" w:hAnsi="宋体" w:cs="宋体"/>
              </w:rPr>
              <w:t>④是否符合部门预算批复的用途；</w:t>
            </w:r>
            <w:r>
              <w:rPr>
                <w:rFonts w:ascii="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预决算信</w:t>
            </w:r>
          </w:p>
          <w:p>
            <w:pPr>
              <w:spacing w:line="24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部门是否按照政府信息公开有关规定公开相关预决算信息，用以反映和考核部门预决算管理的公开透明情况。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①是否按规定内容公开预决算信息；</w:t>
            </w:r>
            <w:r>
              <w:rPr>
                <w:rFonts w:ascii="宋体"/>
              </w:rPr>
              <w:br w:type="textWrapping"/>
            </w:r>
            <w:r>
              <w:rPr>
                <w:rFonts w:hint="eastAsia" w:ascii="宋体" w:hAnsi="宋体" w:cs="宋体"/>
              </w:rPr>
              <w:t>②是否按规定时限公开预决算信息。</w:t>
            </w:r>
            <w:r>
              <w:rPr>
                <w:rFonts w:ascii="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基础信息</w:t>
            </w:r>
          </w:p>
          <w:p>
            <w:pPr>
              <w:spacing w:line="24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部门基础信息是否完善，用以反映和考核基础信息对预算管理工作的支撑情况。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①基础数据信息和会计信息资料是否真实；</w:t>
            </w:r>
            <w:r>
              <w:rPr>
                <w:rFonts w:ascii="宋体"/>
              </w:rPr>
              <w:br w:type="textWrapping"/>
            </w:r>
            <w:r>
              <w:rPr>
                <w:rFonts w:hint="eastAsia" w:ascii="宋体" w:hAnsi="宋体" w:cs="宋体"/>
              </w:rPr>
              <w:t>②基础数据信息和会计信息资料是否完整；</w:t>
            </w:r>
            <w:r>
              <w:rPr>
                <w:rFonts w:ascii="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管理制度</w:t>
            </w:r>
          </w:p>
          <w:p>
            <w:pPr>
              <w:spacing w:line="24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资产管理</w:t>
            </w:r>
          </w:p>
          <w:p>
            <w:pPr>
              <w:spacing w:line="24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761"/>
                <w:tab w:val="left" w:pos="2604"/>
              </w:tabs>
              <w:spacing w:line="240" w:lineRule="exact"/>
              <w:ind w:left="105" w:leftChars="50" w:right="105" w:rightChars="50" w:firstLine="96" w:firstLineChars="46"/>
              <w:jc w:val="center"/>
              <w:rPr>
                <w:rFonts w:ascii="宋体"/>
              </w:rPr>
            </w:pPr>
            <w:r>
              <w:rPr>
                <w:rFonts w:ascii="宋体" w:cs="宋体"/>
              </w:rPr>
              <w:t>2</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①资产保存是否完整；</w:t>
            </w:r>
            <w:r>
              <w:rPr>
                <w:rFonts w:ascii="宋体"/>
              </w:rPr>
              <w:br w:type="textWrapping"/>
            </w:r>
            <w:r>
              <w:rPr>
                <w:rFonts w:hint="eastAsia" w:ascii="宋体" w:hAnsi="宋体" w:cs="宋体"/>
              </w:rPr>
              <w:t>②资产配置是否合理；</w:t>
            </w:r>
            <w:r>
              <w:rPr>
                <w:rFonts w:ascii="宋体"/>
              </w:rPr>
              <w:br w:type="textWrapping"/>
            </w:r>
            <w:r>
              <w:rPr>
                <w:rFonts w:hint="eastAsia" w:ascii="宋体" w:hAnsi="宋体" w:cs="宋体"/>
              </w:rPr>
              <w:t>③资产处置是否规范；</w:t>
            </w:r>
            <w:r>
              <w:rPr>
                <w:rFonts w:ascii="宋体"/>
              </w:rPr>
              <w:br w:type="textWrapping"/>
            </w:r>
            <w:r>
              <w:rPr>
                <w:rFonts w:hint="eastAsia" w:ascii="宋体" w:hAnsi="宋体" w:cs="宋体"/>
              </w:rPr>
              <w:t>④资产账务管理是否合规，是否帐实相符；</w:t>
            </w:r>
            <w:r>
              <w:rPr>
                <w:rFonts w:ascii="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固定资产</w:t>
            </w:r>
          </w:p>
          <w:p>
            <w:pPr>
              <w:spacing w:line="24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部门实际在用固定资产总额与所有固定资产总额的比率，用以反映和考核部门固定资产使用效率程度。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实际</w:t>
            </w:r>
          </w:p>
          <w:p>
            <w:pPr>
              <w:spacing w:line="240" w:lineRule="exact"/>
              <w:jc w:val="center"/>
              <w:rPr>
                <w:rFonts w:ascii="宋体"/>
              </w:rPr>
            </w:pPr>
            <w:r>
              <w:rPr>
                <w:rFonts w:hint="eastAsia" w:ascii="宋体" w:hAnsi="宋体" w:cs="宋体"/>
              </w:rPr>
              <w:t>完成率</w:t>
            </w:r>
          </w:p>
          <w:p>
            <w:pPr>
              <w:spacing w:line="240" w:lineRule="exact"/>
              <w:jc w:val="center"/>
              <w:rPr>
                <w:rFonts w:ascii="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8</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部门履行职责而实际完成工作数与计划工作数的比率，用以反映和考核部门履职工作任务目标的实现程度。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实际完成工作数：一定时期（年度或规划期）内部门实际完成工作任务的数量。</w:t>
            </w:r>
            <w:r>
              <w:rPr>
                <w:rFonts w:ascii="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textDirection w:val="tbRlV"/>
            <w:vAlign w:val="center"/>
          </w:tcPr>
          <w:p>
            <w:pPr>
              <w:spacing w:line="240" w:lineRule="exact"/>
              <w:ind w:left="113"/>
              <w:jc w:val="center"/>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完成</w:t>
            </w:r>
          </w:p>
          <w:p>
            <w:pPr>
              <w:spacing w:line="240" w:lineRule="exact"/>
              <w:jc w:val="center"/>
              <w:rPr>
                <w:rFonts w:ascii="宋体"/>
              </w:rPr>
            </w:pPr>
            <w:r>
              <w:rPr>
                <w:rFonts w:hint="eastAsia" w:ascii="宋体" w:hAnsi="宋体" w:cs="宋体"/>
              </w:rPr>
              <w:t>及时率</w:t>
            </w:r>
          </w:p>
          <w:p>
            <w:pPr>
              <w:spacing w:line="240" w:lineRule="exact"/>
              <w:jc w:val="center"/>
              <w:rPr>
                <w:rFonts w:ascii="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4</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质量</w:t>
            </w:r>
          </w:p>
          <w:p>
            <w:pPr>
              <w:spacing w:line="240" w:lineRule="exact"/>
              <w:jc w:val="center"/>
              <w:rPr>
                <w:rFonts w:ascii="宋体"/>
              </w:rPr>
            </w:pPr>
            <w:r>
              <w:rPr>
                <w:rFonts w:hint="eastAsia" w:ascii="宋体" w:hAnsi="宋体" w:cs="宋体"/>
              </w:rPr>
              <w:t>达标率</w:t>
            </w:r>
          </w:p>
          <w:p>
            <w:pPr>
              <w:spacing w:line="240" w:lineRule="exact"/>
              <w:jc w:val="center"/>
              <w:rPr>
                <w:rFonts w:ascii="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8</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重点工作</w:t>
            </w:r>
          </w:p>
          <w:p>
            <w:pPr>
              <w:spacing w:line="24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10</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部门年度重点工作实际完成数与交办或下达数的比率，用以反映部门对重点工作的办理落实程度。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tcBorders>
              <w:top w:val="single" w:color="auto" w:sz="4" w:space="0"/>
              <w:left w:val="single" w:color="auto" w:sz="4" w:space="0"/>
              <w:bottom w:val="single" w:color="auto" w:sz="4" w:space="0"/>
              <w:right w:val="single" w:color="auto" w:sz="4" w:space="0"/>
            </w:tcBorders>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部门履行职责对经济发展所带来的直接或间接影响。</w:t>
            </w:r>
          </w:p>
        </w:tc>
        <w:tc>
          <w:tcPr>
            <w:tcW w:w="1867" w:type="pct"/>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部门履行职责对社会发展所带来的直接或间接影响。</w:t>
            </w:r>
          </w:p>
        </w:tc>
        <w:tc>
          <w:tcPr>
            <w:tcW w:w="186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部门履行职责对生态环境所带来的直接或间接影响。</w:t>
            </w:r>
          </w:p>
        </w:tc>
        <w:tc>
          <w:tcPr>
            <w:tcW w:w="186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ind w:left="105" w:leftChars="50" w:right="105" w:rightChars="5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375"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社会公众</w:t>
            </w:r>
          </w:p>
          <w:p>
            <w:pPr>
              <w:spacing w:line="240" w:lineRule="exact"/>
              <w:jc w:val="center"/>
              <w:rPr>
                <w:rFonts w:ascii="宋体"/>
              </w:rPr>
            </w:pPr>
            <w:r>
              <w:rPr>
                <w:rFonts w:hint="eastAsia" w:ascii="宋体" w:hAnsi="宋体" w:cs="宋体"/>
              </w:rPr>
              <w:t>或服务对</w:t>
            </w:r>
          </w:p>
          <w:p>
            <w:pPr>
              <w:spacing w:line="24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5</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r>
              <w:rPr>
                <w:rFonts w:hint="eastAsia" w:ascii="宋体" w:hAnsi="宋体" w:cs="宋体"/>
              </w:rPr>
              <w:t>社会公众或部门的服务对象对部门履职效果的满意程度。</w:t>
            </w: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r>
              <w:rPr>
                <w:rFonts w:hint="eastAsia" w:ascii="宋体" w:hAnsi="宋体" w:cs="宋体"/>
              </w:rPr>
              <w:t>总分</w:t>
            </w:r>
          </w:p>
        </w:tc>
        <w:tc>
          <w:tcPr>
            <w:tcW w:w="375" w:type="pct"/>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ascii="宋体"/>
              </w:rPr>
            </w:pPr>
          </w:p>
        </w:tc>
        <w:tc>
          <w:tcPr>
            <w:tcW w:w="500"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jc w:val="center"/>
              <w:rPr>
                <w:rFonts w:ascii="宋体"/>
              </w:rPr>
            </w:pPr>
          </w:p>
        </w:tc>
        <w:tc>
          <w:tcPr>
            <w:tcW w:w="375" w:type="pct"/>
            <w:tcBorders>
              <w:top w:val="single" w:color="auto" w:sz="4" w:space="0"/>
              <w:left w:val="single" w:color="auto" w:sz="4" w:space="0"/>
              <w:bottom w:val="single" w:color="auto" w:sz="4" w:space="0"/>
              <w:right w:val="single" w:color="auto" w:sz="4" w:space="0"/>
            </w:tcBorders>
            <w:noWrap w:val="0"/>
            <w:vAlign w:val="center"/>
          </w:tcPr>
          <w:p>
            <w:pPr>
              <w:tabs>
                <w:tab w:val="left" w:pos="2604"/>
              </w:tabs>
              <w:spacing w:line="240" w:lineRule="exact"/>
              <w:ind w:left="105" w:leftChars="50" w:right="105" w:rightChars="50" w:firstLine="96" w:firstLineChars="46"/>
              <w:jc w:val="center"/>
              <w:rPr>
                <w:rFonts w:ascii="宋体"/>
              </w:rPr>
            </w:pPr>
            <w:r>
              <w:rPr>
                <w:rFonts w:ascii="宋体" w:cs="宋体"/>
              </w:rPr>
              <w:t>91</w:t>
            </w:r>
          </w:p>
        </w:tc>
        <w:tc>
          <w:tcPr>
            <w:tcW w:w="1576"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rPr>
            </w:pPr>
          </w:p>
        </w:tc>
        <w:tc>
          <w:tcPr>
            <w:tcW w:w="1867" w:type="pc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600" w:lineRule="exact"/>
        <w:rPr>
          <w:rFonts w:hint="eastAsia" w:ascii="仿宋_GB2312" w:hAnsi="华文仿宋" w:eastAsia="仿宋_GB2312" w:cs="华文仿宋"/>
          <w:color w:val="000000"/>
          <w:kern w:val="0"/>
          <w:sz w:val="32"/>
          <w:szCs w:val="32"/>
        </w:rPr>
      </w:pPr>
      <w:r>
        <w:t xml:space="preserve"> </w:t>
      </w:r>
    </w:p>
    <w:p>
      <w:pPr>
        <w:widowControl w:val="0"/>
        <w:spacing w:line="560" w:lineRule="exact"/>
        <w:ind w:firstLine="880" w:firstLineChars="200"/>
        <w:jc w:val="center"/>
        <w:rPr>
          <w:rFonts w:ascii="方正小标宋简体" w:hAnsi="方正小标宋简体" w:eastAsia="方正小标宋简体" w:cs="方正小标宋简体"/>
          <w:sz w:val="44"/>
          <w:szCs w:val="44"/>
          <w:lang w:val="zh-CN"/>
        </w:rPr>
        <w:sectPr>
          <w:pgSz w:w="12240" w:h="15840"/>
          <w:pgMar w:top="1134" w:right="1531" w:bottom="1134" w:left="1531" w:header="720" w:footer="720" w:gutter="0"/>
          <w:cols w:space="0" w:num="1"/>
          <w:rtlGutter w:val="0"/>
          <w:docGrid w:linePitch="0"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3143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2023-06-20T05:26:43Z</dcterms:created>
  <dc:creator>admin-3</dc:creator>
  <cp:lastModifiedBy>admin-3</cp:lastModifiedBy>
  <dcterms:modified xsi:type="dcterms:W3CDTF">2023-06-20T05:26:59Z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6C3041DFA95248F0A02EC13017F5E9E8_12</vt:lpwstr>
  </property>
</Properties>
</file>