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黑体" w:hAnsi="黑体" w:eastAsia="黑体" w:cs="黑体"/>
          <w:color w:val="333333"/>
          <w:kern w:val="36"/>
          <w:sz w:val="36"/>
          <w:szCs w:val="36"/>
        </w:rPr>
      </w:pPr>
    </w:p>
    <w:p>
      <w:pPr>
        <w:widowControl/>
        <w:spacing w:line="600" w:lineRule="exact"/>
        <w:jc w:val="center"/>
        <w:rPr>
          <w:rFonts w:hint="eastAsia" w:ascii="黑体" w:hAnsi="黑体" w:eastAsia="黑体" w:cs="黑体"/>
          <w:color w:val="333333"/>
          <w:kern w:val="36"/>
          <w:sz w:val="36"/>
          <w:szCs w:val="36"/>
        </w:rPr>
      </w:pPr>
      <w:r>
        <w:rPr>
          <w:rFonts w:hint="eastAsia" w:ascii="黑体" w:hAnsi="黑体" w:eastAsia="黑体" w:cs="黑体"/>
          <w:color w:val="333333"/>
          <w:kern w:val="36"/>
          <w:sz w:val="36"/>
          <w:szCs w:val="36"/>
        </w:rPr>
        <w:t>益阳市赫山区新河大闸事务中心2021年</w:t>
      </w:r>
      <w:r>
        <w:rPr>
          <w:rFonts w:hint="eastAsia" w:ascii="黑体" w:hAnsi="黑体" w:eastAsia="黑体" w:cs="黑体"/>
          <w:color w:val="333333"/>
          <w:kern w:val="36"/>
          <w:sz w:val="36"/>
          <w:szCs w:val="36"/>
          <w:lang w:eastAsia="zh-CN"/>
        </w:rPr>
        <w:t>度</w:t>
      </w:r>
      <w:r>
        <w:rPr>
          <w:rFonts w:hint="eastAsia" w:ascii="黑体" w:hAnsi="黑体" w:eastAsia="黑体" w:cs="黑体"/>
          <w:color w:val="333333"/>
          <w:kern w:val="36"/>
          <w:sz w:val="36"/>
          <w:szCs w:val="36"/>
        </w:rPr>
        <w:t>部门</w:t>
      </w:r>
    </w:p>
    <w:p>
      <w:pPr>
        <w:widowControl/>
        <w:spacing w:line="600" w:lineRule="exact"/>
        <w:jc w:val="center"/>
        <w:rPr>
          <w:rFonts w:ascii="黑体" w:hAnsi="黑体" w:eastAsia="黑体" w:cs="黑体"/>
          <w:color w:val="333333"/>
          <w:kern w:val="36"/>
          <w:sz w:val="36"/>
          <w:szCs w:val="36"/>
        </w:rPr>
      </w:pPr>
      <w:r>
        <w:rPr>
          <w:rFonts w:hint="eastAsia" w:ascii="黑体" w:hAnsi="黑体" w:eastAsia="黑体" w:cs="黑体"/>
          <w:color w:val="333333"/>
          <w:kern w:val="36"/>
          <w:sz w:val="36"/>
          <w:szCs w:val="36"/>
        </w:rPr>
        <w:t>整体支出绩效评价报告</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为进一步规范资金管理，牢固树立预算核算理念，强化部门支出责任，提高财政资金使用效率，根据《益阳市赫山区财政局关于做好2021年度预算绩效自评工作的通知》（益赫财绩[2022]1号）文件有关要求，我单位现将2021年度部门整体支出绩效评价情况报告如下： </w:t>
      </w:r>
    </w:p>
    <w:p>
      <w:pPr>
        <w:widowControl/>
        <w:shd w:val="clear" w:color="auto" w:fill="FFFFFF"/>
        <w:spacing w:line="600" w:lineRule="exact"/>
        <w:ind w:firstLine="600" w:firstLineChars="200"/>
        <w:jc w:val="left"/>
        <w:rPr>
          <w:rFonts w:ascii="黑体" w:hAnsi="黑体" w:eastAsia="黑体" w:cs="黑体"/>
          <w:color w:val="333333"/>
          <w:kern w:val="0"/>
          <w:sz w:val="30"/>
          <w:szCs w:val="30"/>
        </w:rPr>
      </w:pPr>
      <w:r>
        <w:rPr>
          <w:rFonts w:hint="eastAsia" w:ascii="黑体" w:hAnsi="黑体" w:eastAsia="黑体" w:cs="黑体"/>
          <w:color w:val="333333"/>
          <w:kern w:val="0"/>
          <w:sz w:val="30"/>
          <w:szCs w:val="30"/>
        </w:rPr>
        <w:t>一、部门基本情况</w:t>
      </w:r>
    </w:p>
    <w:p>
      <w:pPr>
        <w:widowControl/>
        <w:shd w:val="clear" w:color="auto" w:fill="FFFFFF"/>
        <w:spacing w:line="600" w:lineRule="exact"/>
        <w:ind w:firstLine="602" w:firstLineChars="200"/>
        <w:jc w:val="left"/>
        <w:rPr>
          <w:rFonts w:ascii="仿宋" w:hAnsi="仿宋" w:eastAsia="仿宋" w:cs="仿宋"/>
          <w:b/>
          <w:bCs/>
          <w:color w:val="333333"/>
          <w:kern w:val="0"/>
          <w:sz w:val="30"/>
          <w:szCs w:val="30"/>
        </w:rPr>
      </w:pPr>
      <w:r>
        <w:rPr>
          <w:rFonts w:hint="eastAsia" w:ascii="仿宋" w:hAnsi="仿宋" w:eastAsia="仿宋" w:cs="仿宋"/>
          <w:b/>
          <w:bCs/>
          <w:color w:val="333333"/>
          <w:kern w:val="0"/>
          <w:sz w:val="30"/>
          <w:szCs w:val="30"/>
        </w:rPr>
        <w:t>（一）主要职能 </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主要负责为已建水利工程正常运转提供管理保障；负责撇洪新河灌区管理，工程运行日常维护，机械设备运行管理和安全监测。</w:t>
      </w:r>
    </w:p>
    <w:p>
      <w:pPr>
        <w:widowControl/>
        <w:shd w:val="clear" w:color="auto" w:fill="FFFFFF"/>
        <w:spacing w:line="600" w:lineRule="exact"/>
        <w:ind w:firstLine="602" w:firstLineChars="200"/>
        <w:jc w:val="left"/>
        <w:rPr>
          <w:rFonts w:ascii="仿宋" w:hAnsi="仿宋" w:eastAsia="仿宋" w:cs="仿宋"/>
          <w:b/>
          <w:bCs/>
          <w:color w:val="333333"/>
          <w:kern w:val="0"/>
          <w:sz w:val="30"/>
          <w:szCs w:val="30"/>
        </w:rPr>
      </w:pPr>
      <w:r>
        <w:rPr>
          <w:rFonts w:hint="eastAsia" w:ascii="仿宋" w:hAnsi="仿宋" w:eastAsia="仿宋" w:cs="仿宋"/>
          <w:b/>
          <w:bCs/>
          <w:color w:val="333333"/>
          <w:kern w:val="0"/>
          <w:sz w:val="30"/>
          <w:szCs w:val="30"/>
        </w:rPr>
        <w:t>（二）机构设置、人员情况 </w:t>
      </w:r>
    </w:p>
    <w:p>
      <w:pPr>
        <w:widowControl/>
        <w:spacing w:line="600" w:lineRule="exact"/>
        <w:ind w:firstLine="600" w:firstLineChars="200"/>
        <w:textAlignment w:val="baseline"/>
        <w:rPr>
          <w:rFonts w:ascii="仿宋" w:hAnsi="仿宋" w:eastAsia="仿宋" w:cs="仿宋"/>
          <w:bCs/>
          <w:kern w:val="0"/>
          <w:sz w:val="30"/>
          <w:szCs w:val="30"/>
        </w:rPr>
      </w:pPr>
      <w:r>
        <w:rPr>
          <w:rFonts w:hint="eastAsia" w:ascii="仿宋" w:hAnsi="仿宋" w:eastAsia="仿宋" w:cs="仿宋"/>
          <w:bCs/>
          <w:kern w:val="0"/>
          <w:sz w:val="30"/>
          <w:szCs w:val="30"/>
        </w:rPr>
        <w:t>单位内设机构包括：</w:t>
      </w:r>
      <w:r>
        <w:rPr>
          <w:rFonts w:hint="eastAsia" w:ascii="仿宋" w:hAnsi="仿宋" w:eastAsia="仿宋" w:cs="仿宋"/>
          <w:sz w:val="30"/>
          <w:szCs w:val="30"/>
        </w:rPr>
        <w:t>办公室</w:t>
      </w:r>
      <w:r>
        <w:rPr>
          <w:rFonts w:hint="eastAsia" w:ascii="仿宋" w:hAnsi="仿宋" w:eastAsia="仿宋" w:cs="仿宋"/>
          <w:sz w:val="30"/>
          <w:szCs w:val="30"/>
          <w:lang w:eastAsia="zh-CN"/>
        </w:rPr>
        <w:t>、</w:t>
      </w:r>
      <w:r>
        <w:rPr>
          <w:rFonts w:hint="eastAsia" w:ascii="仿宋" w:hAnsi="仿宋" w:eastAsia="仿宋" w:cs="仿宋"/>
          <w:sz w:val="30"/>
          <w:szCs w:val="30"/>
        </w:rPr>
        <w:t>站长办公室</w:t>
      </w:r>
      <w:r>
        <w:rPr>
          <w:rFonts w:hint="eastAsia" w:ascii="仿宋" w:hAnsi="仿宋" w:eastAsia="仿宋" w:cs="仿宋"/>
          <w:sz w:val="30"/>
          <w:szCs w:val="30"/>
          <w:lang w:eastAsia="zh-CN"/>
        </w:rPr>
        <w:t>、</w:t>
      </w:r>
      <w:r>
        <w:rPr>
          <w:rFonts w:hint="eastAsia" w:ascii="仿宋" w:hAnsi="仿宋" w:eastAsia="仿宋" w:cs="仿宋"/>
          <w:sz w:val="30"/>
          <w:szCs w:val="30"/>
        </w:rPr>
        <w:t>副站长办公室</w:t>
      </w:r>
      <w:r>
        <w:rPr>
          <w:rFonts w:hint="eastAsia" w:ascii="仿宋" w:hAnsi="仿宋" w:eastAsia="仿宋" w:cs="仿宋"/>
          <w:sz w:val="30"/>
          <w:szCs w:val="30"/>
          <w:lang w:eastAsia="zh-CN"/>
        </w:rPr>
        <w:t>、</w:t>
      </w:r>
      <w:r>
        <w:rPr>
          <w:rFonts w:hint="eastAsia" w:ascii="仿宋" w:hAnsi="仿宋" w:eastAsia="仿宋" w:cs="仿宋"/>
          <w:sz w:val="30"/>
          <w:szCs w:val="30"/>
        </w:rPr>
        <w:t>财务室。</w:t>
      </w:r>
      <w:r>
        <w:rPr>
          <w:rFonts w:hint="eastAsia" w:ascii="仿宋" w:hAnsi="仿宋" w:eastAsia="仿宋" w:cs="仿宋"/>
          <w:color w:val="333333"/>
          <w:kern w:val="0"/>
          <w:sz w:val="30"/>
          <w:szCs w:val="30"/>
        </w:rPr>
        <w:t>益阳市赫山区新河大闸事务中心全额拨款25人，设主任1名，副主任2名全部纳入股级公益一类事业单位。</w:t>
      </w:r>
    </w:p>
    <w:p>
      <w:pPr>
        <w:widowControl/>
        <w:shd w:val="clear" w:color="auto" w:fill="FFFFFF"/>
        <w:spacing w:line="600" w:lineRule="exact"/>
        <w:ind w:firstLine="600" w:firstLineChars="200"/>
        <w:jc w:val="left"/>
        <w:rPr>
          <w:rFonts w:ascii="黑体" w:hAnsi="黑体" w:eastAsia="黑体" w:cs="黑体"/>
          <w:color w:val="333333"/>
          <w:kern w:val="0"/>
          <w:sz w:val="30"/>
          <w:szCs w:val="30"/>
        </w:rPr>
      </w:pPr>
      <w:r>
        <w:rPr>
          <w:rFonts w:hint="eastAsia" w:ascii="黑体" w:hAnsi="黑体" w:eastAsia="黑体" w:cs="黑体"/>
          <w:color w:val="333333"/>
          <w:kern w:val="0"/>
          <w:sz w:val="30"/>
          <w:szCs w:val="30"/>
        </w:rPr>
        <w:t>二、一般公共预算支出情况</w:t>
      </w:r>
    </w:p>
    <w:p>
      <w:pPr>
        <w:widowControl/>
        <w:shd w:val="clear" w:color="auto" w:fill="FFFFFF"/>
        <w:spacing w:line="600" w:lineRule="exact"/>
        <w:ind w:firstLine="602" w:firstLineChars="200"/>
        <w:jc w:val="left"/>
        <w:rPr>
          <w:rFonts w:ascii="仿宋" w:hAnsi="仿宋" w:eastAsia="仿宋" w:cs="仿宋"/>
          <w:b/>
          <w:bCs/>
          <w:color w:val="333333"/>
          <w:kern w:val="0"/>
          <w:sz w:val="30"/>
          <w:szCs w:val="30"/>
        </w:rPr>
      </w:pPr>
      <w:r>
        <w:rPr>
          <w:rFonts w:hint="eastAsia" w:ascii="仿宋" w:hAnsi="仿宋" w:eastAsia="仿宋" w:cs="仿宋"/>
          <w:b/>
          <w:bCs/>
          <w:color w:val="333333"/>
          <w:kern w:val="0"/>
          <w:sz w:val="30"/>
          <w:szCs w:val="30"/>
        </w:rPr>
        <w:t>（一）基本支出情况</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2021年，我单位基本支出金额为99.56元，按支出性质和经济分类，人员经费96.65元、公用经费2.91元，具体为</w:t>
      </w:r>
      <w:r>
        <w:rPr>
          <w:rFonts w:hint="eastAsia" w:ascii="仿宋" w:hAnsi="仿宋" w:eastAsia="仿宋" w:cs="仿宋"/>
          <w:color w:val="000000"/>
          <w:kern w:val="0"/>
          <w:sz w:val="30"/>
          <w:szCs w:val="30"/>
        </w:rPr>
        <w:t>工资福利支出89.03元、商品和服务支出2.91元、对个人及家庭补助支出7.62元。</w:t>
      </w:r>
    </w:p>
    <w:p>
      <w:pPr>
        <w:widowControl/>
        <w:shd w:val="clear" w:color="auto" w:fill="FFFFFF"/>
        <w:spacing w:line="600" w:lineRule="exact"/>
        <w:ind w:firstLine="602" w:firstLineChars="200"/>
        <w:jc w:val="left"/>
        <w:rPr>
          <w:rFonts w:ascii="仿宋" w:hAnsi="仿宋" w:eastAsia="仿宋" w:cs="仿宋"/>
          <w:b/>
          <w:bCs/>
          <w:color w:val="333333"/>
          <w:kern w:val="0"/>
          <w:sz w:val="30"/>
          <w:szCs w:val="30"/>
        </w:rPr>
      </w:pPr>
      <w:r>
        <w:rPr>
          <w:rFonts w:hint="eastAsia" w:ascii="仿宋" w:hAnsi="仿宋" w:eastAsia="仿宋" w:cs="仿宋"/>
          <w:b/>
          <w:bCs/>
          <w:color w:val="333333"/>
          <w:kern w:val="0"/>
          <w:sz w:val="30"/>
          <w:szCs w:val="30"/>
        </w:rPr>
        <w:t>（二）项目支出情况</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2021年本单位无项目支出</w:t>
      </w:r>
    </w:p>
    <w:p>
      <w:pPr>
        <w:widowControl/>
        <w:shd w:val="clear" w:color="auto" w:fill="FFFFFF"/>
        <w:spacing w:line="600" w:lineRule="exact"/>
        <w:ind w:firstLine="600" w:firstLineChars="200"/>
        <w:jc w:val="left"/>
        <w:rPr>
          <w:rFonts w:ascii="黑体" w:hAnsi="黑体" w:eastAsia="黑体" w:cs="黑体"/>
          <w:color w:val="333333"/>
          <w:kern w:val="0"/>
          <w:sz w:val="30"/>
          <w:szCs w:val="30"/>
        </w:rPr>
      </w:pPr>
      <w:r>
        <w:rPr>
          <w:rFonts w:hint="eastAsia" w:ascii="黑体" w:hAnsi="黑体" w:eastAsia="黑体" w:cs="黑体"/>
          <w:color w:val="333333"/>
          <w:kern w:val="0"/>
          <w:sz w:val="30"/>
          <w:szCs w:val="30"/>
        </w:rPr>
        <w:t>三、政府性基金预算支出情况</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本单位2021年无政府性基金预算支出</w:t>
      </w:r>
    </w:p>
    <w:p>
      <w:pPr>
        <w:widowControl/>
        <w:shd w:val="clear" w:color="auto" w:fill="FFFFFF"/>
        <w:spacing w:line="600" w:lineRule="exact"/>
        <w:ind w:firstLine="600" w:firstLineChars="200"/>
        <w:jc w:val="left"/>
        <w:rPr>
          <w:rFonts w:ascii="黑体" w:hAnsi="黑体" w:eastAsia="黑体" w:cs="黑体"/>
          <w:color w:val="333333"/>
          <w:kern w:val="0"/>
          <w:sz w:val="30"/>
          <w:szCs w:val="30"/>
        </w:rPr>
      </w:pPr>
      <w:r>
        <w:rPr>
          <w:rFonts w:hint="eastAsia" w:ascii="黑体" w:hAnsi="黑体" w:eastAsia="黑体" w:cs="黑体"/>
          <w:color w:val="333333"/>
          <w:kern w:val="0"/>
          <w:sz w:val="30"/>
          <w:szCs w:val="30"/>
        </w:rPr>
        <w:t>四、国有资本经营预算支出情况</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本单位2021年无国有资本经营预算支出</w:t>
      </w:r>
    </w:p>
    <w:p>
      <w:pPr>
        <w:widowControl/>
        <w:shd w:val="clear" w:color="auto" w:fill="FFFFFF"/>
        <w:spacing w:line="600" w:lineRule="exact"/>
        <w:ind w:firstLine="600" w:firstLineChars="200"/>
        <w:jc w:val="left"/>
        <w:rPr>
          <w:rFonts w:ascii="黑体" w:hAnsi="黑体" w:eastAsia="黑体" w:cs="黑体"/>
          <w:color w:val="333333"/>
          <w:kern w:val="0"/>
          <w:sz w:val="30"/>
          <w:szCs w:val="30"/>
        </w:rPr>
      </w:pPr>
      <w:r>
        <w:rPr>
          <w:rFonts w:hint="eastAsia" w:ascii="黑体" w:hAnsi="黑体" w:eastAsia="黑体" w:cs="黑体"/>
          <w:color w:val="333333"/>
          <w:kern w:val="0"/>
          <w:sz w:val="30"/>
          <w:szCs w:val="30"/>
        </w:rPr>
        <w:t>五、社会保险基金预算支出情况</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本单位的社会保险基金预算支出纳入了工资福利支出，无其他相关支出。</w:t>
      </w:r>
    </w:p>
    <w:p>
      <w:pPr>
        <w:widowControl/>
        <w:shd w:val="clear" w:color="auto" w:fill="FFFFFF"/>
        <w:spacing w:line="600" w:lineRule="exact"/>
        <w:ind w:firstLine="600" w:firstLineChars="200"/>
        <w:jc w:val="left"/>
        <w:rPr>
          <w:rFonts w:ascii="黑体" w:hAnsi="黑体" w:eastAsia="黑体" w:cs="黑体"/>
          <w:color w:val="333333"/>
          <w:kern w:val="0"/>
          <w:sz w:val="30"/>
          <w:szCs w:val="30"/>
        </w:rPr>
      </w:pPr>
      <w:r>
        <w:rPr>
          <w:rFonts w:hint="eastAsia" w:ascii="黑体" w:hAnsi="黑体" w:eastAsia="黑体" w:cs="黑体"/>
          <w:color w:val="333333"/>
          <w:kern w:val="0"/>
          <w:sz w:val="30"/>
          <w:szCs w:val="30"/>
        </w:rPr>
        <w:t>六、部门整体支出绩效情况</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在区委、区政府及区水利局机关的领导下，本单位2021年所有支出严格按照国家财经法规、预算资金管理办法、财务管理制度，遵循先预算、再审批、后支出的原则，保证资金的合理使用。</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我单位的整体支出绩效情况如下：</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一是保障了单位有效运转。干部职工待遇严格按政策发放，严格按照厉行节约的要求，量入为出，规范单位事务管理工作，提高服务质量，降低运行成本，合理配置，提高保障能力。</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二是强化了资产管理。固定资产明确了专门管理部门和人员，建立资产管理系统实行专门审批、登记、核销和管理，做到账账、账证、账实相符，基本无闲置浪费现象。</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三是严格控制了“三公”经费。“三公”经费支出控制在年初预算指标内，未超过上年预算安排。</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四是加强了预决算管理。建立健全了《财务管理制度》等内部管理制度，按照区财政统一部署公开了部门预决算，建立单位评价监督机制，对预决算管理中发现的问题及时整改。</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五是完成水利工作任务。合理控制水位，为撇洪新河沿线农田提供水利保障。</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我单位能够按照国家的法律法规加强预算管理，不断完善内控制度，财务管理和会计基础工作日益完善，取得了较好的预算执行效果。认真完成了2021年部门决算编制和汇总工作，确保了资金的有效使用与管理，保障了单位正常运转及全年水利工作任务的完成，取得了一定经济、生态和社会效益。</w:t>
      </w:r>
    </w:p>
    <w:p>
      <w:pPr>
        <w:widowControl/>
        <w:shd w:val="clear" w:color="auto" w:fill="FFFFFF"/>
        <w:spacing w:line="600" w:lineRule="exact"/>
        <w:ind w:firstLine="600" w:firstLineChars="200"/>
        <w:jc w:val="left"/>
        <w:rPr>
          <w:rFonts w:ascii="黑体" w:hAnsi="黑体" w:eastAsia="黑体" w:cs="黑体"/>
          <w:color w:val="333333"/>
          <w:kern w:val="0"/>
          <w:sz w:val="30"/>
          <w:szCs w:val="30"/>
        </w:rPr>
      </w:pPr>
      <w:r>
        <w:rPr>
          <w:rFonts w:hint="eastAsia" w:ascii="黑体" w:hAnsi="黑体" w:eastAsia="黑体" w:cs="黑体"/>
          <w:color w:val="333333"/>
          <w:kern w:val="0"/>
          <w:sz w:val="30"/>
          <w:szCs w:val="30"/>
        </w:rPr>
        <w:t>七、存在的主要问题 </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我单位根据本部门职能、职责结合年度工作计划编制年度预算，目前尚未发现特别的问题，各种预算支出执行大致未偏离绩效目标的情况。</w:t>
      </w:r>
    </w:p>
    <w:p>
      <w:pPr>
        <w:widowControl/>
        <w:shd w:val="clear" w:color="auto" w:fill="FFFFFF"/>
        <w:spacing w:line="600" w:lineRule="exact"/>
        <w:ind w:firstLine="600" w:firstLineChars="200"/>
        <w:jc w:val="left"/>
        <w:rPr>
          <w:rFonts w:ascii="黑体" w:hAnsi="黑体" w:eastAsia="黑体" w:cs="黑体"/>
          <w:color w:val="333333"/>
          <w:kern w:val="0"/>
          <w:sz w:val="30"/>
          <w:szCs w:val="30"/>
        </w:rPr>
      </w:pPr>
      <w:r>
        <w:rPr>
          <w:rFonts w:hint="eastAsia" w:ascii="黑体" w:hAnsi="黑体" w:eastAsia="黑体" w:cs="黑体"/>
          <w:color w:val="333333"/>
          <w:kern w:val="0"/>
          <w:sz w:val="30"/>
          <w:szCs w:val="30"/>
        </w:rPr>
        <w:t>八、下一步改进措施</w:t>
      </w:r>
    </w:p>
    <w:p>
      <w:pPr>
        <w:widowControl/>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1.进一步加强财务人员的业务水平，充实扩大财务力量；</w:t>
      </w:r>
    </w:p>
    <w:p>
      <w:pPr>
        <w:widowControl/>
        <w:shd w:val="clear" w:color="auto" w:fill="FFFFFF"/>
        <w:spacing w:line="600" w:lineRule="exact"/>
        <w:ind w:left="596" w:leftChars="284"/>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2.加强内部控制系统的建设；</w:t>
      </w:r>
    </w:p>
    <w:p>
      <w:pPr>
        <w:widowControl/>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3.提高绩效评价的重视，设置合理有效的目标监控机制，科学设置预算绩效指标。</w:t>
      </w:r>
    </w:p>
    <w:p>
      <w:pPr>
        <w:widowControl/>
        <w:shd w:val="clear" w:color="auto" w:fill="FFFFFF"/>
        <w:spacing w:line="600" w:lineRule="exact"/>
        <w:ind w:firstLine="600" w:firstLineChars="200"/>
        <w:jc w:val="left"/>
        <w:rPr>
          <w:rFonts w:ascii="黑体" w:hAnsi="黑体" w:eastAsia="黑体" w:cs="黑体"/>
          <w:color w:val="333333"/>
          <w:kern w:val="0"/>
          <w:sz w:val="30"/>
          <w:szCs w:val="30"/>
        </w:rPr>
      </w:pPr>
      <w:r>
        <w:rPr>
          <w:rFonts w:hint="eastAsia" w:ascii="黑体" w:hAnsi="黑体" w:eastAsia="黑体" w:cs="黑体"/>
          <w:color w:val="333333"/>
          <w:kern w:val="0"/>
          <w:sz w:val="30"/>
          <w:szCs w:val="30"/>
        </w:rPr>
        <w:t>九、其他需要说明的问题</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无</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r>
        <w:rPr>
          <w:rFonts w:hint="eastAsia" w:ascii="仿宋" w:hAnsi="仿宋" w:eastAsia="仿宋" w:cs="仿宋"/>
          <w:color w:val="333333"/>
          <w:kern w:val="0"/>
          <w:sz w:val="30"/>
          <w:szCs w:val="30"/>
        </w:rPr>
        <w:t>附件：2021年度部门整体支出绩效自评指标计分表</w:t>
      </w:r>
    </w:p>
    <w:p>
      <w:pPr>
        <w:widowControl/>
        <w:shd w:val="clear" w:color="auto" w:fill="FFFFFF"/>
        <w:spacing w:line="600" w:lineRule="exact"/>
        <w:ind w:firstLine="600" w:firstLineChars="200"/>
        <w:jc w:val="left"/>
        <w:rPr>
          <w:rFonts w:ascii="仿宋" w:hAnsi="仿宋" w:eastAsia="仿宋" w:cs="仿宋"/>
          <w:color w:val="333333"/>
          <w:kern w:val="0"/>
          <w:sz w:val="30"/>
          <w:szCs w:val="30"/>
        </w:rPr>
      </w:pPr>
    </w:p>
    <w:p>
      <w:pPr>
        <w:widowControl/>
        <w:shd w:val="clear" w:color="auto" w:fill="FFFFFF"/>
        <w:spacing w:line="600" w:lineRule="exact"/>
        <w:ind w:firstLine="600" w:firstLineChars="200"/>
        <w:jc w:val="right"/>
        <w:rPr>
          <w:rFonts w:ascii="仿宋" w:hAnsi="仿宋" w:eastAsia="仿宋" w:cs="仿宋"/>
          <w:color w:val="333333"/>
          <w:kern w:val="0"/>
          <w:sz w:val="30"/>
          <w:szCs w:val="30"/>
        </w:rPr>
      </w:pPr>
    </w:p>
    <w:p>
      <w:pPr>
        <w:widowControl/>
        <w:shd w:val="clear" w:color="auto" w:fill="FFFFFF"/>
        <w:spacing w:line="600" w:lineRule="exact"/>
        <w:ind w:firstLine="600" w:firstLineChars="200"/>
        <w:jc w:val="right"/>
        <w:rPr>
          <w:rFonts w:ascii="仿宋" w:hAnsi="仿宋" w:eastAsia="仿宋" w:cs="仿宋"/>
          <w:color w:val="333333"/>
          <w:kern w:val="0"/>
          <w:sz w:val="30"/>
          <w:szCs w:val="30"/>
        </w:rPr>
      </w:pPr>
    </w:p>
    <w:p>
      <w:pPr>
        <w:widowControl/>
        <w:shd w:val="clear" w:color="auto" w:fill="FFFFFF"/>
        <w:spacing w:line="600" w:lineRule="exact"/>
        <w:ind w:firstLine="600" w:firstLineChars="200"/>
        <w:jc w:val="right"/>
        <w:rPr>
          <w:rFonts w:ascii="仿宋" w:hAnsi="仿宋" w:eastAsia="仿宋" w:cs="仿宋"/>
          <w:color w:val="333333"/>
          <w:kern w:val="0"/>
          <w:sz w:val="30"/>
          <w:szCs w:val="30"/>
        </w:rPr>
      </w:pPr>
    </w:p>
    <w:p>
      <w:pPr>
        <w:widowControl/>
        <w:shd w:val="clear" w:color="auto" w:fill="FFFFFF"/>
        <w:spacing w:line="600" w:lineRule="exact"/>
        <w:ind w:firstLine="600" w:firstLineChars="200"/>
        <w:jc w:val="right"/>
        <w:rPr>
          <w:rFonts w:ascii="仿宋" w:hAnsi="仿宋" w:eastAsia="仿宋" w:cs="仿宋"/>
          <w:color w:val="333333"/>
          <w:kern w:val="0"/>
          <w:sz w:val="30"/>
          <w:szCs w:val="30"/>
        </w:rPr>
      </w:pPr>
      <w:bookmarkStart w:id="0" w:name="_GoBack"/>
      <w:bookmarkEnd w:id="0"/>
    </w:p>
    <w:p>
      <w:pPr>
        <w:widowControl/>
        <w:shd w:val="clear" w:color="auto" w:fill="FFFFFF"/>
        <w:spacing w:before="156" w:after="156" w:line="600" w:lineRule="exact"/>
        <w:ind w:firstLine="1200" w:firstLineChars="400"/>
        <w:jc w:val="both"/>
        <w:rPr>
          <w:rFonts w:ascii="黑体" w:hAnsi="黑体" w:eastAsia="黑体" w:cs="黑体"/>
          <w:color w:val="333333"/>
          <w:kern w:val="0"/>
          <w:sz w:val="30"/>
          <w:szCs w:val="30"/>
        </w:rPr>
      </w:pPr>
      <w:r>
        <w:rPr>
          <w:rFonts w:hint="eastAsia" w:ascii="黑体" w:hAnsi="黑体" w:eastAsia="黑体" w:cs="黑体"/>
          <w:color w:val="333333"/>
          <w:kern w:val="0"/>
          <w:sz w:val="30"/>
          <w:szCs w:val="30"/>
        </w:rPr>
        <w:t>2021年度部门整体支出绩效自评指标计分表</w:t>
      </w:r>
    </w:p>
    <w:tbl>
      <w:tblPr>
        <w:tblStyle w:val="2"/>
        <w:tblW w:w="10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7"/>
        <w:gridCol w:w="1166"/>
        <w:gridCol w:w="944"/>
        <w:gridCol w:w="771"/>
        <w:gridCol w:w="3097"/>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jc w:val="center"/>
        </w:trPr>
        <w:tc>
          <w:tcPr>
            <w:tcW w:w="567"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b/>
                <w:bCs/>
                <w:kern w:val="0"/>
                <w:szCs w:val="21"/>
              </w:rPr>
            </w:pPr>
            <w:r>
              <w:rPr>
                <w:rFonts w:hint="eastAsia" w:ascii="仿宋" w:hAnsi="仿宋" w:eastAsia="仿宋" w:cs="仿宋"/>
                <w:b/>
                <w:bCs/>
                <w:kern w:val="0"/>
                <w:szCs w:val="21"/>
              </w:rPr>
              <w:t>一级</w:t>
            </w:r>
          </w:p>
          <w:p>
            <w:pPr>
              <w:widowControl/>
              <w:spacing w:line="240" w:lineRule="atLeast"/>
              <w:jc w:val="center"/>
              <w:rPr>
                <w:rFonts w:ascii="仿宋" w:hAnsi="仿宋" w:eastAsia="仿宋" w:cs="仿宋"/>
                <w:kern w:val="0"/>
                <w:sz w:val="24"/>
                <w:szCs w:val="24"/>
              </w:rPr>
            </w:pPr>
            <w:r>
              <w:rPr>
                <w:rFonts w:hint="eastAsia" w:ascii="仿宋" w:hAnsi="仿宋" w:eastAsia="仿宋" w:cs="仿宋"/>
                <w:b/>
                <w:bCs/>
                <w:kern w:val="0"/>
                <w:szCs w:val="21"/>
              </w:rPr>
              <w:t>指标</w:t>
            </w:r>
          </w:p>
        </w:tc>
        <w:tc>
          <w:tcPr>
            <w:tcW w:w="1166" w:type="dxa"/>
            <w:tcBorders>
              <w:tl2br w:val="nil"/>
              <w:tr2bl w:val="nil"/>
            </w:tcBorders>
            <w:tcMar>
              <w:top w:w="10" w:type="dxa"/>
              <w:left w:w="10" w:type="dxa"/>
              <w:bottom w:w="0" w:type="dxa"/>
              <w:right w:w="10" w:type="dxa"/>
            </w:tcMar>
            <w:vAlign w:val="center"/>
          </w:tcPr>
          <w:p>
            <w:pPr>
              <w:widowControl/>
              <w:spacing w:line="240" w:lineRule="atLeast"/>
              <w:ind w:right="-174"/>
              <w:jc w:val="center"/>
              <w:rPr>
                <w:rFonts w:ascii="仿宋" w:hAnsi="仿宋" w:eastAsia="仿宋" w:cs="仿宋"/>
                <w:kern w:val="0"/>
                <w:sz w:val="24"/>
                <w:szCs w:val="24"/>
              </w:rPr>
            </w:pPr>
            <w:r>
              <w:rPr>
                <w:rFonts w:hint="eastAsia" w:ascii="仿宋" w:hAnsi="仿宋" w:eastAsia="仿宋" w:cs="仿宋"/>
                <w:b/>
                <w:bCs/>
                <w:kern w:val="0"/>
                <w:szCs w:val="21"/>
              </w:rPr>
              <w:t>二级</w:t>
            </w:r>
          </w:p>
          <w:p>
            <w:pPr>
              <w:widowControl/>
              <w:spacing w:line="240" w:lineRule="atLeast"/>
              <w:ind w:right="-174"/>
              <w:jc w:val="center"/>
              <w:rPr>
                <w:rFonts w:ascii="仿宋" w:hAnsi="仿宋" w:eastAsia="仿宋" w:cs="仿宋"/>
                <w:kern w:val="0"/>
                <w:sz w:val="24"/>
                <w:szCs w:val="24"/>
              </w:rPr>
            </w:pPr>
            <w:r>
              <w:rPr>
                <w:rFonts w:hint="eastAsia" w:ascii="仿宋" w:hAnsi="仿宋" w:eastAsia="仿宋" w:cs="仿宋"/>
                <w:b/>
                <w:bCs/>
                <w:kern w:val="0"/>
                <w:szCs w:val="21"/>
              </w:rPr>
              <w:t>指标</w:t>
            </w: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b/>
                <w:bCs/>
                <w:kern w:val="0"/>
                <w:szCs w:val="21"/>
              </w:rPr>
              <w:t>三级</w:t>
            </w:r>
          </w:p>
          <w:p>
            <w:pPr>
              <w:widowControl/>
              <w:spacing w:line="240" w:lineRule="atLeast"/>
              <w:jc w:val="center"/>
              <w:rPr>
                <w:rFonts w:ascii="仿宋" w:hAnsi="仿宋" w:eastAsia="仿宋" w:cs="仿宋"/>
                <w:kern w:val="0"/>
                <w:sz w:val="24"/>
                <w:szCs w:val="24"/>
              </w:rPr>
            </w:pPr>
            <w:r>
              <w:rPr>
                <w:rFonts w:hint="eastAsia" w:ascii="仿宋" w:hAnsi="仿宋" w:eastAsia="仿宋" w:cs="仿宋"/>
                <w:b/>
                <w:bCs/>
                <w:kern w:val="0"/>
                <w:szCs w:val="21"/>
              </w:rPr>
              <w:t>指标</w:t>
            </w:r>
          </w:p>
        </w:tc>
        <w:tc>
          <w:tcPr>
            <w:tcW w:w="771" w:type="dxa"/>
            <w:tcBorders>
              <w:tl2br w:val="nil"/>
              <w:tr2bl w:val="nil"/>
            </w:tcBorders>
            <w:tcMar>
              <w:top w:w="0" w:type="dxa"/>
              <w:left w:w="0" w:type="dxa"/>
              <w:bottom w:w="0" w:type="dxa"/>
              <w:right w:w="0" w:type="dxa"/>
            </w:tcMar>
            <w:vAlign w:val="center"/>
          </w:tcPr>
          <w:p>
            <w:pPr>
              <w:widowControl/>
              <w:spacing w:line="240" w:lineRule="atLeast"/>
              <w:ind w:left="105" w:right="105"/>
              <w:jc w:val="center"/>
              <w:rPr>
                <w:rFonts w:ascii="仿宋" w:hAnsi="仿宋" w:eastAsia="仿宋" w:cs="仿宋"/>
                <w:kern w:val="0"/>
                <w:sz w:val="24"/>
                <w:szCs w:val="24"/>
              </w:rPr>
            </w:pPr>
            <w:r>
              <w:rPr>
                <w:rFonts w:hint="eastAsia" w:ascii="仿宋" w:hAnsi="仿宋" w:eastAsia="仿宋" w:cs="仿宋"/>
                <w:b/>
                <w:bCs/>
                <w:kern w:val="0"/>
                <w:szCs w:val="21"/>
              </w:rPr>
              <w:t>自评分</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jc w:val="center"/>
              <w:rPr>
                <w:rFonts w:ascii="仿宋" w:hAnsi="仿宋" w:eastAsia="仿宋" w:cs="仿宋"/>
                <w:kern w:val="0"/>
                <w:sz w:val="24"/>
                <w:szCs w:val="24"/>
              </w:rPr>
            </w:pPr>
            <w:r>
              <w:rPr>
                <w:rFonts w:hint="eastAsia" w:ascii="仿宋" w:hAnsi="仿宋" w:eastAsia="仿宋" w:cs="仿宋"/>
                <w:b/>
                <w:bCs/>
                <w:kern w:val="0"/>
                <w:szCs w:val="21"/>
              </w:rPr>
              <w:t>指标解释</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center"/>
              <w:rPr>
                <w:rFonts w:ascii="仿宋" w:hAnsi="仿宋" w:eastAsia="仿宋" w:cs="仿宋"/>
                <w:kern w:val="0"/>
                <w:sz w:val="24"/>
                <w:szCs w:val="24"/>
              </w:rPr>
            </w:pPr>
            <w:r>
              <w:rPr>
                <w:rFonts w:hint="eastAsia" w:ascii="仿宋" w:hAnsi="仿宋" w:eastAsia="仿宋" w:cs="仿宋"/>
                <w:b/>
                <w:bCs/>
                <w:kern w:val="0"/>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92" w:hRule="atLeast"/>
          <w:jc w:val="center"/>
        </w:trPr>
        <w:tc>
          <w:tcPr>
            <w:tcW w:w="567" w:type="dxa"/>
            <w:vMerge w:val="restart"/>
            <w:tcBorders>
              <w:tl2br w:val="nil"/>
              <w:tr2bl w:val="nil"/>
            </w:tcBorders>
            <w:noWrap/>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投入（20分）</w:t>
            </w:r>
          </w:p>
        </w:tc>
        <w:tc>
          <w:tcPr>
            <w:tcW w:w="1166" w:type="dxa"/>
            <w:vMerge w:val="restart"/>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目标</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设定（5分）</w:t>
            </w: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绩效目标</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合理性</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（2分）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1</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部门所设立的整体绩效目标依据是否充分，是否符合客观实际，用以反映和考核部门整体绩效目标与部门履职、年度工作任务的相符性情况。</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评价要点：</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①是否符合国家法律法规、国民经济和社会发展总体规划；</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②是否符合部门“三定”方案确定的职责；</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37"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绩效指标</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明确性</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（3分）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2</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部门依据整体绩效目标所设定的绩效指标是否清晰、细化、可衡量，用以反映和考核部门整体绩效目标的明细化情况。</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评价要点：</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①是否将部门整体的绩效目标细化分解为具体的工作任务；</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②是否通过清晰、可衡量的指标值予以体现。    ③是否与部门年度的任务数或计划数相对应；</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31"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restart"/>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预算</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配置</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（15分）</w:t>
            </w: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在职人员</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控制率</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（5分）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 w:val="24"/>
                <w:szCs w:val="24"/>
              </w:rPr>
              <w:t>4</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部门本年度实际在职人员数与编制数的比率，用以反映和考核部门对人员成本的控制程度。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在职人员控制率=（在职人员数/编制数）×100%。</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在职人员数：部门实际在职人数，以财政部确定的部门决算编制口径为准。</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30"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“三公经费”</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变动率</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（5分）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5</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部门本年度“三公经费”预算数与上年度“三公经费”预算数的变动比率，用以反映和考核部门对控制重点行政成本的努力程度。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“三公经费”变动率=[（本年度“三公经费”总额-上年度“三公经费”总额）/上年度“三公经费”总额]×100%。</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10"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重点支出</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安排率</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（5分）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0</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部门本年度预算安排的重点预算支出与部门预算总支出的比率，用以反映和考核部门对履行主要职责或完成重点任务的保障程度。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重点支出安排率=（重点预算支出/预算总支出）×100%。</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重点预算支出：部门年度预算安排的，与本部门履职和发展密切相关、具有明显社会和经济影响、党委政府关心或社会比较关注的预算支出支出总额。</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2" w:hRule="atLeast"/>
          <w:jc w:val="center"/>
        </w:trPr>
        <w:tc>
          <w:tcPr>
            <w:tcW w:w="567" w:type="dxa"/>
            <w:vMerge w:val="restart"/>
            <w:tcBorders>
              <w:tl2br w:val="nil"/>
              <w:tr2bl w:val="nil"/>
            </w:tcBorders>
            <w:noWrap/>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过程（30分）</w:t>
            </w:r>
          </w:p>
        </w:tc>
        <w:tc>
          <w:tcPr>
            <w:tcW w:w="1166" w:type="dxa"/>
            <w:vMerge w:val="restart"/>
            <w:tcBorders>
              <w:tl2br w:val="nil"/>
              <w:tr2bl w:val="nil"/>
            </w:tcBorders>
            <w:tcMar>
              <w:top w:w="10" w:type="dxa"/>
              <w:left w:w="10" w:type="dxa"/>
              <w:bottom w:w="0" w:type="dxa"/>
              <w:right w:w="10" w:type="dxa"/>
            </w:tcMar>
            <w:vAlign w:val="center"/>
          </w:tcPr>
          <w:p>
            <w:pPr>
              <w:widowControl/>
              <w:spacing w:line="240" w:lineRule="atLeast"/>
              <w:jc w:val="left"/>
              <w:rPr>
                <w:rFonts w:ascii="仿宋" w:hAnsi="仿宋" w:eastAsia="仿宋" w:cs="仿宋"/>
                <w:kern w:val="0"/>
                <w:szCs w:val="21"/>
              </w:rPr>
            </w:pPr>
            <w:r>
              <w:rPr>
                <w:rFonts w:hint="eastAsia" w:ascii="仿宋" w:hAnsi="仿宋" w:eastAsia="仿宋" w:cs="仿宋"/>
                <w:kern w:val="0"/>
                <w:szCs w:val="21"/>
              </w:rPr>
              <w:t>预算</w:t>
            </w:r>
          </w:p>
          <w:p>
            <w:pPr>
              <w:widowControl/>
              <w:spacing w:line="240" w:lineRule="atLeast"/>
              <w:jc w:val="left"/>
              <w:rPr>
                <w:rFonts w:ascii="仿宋" w:hAnsi="仿宋" w:eastAsia="仿宋" w:cs="仿宋"/>
                <w:kern w:val="0"/>
                <w:szCs w:val="21"/>
              </w:rPr>
            </w:pPr>
            <w:r>
              <w:rPr>
                <w:rFonts w:hint="eastAsia" w:ascii="仿宋" w:hAnsi="仿宋" w:eastAsia="仿宋" w:cs="仿宋"/>
                <w:kern w:val="0"/>
                <w:szCs w:val="21"/>
              </w:rPr>
              <w:t>执行</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（20分）</w:t>
            </w: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预算</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执行率</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（4分）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4</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部门本年度预算完成数与预算数的比率，用以反映和考核部门预算完成程度。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预算执行率=（预算执行数/预算数）×100%。</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预算执行数：部门本年度实际完成的预算数。</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4"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预算</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调整率</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（2分）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2</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部门本年度预算调整数与预算数的比率，用以反映和考核部门预算的调整程度。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预算调整率=（预算调整数/预算数）×100%。</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31"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支付</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进度率</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（2分）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2</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部门实际支付进度与既定支付进度的比率，用以反映和考核部门预算执行的及时性和均衡性程度。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支付进度率=（实际支付进度/既定支付进度）×100%。</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实际支付进度：部门在某一时点的支出预算执行总数与年度支出预算数的比率。</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9"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结转</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结余率</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（2分）</w:t>
            </w:r>
          </w:p>
        </w:tc>
        <w:tc>
          <w:tcPr>
            <w:tcW w:w="771" w:type="dxa"/>
            <w:tcBorders>
              <w:tl2br w:val="nil"/>
              <w:tr2bl w:val="nil"/>
            </w:tcBorders>
            <w:tcMar>
              <w:top w:w="0" w:type="dxa"/>
              <w:left w:w="0" w:type="dxa"/>
              <w:bottom w:w="0" w:type="dxa"/>
              <w:right w:w="0" w:type="dxa"/>
            </w:tcMar>
          </w:tcPr>
          <w:p>
            <w:pPr>
              <w:widowControl/>
              <w:spacing w:line="240" w:lineRule="atLeast"/>
              <w:ind w:right="105"/>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right="105"/>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right="105" w:firstLine="105"/>
              <w:jc w:val="left"/>
              <w:rPr>
                <w:rFonts w:ascii="仿宋" w:hAnsi="仿宋" w:eastAsia="仿宋" w:cs="仿宋"/>
                <w:kern w:val="0"/>
                <w:sz w:val="24"/>
                <w:szCs w:val="24"/>
              </w:rPr>
            </w:pPr>
            <w:r>
              <w:rPr>
                <w:rFonts w:hint="eastAsia" w:ascii="仿宋" w:hAnsi="仿宋" w:eastAsia="仿宋" w:cs="仿宋"/>
                <w:kern w:val="0"/>
                <w:szCs w:val="21"/>
              </w:rPr>
              <w:t> 2</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部门本年度结转结余总额与支出预算数的比率，用以反映和考核部门对本年度结转结余资金的实际控制程度。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结转结余率=结转结余总额/支出预算数×100%。</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3"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结转结余</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变动率</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（2分）</w:t>
            </w:r>
          </w:p>
        </w:tc>
        <w:tc>
          <w:tcPr>
            <w:tcW w:w="771" w:type="dxa"/>
            <w:tcBorders>
              <w:tl2br w:val="nil"/>
              <w:tr2bl w:val="nil"/>
            </w:tcBorders>
            <w:tcMar>
              <w:top w:w="0" w:type="dxa"/>
              <w:left w:w="0" w:type="dxa"/>
              <w:bottom w:w="0" w:type="dxa"/>
              <w:right w:w="0" w:type="dxa"/>
            </w:tcMar>
          </w:tcPr>
          <w:p>
            <w:pPr>
              <w:widowControl/>
              <w:spacing w:line="240" w:lineRule="atLeast"/>
              <w:ind w:right="105"/>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right="105"/>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right="105"/>
              <w:jc w:val="left"/>
              <w:rPr>
                <w:rFonts w:ascii="仿宋" w:hAnsi="仿宋" w:eastAsia="仿宋" w:cs="仿宋"/>
                <w:kern w:val="0"/>
                <w:sz w:val="24"/>
                <w:szCs w:val="24"/>
              </w:rPr>
            </w:pPr>
            <w:r>
              <w:rPr>
                <w:rFonts w:hint="eastAsia" w:ascii="仿宋" w:hAnsi="仿宋" w:eastAsia="仿宋" w:cs="仿宋"/>
                <w:kern w:val="0"/>
                <w:szCs w:val="21"/>
              </w:rPr>
              <w:t>  2</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部门本年度结转结余资金总额与上年度结转结余资金总额的变动比率，用以反映和考核部门对控制结转结余资金的努力程度。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结转结余变动率=[（本年度累计结转结余资金总额-上年度累计结转结余资金总额）/上年度累计结转结余资金总额]×100%。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公用经费</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控制率</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（2分）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right="105"/>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 w:val="24"/>
                <w:szCs w:val="24"/>
              </w:rPr>
              <w:t>1</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部门本年度实际支出的公用经费总额与预算安排的公用经费总额的比率，用以反映和考核部门对机构运转成本的实际控制程度。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公用经费控制率=（实际支出公用经费总额/预算安排公用经费总额）×100%。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8"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“三公经费”控制率（2分）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2</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部门本年度“三公经费”实际支出数与预算安排数的比率，用以反映和考核部门对“三公经费”的实际控制程度。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“三公经费”控制率=（“三公经费”实际支出数/“三公经费”预算安排数）×100%。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0"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政府采购</w:t>
            </w:r>
          </w:p>
          <w:p>
            <w:pPr>
              <w:widowControl/>
              <w:spacing w:line="240" w:lineRule="atLeast"/>
              <w:jc w:val="left"/>
              <w:rPr>
                <w:rFonts w:ascii="仿宋" w:hAnsi="仿宋" w:eastAsia="仿宋" w:cs="仿宋"/>
                <w:kern w:val="0"/>
                <w:szCs w:val="21"/>
              </w:rPr>
            </w:pPr>
            <w:r>
              <w:rPr>
                <w:rFonts w:hint="eastAsia" w:ascii="仿宋" w:hAnsi="仿宋" w:eastAsia="仿宋" w:cs="仿宋"/>
                <w:kern w:val="0"/>
                <w:szCs w:val="21"/>
              </w:rPr>
              <w:t>执行率</w:t>
            </w:r>
          </w:p>
          <w:p>
            <w:pPr>
              <w:widowControl/>
              <w:spacing w:line="240" w:lineRule="atLeast"/>
              <w:jc w:val="left"/>
              <w:rPr>
                <w:rFonts w:ascii="仿宋" w:hAnsi="仿宋" w:eastAsia="仿宋" w:cs="仿宋"/>
                <w:kern w:val="0"/>
                <w:sz w:val="24"/>
                <w:szCs w:val="24"/>
              </w:rPr>
            </w:pPr>
            <w:r>
              <w:rPr>
                <w:rFonts w:hint="eastAsia" w:ascii="仿宋" w:hAnsi="仿宋" w:eastAsia="仿宋" w:cs="仿宋"/>
                <w:kern w:val="0"/>
                <w:szCs w:val="21"/>
              </w:rPr>
              <w:t>（4分）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right="105"/>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right="105"/>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 w:val="24"/>
                <w:szCs w:val="24"/>
              </w:rPr>
              <w:t>3</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部门本年度实际政府采购金额与年初政府采购预算的比率，用以反映和考核部门政府采购预算执行情况。</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政府采购执行率=（实际政府采购金额/政府采购预算数）×100%；</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政府采购预算：采购机关根据事业发展计划和行政任务编制的、并经过规定程序批准的年度政府采购计划。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29" w:hRule="atLeast"/>
          <w:jc w:val="center"/>
        </w:trPr>
        <w:tc>
          <w:tcPr>
            <w:tcW w:w="567" w:type="dxa"/>
            <w:vMerge w:val="restart"/>
            <w:tcBorders>
              <w:tl2br w:val="nil"/>
              <w:tr2bl w:val="nil"/>
            </w:tcBorders>
            <w:tcMar>
              <w:top w:w="0" w:type="dxa"/>
              <w:left w:w="0" w:type="dxa"/>
              <w:bottom w:w="0" w:type="dxa"/>
              <w:right w:w="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过程（30分）</w:t>
            </w:r>
          </w:p>
        </w:tc>
        <w:tc>
          <w:tcPr>
            <w:tcW w:w="1166" w:type="dxa"/>
            <w:vMerge w:val="restart"/>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预算</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管理</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（5分）</w:t>
            </w:r>
          </w:p>
          <w:p>
            <w:pPr>
              <w:widowControl/>
              <w:spacing w:line="240" w:lineRule="atLeast"/>
              <w:jc w:val="center"/>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管理制度</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健全性</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（2分）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 w:val="24"/>
                <w:szCs w:val="24"/>
              </w:rPr>
              <w:t>1</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部门为加强预算管理、规范财务行为而制定的管理制度是否健全完整，用以反映和考核部门预算管理制度对完成主要职责或促进事业发展的保障情况。</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评价要点：</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①是否已制定或具有预算资金管理办法、内部财务管理制度、会计核算制度等管理制度；</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②相关管理制度是否合法、合规、完整；</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37"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资金使用</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合规性</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（1分）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1</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部门使用预算资金是否符合相关的预算财务管理制度的规定，用以反映和考核部门预算资金的规范运行情况。</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评价要点：</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①是否符合国家财经法规和财务管理制度规定以及有关预算支出管理办法的规定；</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②资金的拨付是否有完整的审批程序和手续；</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③预算支出的重大开支是否经过评估论证；</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④是否符合部门预算批复的用途；</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2"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预决算信</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息公开性（1分）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1</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部门是否按照政府信息公开有关规定公开相关预决算信息，用以反映和考核部门预决算管理的公开透明情况。</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评价要点：</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①是否按规定内容公开预决算信息；</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②是否按规定时限公开预决算信息。</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7"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基础信息</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完善性</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（1分）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1</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部门基础信息是否完善，用以反映和考核基础信息对预算管理工作的支撑情况。</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评价要点：</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①基础数据信息和会计信息资料是否真实；</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②基础数据信息和会计信息资料是否完整；</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9"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restart"/>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资产</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管理（5分）</w:t>
            </w: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管理制度</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健全性</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（2分）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2</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部门为加强资产管理、规范资产管理行为而制定的管理制度是否健全完整，用以反映和考核部门资产管理制度对完成主要职责或促进社会发展的保障情况。</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评价要点：</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①是否已制定或具有资产管理制度；           ②相关资金管理制度是否合法、合规、完整；</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7"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left"/>
              <w:rPr>
                <w:rFonts w:ascii="仿宋" w:hAnsi="仿宋" w:eastAsia="仿宋" w:cs="仿宋"/>
                <w:kern w:val="0"/>
                <w:sz w:val="24"/>
                <w:szCs w:val="24"/>
              </w:rPr>
            </w:pPr>
            <w:r>
              <w:rPr>
                <w:rFonts w:hint="eastAsia" w:ascii="仿宋" w:hAnsi="仿宋" w:eastAsia="仿宋" w:cs="仿宋"/>
                <w:kern w:val="0"/>
                <w:szCs w:val="21"/>
              </w:rPr>
              <w:t>资产管理</w:t>
            </w:r>
          </w:p>
          <w:p>
            <w:pPr>
              <w:widowControl/>
              <w:spacing w:line="240" w:lineRule="atLeast"/>
              <w:jc w:val="left"/>
              <w:rPr>
                <w:rFonts w:ascii="仿宋" w:hAnsi="仿宋" w:eastAsia="仿宋" w:cs="仿宋"/>
                <w:kern w:val="0"/>
                <w:szCs w:val="21"/>
              </w:rPr>
            </w:pPr>
            <w:r>
              <w:rPr>
                <w:rFonts w:hint="eastAsia" w:ascii="仿宋" w:hAnsi="仿宋" w:eastAsia="仿宋" w:cs="仿宋"/>
                <w:kern w:val="0"/>
                <w:szCs w:val="21"/>
              </w:rPr>
              <w:t>安全性</w:t>
            </w:r>
          </w:p>
          <w:p>
            <w:pPr>
              <w:widowControl/>
              <w:spacing w:line="240" w:lineRule="atLeast"/>
              <w:jc w:val="left"/>
              <w:rPr>
                <w:rFonts w:ascii="仿宋" w:hAnsi="仿宋" w:eastAsia="仿宋" w:cs="仿宋"/>
                <w:kern w:val="0"/>
                <w:sz w:val="24"/>
                <w:szCs w:val="24"/>
              </w:rPr>
            </w:pPr>
            <w:r>
              <w:rPr>
                <w:rFonts w:hint="eastAsia" w:ascii="仿宋" w:hAnsi="仿宋" w:eastAsia="仿宋" w:cs="仿宋"/>
                <w:kern w:val="0"/>
                <w:szCs w:val="21"/>
              </w:rPr>
              <w:t>（2分）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2</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部门的资产是否保存完整、使用合规、配置合理、处置规范、收入及时足额上缴，用以反映和考核部门资产安全运行情况。</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评价要点：</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①资产保存是否完整；</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②资产配置是否合理；</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③资产处置是否规范；</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④资产账务管理是否合规，是否帐实相符；</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5"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固定资产</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利用率</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（1分）</w:t>
            </w:r>
          </w:p>
        </w:tc>
        <w:tc>
          <w:tcPr>
            <w:tcW w:w="771" w:type="dxa"/>
            <w:tcBorders>
              <w:tl2br w:val="nil"/>
              <w:tr2bl w:val="nil"/>
            </w:tcBorders>
            <w:tcMar>
              <w:top w:w="0" w:type="dxa"/>
              <w:left w:w="0" w:type="dxa"/>
              <w:bottom w:w="0" w:type="dxa"/>
              <w:right w:w="0" w:type="dxa"/>
            </w:tcMar>
          </w:tcPr>
          <w:p>
            <w:pPr>
              <w:widowControl/>
              <w:spacing w:line="240" w:lineRule="atLeast"/>
              <w:ind w:right="105"/>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right="105"/>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1</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部门实际在用固定资产总额与所有固定资产总额的比率，用以反映和考核部门固定资产使用效率程度。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固定资产利用率=（实际在用固定资产总额/所有固定资产总额）×100%。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71" w:hRule="atLeast"/>
          <w:jc w:val="center"/>
        </w:trPr>
        <w:tc>
          <w:tcPr>
            <w:tcW w:w="567" w:type="dxa"/>
            <w:vMerge w:val="restart"/>
            <w:tcBorders>
              <w:tl2br w:val="nil"/>
              <w:tr2bl w:val="nil"/>
            </w:tcBorders>
            <w:noWrap/>
            <w:tcMar>
              <w:top w:w="10" w:type="dxa"/>
              <w:left w:w="10" w:type="dxa"/>
              <w:bottom w:w="0" w:type="dxa"/>
              <w:right w:w="10" w:type="dxa"/>
            </w:tcMar>
            <w:vAlign w:val="center"/>
          </w:tcPr>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产出</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（30分）</w:t>
            </w:r>
          </w:p>
        </w:tc>
        <w:tc>
          <w:tcPr>
            <w:tcW w:w="1166" w:type="dxa"/>
            <w:vMerge w:val="restart"/>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职责</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履行</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（30分）</w:t>
            </w: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实际</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完成率（8分）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8</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部门履行职责而实际完成工作数与计划工作数的比率，用以反映和考核部门履职工作任务目标的实现程度。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实际完成率=（实际完成工作数/计划工作数）×100%。</w:t>
            </w:r>
          </w:p>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实际完成工作数：一定时期（年度或规划期）内部门实际完成工作任务的数量。</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3"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完成</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及时率（4分）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4</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部门在规定时限内及时完成的实际工作数与计划工作数的比率,用以反映和考核部门履职时效目标的实现程度。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完成及时率=（及时完成实际工作数/计划工作数）×100%。</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5"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质量</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达标率（8分）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8</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达到质量标准（绩效标准值）的实际工作数与计划工作数的比率,用以反映和考核部门履职质量目标的实现程度。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质量达标率=（质量达标实际工作数/计划工作数）×100%。</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重点工作</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办结率（10分）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right="105"/>
              <w:jc w:val="left"/>
              <w:rPr>
                <w:rFonts w:ascii="仿宋" w:hAnsi="仿宋" w:eastAsia="仿宋" w:cs="仿宋"/>
                <w:kern w:val="0"/>
                <w:sz w:val="24"/>
                <w:szCs w:val="24"/>
              </w:rPr>
            </w:pPr>
            <w:r>
              <w:rPr>
                <w:rFonts w:hint="eastAsia" w:ascii="仿宋" w:hAnsi="仿宋" w:eastAsia="仿宋" w:cs="仿宋"/>
                <w:kern w:val="0"/>
                <w:szCs w:val="21"/>
              </w:rPr>
              <w:t>  9</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部门年度重点工作实际完成数与交办或下达数的比率，用以反映部门对重点工作的办理落实程度。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Cs w:val="21"/>
              </w:rPr>
            </w:pPr>
            <w:r>
              <w:rPr>
                <w:rFonts w:hint="eastAsia" w:ascii="仿宋" w:hAnsi="仿宋" w:eastAsia="仿宋" w:cs="仿宋"/>
                <w:kern w:val="0"/>
                <w:szCs w:val="21"/>
              </w:rPr>
              <w:t>重点工作办结率=（重点工作实际完成数/交办或下达数）×100%。</w:t>
            </w:r>
          </w:p>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9" w:hRule="atLeast"/>
          <w:jc w:val="center"/>
        </w:trPr>
        <w:tc>
          <w:tcPr>
            <w:tcW w:w="567" w:type="dxa"/>
            <w:vMerge w:val="restart"/>
            <w:tcBorders>
              <w:tl2br w:val="nil"/>
              <w:tr2bl w:val="nil"/>
            </w:tcBorders>
            <w:noWrap/>
            <w:tcMar>
              <w:top w:w="10" w:type="dxa"/>
              <w:left w:w="10" w:type="dxa"/>
              <w:bottom w:w="0" w:type="dxa"/>
              <w:right w:w="10" w:type="dxa"/>
            </w:tcMar>
            <w:vAlign w:val="center"/>
          </w:tcPr>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效果</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（20分）</w:t>
            </w:r>
          </w:p>
        </w:tc>
        <w:tc>
          <w:tcPr>
            <w:tcW w:w="1166" w:type="dxa"/>
            <w:vMerge w:val="restart"/>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履职</w:t>
            </w:r>
          </w:p>
          <w:p>
            <w:pPr>
              <w:widowControl/>
              <w:spacing w:line="240" w:lineRule="atLeast"/>
              <w:jc w:val="center"/>
              <w:rPr>
                <w:rFonts w:ascii="仿宋" w:hAnsi="仿宋" w:eastAsia="仿宋" w:cs="仿宋"/>
                <w:kern w:val="0"/>
                <w:szCs w:val="21"/>
              </w:rPr>
            </w:pPr>
            <w:r>
              <w:rPr>
                <w:rFonts w:hint="eastAsia" w:ascii="仿宋" w:hAnsi="仿宋" w:eastAsia="仿宋" w:cs="仿宋"/>
                <w:kern w:val="0"/>
                <w:szCs w:val="21"/>
              </w:rPr>
              <w:t>效益</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（20分）</w:t>
            </w: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经济效益（5分）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5</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部门履行职责对经济发展所带来的直接或间接影响。</w:t>
            </w:r>
          </w:p>
        </w:tc>
        <w:tc>
          <w:tcPr>
            <w:tcW w:w="4136" w:type="dxa"/>
            <w:vMerge w:val="restart"/>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9" w:hRule="atLeast"/>
          <w:jc w:val="center"/>
        </w:trPr>
        <w:tc>
          <w:tcPr>
            <w:tcW w:w="567" w:type="dxa"/>
            <w:vMerge w:val="continue"/>
            <w:tcBorders>
              <w:tl2br w:val="nil"/>
              <w:tr2bl w:val="nil"/>
            </w:tcBorders>
            <w:vAlign w:val="center"/>
          </w:tcPr>
          <w:p>
            <w:pPr>
              <w:widowControl/>
              <w:jc w:val="left"/>
              <w:rPr>
                <w:rFonts w:ascii="仿宋" w:hAnsi="仿宋" w:eastAsia="仿宋" w:cs="仿宋"/>
                <w:kern w:val="0"/>
                <w:sz w:val="24"/>
                <w:szCs w:val="24"/>
              </w:rPr>
            </w:pPr>
          </w:p>
        </w:tc>
        <w:tc>
          <w:tcPr>
            <w:tcW w:w="1166" w:type="dxa"/>
            <w:vMerge w:val="continue"/>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社会效益（5分）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5</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部门履行职责对社会发展所带来的直接或间接影响。</w:t>
            </w:r>
          </w:p>
        </w:tc>
        <w:tc>
          <w:tcPr>
            <w:tcW w:w="4136" w:type="dxa"/>
            <w:vMerge w:val="continue"/>
            <w:tcBorders>
              <w:tl2br w:val="nil"/>
              <w:tr2bl w:val="nil"/>
            </w:tcBorders>
            <w:vAlign w:val="center"/>
          </w:tcPr>
          <w:p>
            <w:pPr>
              <w:widowControl/>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9" w:hRule="atLeast"/>
          <w:jc w:val="center"/>
        </w:trPr>
        <w:tc>
          <w:tcPr>
            <w:tcW w:w="567" w:type="dxa"/>
            <w:tcBorders>
              <w:tl2br w:val="nil"/>
              <w:tr2bl w:val="nil"/>
            </w:tcBorders>
            <w:vAlign w:val="center"/>
          </w:tcPr>
          <w:p>
            <w:pPr>
              <w:widowControl/>
              <w:jc w:val="left"/>
              <w:rPr>
                <w:rFonts w:ascii="仿宋" w:hAnsi="仿宋" w:eastAsia="仿宋" w:cs="仿宋"/>
                <w:kern w:val="0"/>
                <w:sz w:val="24"/>
                <w:szCs w:val="24"/>
              </w:rPr>
            </w:pPr>
          </w:p>
        </w:tc>
        <w:tc>
          <w:tcPr>
            <w:tcW w:w="1166" w:type="dxa"/>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生态效益（5分）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5</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部门履行职责对生态环境所带来的直接或间接影响。</w:t>
            </w:r>
          </w:p>
        </w:tc>
        <w:tc>
          <w:tcPr>
            <w:tcW w:w="4136" w:type="dxa"/>
            <w:tcBorders>
              <w:tl2br w:val="nil"/>
              <w:tr2bl w:val="nil"/>
            </w:tcBorders>
            <w:vAlign w:val="center"/>
          </w:tcPr>
          <w:p>
            <w:pPr>
              <w:widowControl/>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3" w:hRule="atLeast"/>
          <w:jc w:val="center"/>
        </w:trPr>
        <w:tc>
          <w:tcPr>
            <w:tcW w:w="567" w:type="dxa"/>
            <w:tcBorders>
              <w:tl2br w:val="nil"/>
              <w:tr2bl w:val="nil"/>
            </w:tcBorders>
            <w:vAlign w:val="center"/>
          </w:tcPr>
          <w:p>
            <w:pPr>
              <w:widowControl/>
              <w:jc w:val="left"/>
              <w:rPr>
                <w:rFonts w:ascii="仿宋" w:hAnsi="仿宋" w:eastAsia="仿宋" w:cs="仿宋"/>
                <w:kern w:val="0"/>
                <w:sz w:val="24"/>
                <w:szCs w:val="24"/>
              </w:rPr>
            </w:pPr>
          </w:p>
        </w:tc>
        <w:tc>
          <w:tcPr>
            <w:tcW w:w="1166" w:type="dxa"/>
            <w:tcBorders>
              <w:tl2br w:val="nil"/>
              <w:tr2bl w:val="nil"/>
            </w:tcBorders>
            <w:vAlign w:val="center"/>
          </w:tcPr>
          <w:p>
            <w:pPr>
              <w:widowControl/>
              <w:jc w:val="left"/>
              <w:rPr>
                <w:rFonts w:ascii="仿宋" w:hAnsi="仿宋" w:eastAsia="仿宋" w:cs="仿宋"/>
                <w:kern w:val="0"/>
                <w:sz w:val="24"/>
                <w:szCs w:val="24"/>
              </w:rPr>
            </w:pP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社会公众</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或服务对</w:t>
            </w:r>
          </w:p>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象满意度（5分）</w:t>
            </w:r>
          </w:p>
        </w:tc>
        <w:tc>
          <w:tcPr>
            <w:tcW w:w="771" w:type="dxa"/>
            <w:tcBorders>
              <w:tl2br w:val="nil"/>
              <w:tr2bl w:val="nil"/>
            </w:tcBorders>
            <w:tcMar>
              <w:top w:w="0" w:type="dxa"/>
              <w:left w:w="0" w:type="dxa"/>
              <w:bottom w:w="0" w:type="dxa"/>
              <w:right w:w="0" w:type="dxa"/>
            </w:tcMa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5</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社会公众或部门的服务对象对部门履职效果的满意程度。</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2" w:hRule="atLeast"/>
          <w:jc w:val="center"/>
        </w:trPr>
        <w:tc>
          <w:tcPr>
            <w:tcW w:w="567" w:type="dxa"/>
            <w:tcBorders>
              <w:tl2br w:val="nil"/>
              <w:tr2bl w:val="nil"/>
            </w:tcBorders>
            <w:tcMar>
              <w:top w:w="0" w:type="dxa"/>
              <w:left w:w="0" w:type="dxa"/>
              <w:bottom w:w="0" w:type="dxa"/>
              <w:right w:w="0" w:type="dxa"/>
            </w:tcMar>
            <w:vAlign w:val="center"/>
          </w:tcPr>
          <w:p>
            <w:pPr>
              <w:widowControl/>
              <w:spacing w:line="240" w:lineRule="atLeast"/>
              <w:jc w:val="left"/>
              <w:rPr>
                <w:rFonts w:ascii="仿宋" w:hAnsi="仿宋" w:eastAsia="仿宋" w:cs="仿宋"/>
                <w:kern w:val="0"/>
                <w:sz w:val="24"/>
                <w:szCs w:val="24"/>
              </w:rPr>
            </w:pPr>
            <w:r>
              <w:rPr>
                <w:rFonts w:hint="eastAsia" w:ascii="仿宋" w:hAnsi="仿宋" w:eastAsia="仿宋" w:cs="仿宋"/>
                <w:kern w:val="0"/>
                <w:szCs w:val="21"/>
              </w:rPr>
              <w:t>总分</w:t>
            </w:r>
          </w:p>
        </w:tc>
        <w:tc>
          <w:tcPr>
            <w:tcW w:w="1166" w:type="dxa"/>
            <w:tcBorders>
              <w:tl2br w:val="nil"/>
              <w:tr2bl w:val="nil"/>
            </w:tcBorders>
            <w:tcMar>
              <w:top w:w="0" w:type="dxa"/>
              <w:left w:w="0" w:type="dxa"/>
              <w:bottom w:w="0" w:type="dxa"/>
              <w:right w:w="0" w:type="dxa"/>
            </w:tcMar>
            <w:vAlign w:val="center"/>
          </w:tcPr>
          <w:p>
            <w:pPr>
              <w:widowControl/>
              <w:spacing w:line="240" w:lineRule="atLeast"/>
              <w:jc w:val="left"/>
              <w:rPr>
                <w:rFonts w:ascii="仿宋" w:hAnsi="仿宋" w:eastAsia="仿宋" w:cs="仿宋"/>
                <w:kern w:val="0"/>
                <w:sz w:val="24"/>
                <w:szCs w:val="24"/>
              </w:rPr>
            </w:pPr>
            <w:r>
              <w:rPr>
                <w:rFonts w:hint="eastAsia" w:ascii="仿宋" w:hAnsi="仿宋" w:eastAsia="仿宋" w:cs="仿宋"/>
                <w:kern w:val="0"/>
                <w:szCs w:val="21"/>
              </w:rPr>
              <w:t> </w:t>
            </w:r>
          </w:p>
        </w:tc>
        <w:tc>
          <w:tcPr>
            <w:tcW w:w="944" w:type="dxa"/>
            <w:tcBorders>
              <w:tl2br w:val="nil"/>
              <w:tr2bl w:val="nil"/>
            </w:tcBorders>
            <w:tcMar>
              <w:top w:w="10" w:type="dxa"/>
              <w:left w:w="10" w:type="dxa"/>
              <w:bottom w:w="0" w:type="dxa"/>
              <w:right w:w="10" w:type="dxa"/>
            </w:tcMar>
            <w:vAlign w:val="center"/>
          </w:tcPr>
          <w:p>
            <w:pPr>
              <w:widowControl/>
              <w:spacing w:line="240" w:lineRule="atLeast"/>
              <w:jc w:val="center"/>
              <w:rPr>
                <w:rFonts w:ascii="仿宋" w:hAnsi="仿宋" w:eastAsia="仿宋" w:cs="仿宋"/>
                <w:kern w:val="0"/>
                <w:sz w:val="24"/>
                <w:szCs w:val="24"/>
              </w:rPr>
            </w:pPr>
            <w:r>
              <w:rPr>
                <w:rFonts w:hint="eastAsia" w:ascii="仿宋" w:hAnsi="仿宋" w:eastAsia="仿宋" w:cs="仿宋"/>
                <w:kern w:val="0"/>
                <w:szCs w:val="21"/>
              </w:rPr>
              <w:t> </w:t>
            </w:r>
          </w:p>
        </w:tc>
        <w:tc>
          <w:tcPr>
            <w:tcW w:w="771" w:type="dxa"/>
            <w:tcBorders>
              <w:tl2br w:val="nil"/>
              <w:tr2bl w:val="nil"/>
            </w:tcBorders>
            <w:tcMar>
              <w:top w:w="0" w:type="dxa"/>
              <w:left w:w="0" w:type="dxa"/>
              <w:bottom w:w="0" w:type="dxa"/>
              <w:right w:w="0" w:type="dxa"/>
            </w:tcMar>
          </w:tcPr>
          <w:p>
            <w:pPr>
              <w:widowControl/>
              <w:spacing w:line="240" w:lineRule="atLeast"/>
              <w:ind w:right="105"/>
              <w:jc w:val="left"/>
              <w:rPr>
                <w:rFonts w:ascii="仿宋" w:hAnsi="仿宋" w:eastAsia="仿宋" w:cs="仿宋"/>
                <w:kern w:val="0"/>
                <w:sz w:val="24"/>
                <w:szCs w:val="24"/>
              </w:rPr>
            </w:pPr>
            <w:r>
              <w:rPr>
                <w:rFonts w:hint="eastAsia" w:ascii="仿宋" w:hAnsi="仿宋" w:eastAsia="仿宋" w:cs="仿宋"/>
                <w:kern w:val="0"/>
                <w:szCs w:val="21"/>
              </w:rPr>
              <w:t> </w:t>
            </w:r>
          </w:p>
          <w:p>
            <w:pPr>
              <w:widowControl/>
              <w:spacing w:line="240" w:lineRule="atLeast"/>
              <w:ind w:right="105"/>
              <w:jc w:val="left"/>
              <w:rPr>
                <w:rFonts w:ascii="仿宋" w:hAnsi="仿宋" w:eastAsia="仿宋" w:cs="仿宋"/>
                <w:kern w:val="0"/>
                <w:sz w:val="24"/>
                <w:szCs w:val="24"/>
              </w:rPr>
            </w:pPr>
            <w:r>
              <w:rPr>
                <w:rFonts w:hint="eastAsia" w:ascii="仿宋" w:hAnsi="仿宋" w:eastAsia="仿宋" w:cs="仿宋"/>
                <w:kern w:val="0"/>
                <w:szCs w:val="21"/>
              </w:rPr>
              <w:t>  88</w:t>
            </w:r>
          </w:p>
        </w:tc>
        <w:tc>
          <w:tcPr>
            <w:tcW w:w="3097" w:type="dxa"/>
            <w:tcBorders>
              <w:tl2br w:val="nil"/>
              <w:tr2bl w:val="nil"/>
            </w:tcBorders>
            <w:tcMar>
              <w:top w:w="10" w:type="dxa"/>
              <w:left w:w="10" w:type="dxa"/>
              <w:bottom w:w="0" w:type="dxa"/>
              <w:right w:w="10" w:type="dxa"/>
            </w:tcMar>
            <w:vAlign w:val="center"/>
          </w:tcPr>
          <w:p>
            <w:pPr>
              <w:widowControl/>
              <w:spacing w:line="240" w:lineRule="atLeast"/>
              <w:ind w:left="105" w:right="105" w:firstLine="96"/>
              <w:jc w:val="left"/>
              <w:rPr>
                <w:rFonts w:ascii="仿宋" w:hAnsi="仿宋" w:eastAsia="仿宋" w:cs="仿宋"/>
                <w:kern w:val="0"/>
                <w:sz w:val="24"/>
                <w:szCs w:val="24"/>
              </w:rPr>
            </w:pPr>
            <w:r>
              <w:rPr>
                <w:rFonts w:hint="eastAsia" w:ascii="仿宋" w:hAnsi="仿宋" w:eastAsia="仿宋" w:cs="仿宋"/>
                <w:kern w:val="0"/>
                <w:szCs w:val="21"/>
              </w:rPr>
              <w:t> </w:t>
            </w:r>
          </w:p>
        </w:tc>
        <w:tc>
          <w:tcPr>
            <w:tcW w:w="4136" w:type="dxa"/>
            <w:tcBorders>
              <w:tl2br w:val="nil"/>
              <w:tr2bl w:val="nil"/>
            </w:tcBorders>
            <w:tcMar>
              <w:top w:w="10" w:type="dxa"/>
              <w:left w:w="10" w:type="dxa"/>
              <w:bottom w:w="0" w:type="dxa"/>
              <w:right w:w="10" w:type="dxa"/>
            </w:tcMar>
            <w:vAlign w:val="center"/>
          </w:tcPr>
          <w:p>
            <w:pPr>
              <w:widowControl/>
              <w:spacing w:line="240" w:lineRule="atLeast"/>
              <w:ind w:left="105" w:right="105"/>
              <w:jc w:val="left"/>
              <w:rPr>
                <w:rFonts w:ascii="仿宋" w:hAnsi="仿宋" w:eastAsia="仿宋" w:cs="仿宋"/>
                <w:kern w:val="0"/>
                <w:sz w:val="24"/>
                <w:szCs w:val="24"/>
              </w:rPr>
            </w:pPr>
            <w:r>
              <w:rPr>
                <w:rFonts w:hint="eastAsia" w:ascii="仿宋" w:hAnsi="仿宋" w:eastAsia="仿宋" w:cs="仿宋"/>
                <w:kern w:val="0"/>
                <w:szCs w:val="21"/>
              </w:rPr>
              <w:t> </w:t>
            </w:r>
          </w:p>
        </w:tc>
      </w:tr>
    </w:tbl>
    <w:p>
      <w:pPr>
        <w:rPr>
          <w:rFonts w:ascii="仿宋" w:hAnsi="仿宋" w:eastAsia="仿宋" w:cs="仿宋"/>
          <w:b/>
          <w:color w:val="000000"/>
          <w:kern w:val="0"/>
          <w:sz w:val="32"/>
          <w:szCs w:val="32"/>
        </w:rPr>
      </w:pPr>
    </w:p>
    <w:p>
      <w:pPr>
        <w:ind w:firstLine="640" w:firstLineChars="200"/>
        <w:jc w:val="left"/>
        <w:rPr>
          <w:rFonts w:ascii="仿宋" w:hAnsi="仿宋" w:eastAsia="仿宋" w:cs="仿宋"/>
          <w:color w:val="000000"/>
          <w:kern w:val="0"/>
          <w:sz w:val="32"/>
          <w:szCs w:val="32"/>
        </w:rPr>
      </w:pPr>
    </w:p>
    <w:p/>
    <w:sectPr>
      <w:pgSz w:w="11906" w:h="16838"/>
      <w:pgMar w:top="1134" w:right="1531" w:bottom="113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36DC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2023-06-27T08:00:17Z</dcterms:created>
  <dc:creator>admin-3</dc:creator>
  <cp:lastModifiedBy>admin-3</cp:lastModifiedBy>
  <dcterms:modified xsi:type="dcterms:W3CDTF">2023-06-27T08:01:04Z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AFD7F464E0DE408DB5A8C8822E9A95A8_12</vt:lpwstr>
  </property>
</Properties>
</file>