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益阳市赫山区卫生健康综合监督执法局2021年度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整体支出绩效评价报告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《益阳市赫山区财政局关于做好2021年度预算绩效自评工作的通知》（益赫财绩〔2022〕1号）文件精神，我单位从预算配置、预算执行、预算管理、职责履行、履职效益等五方面入手，对照《部门整体支出绩效评价指标表》，认真负责、客观公正地开展2021年度部门整体支出绩效自评工作，自评综合得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89</w:t>
      </w:r>
      <w:r>
        <w:rPr>
          <w:rFonts w:hint="eastAsia" w:ascii="仿宋" w:hAnsi="仿宋" w:eastAsia="仿宋" w:cs="仿宋"/>
          <w:sz w:val="30"/>
          <w:szCs w:val="30"/>
        </w:rPr>
        <w:t>分，现将相关情况报告如下：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单位基本情况</w:t>
      </w:r>
      <w:bookmarkStart w:id="7" w:name="_GoBack"/>
      <w:bookmarkEnd w:id="7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jc w:val="both"/>
        <w:textAlignment w:val="auto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本</w:t>
      </w:r>
      <w:r>
        <w:rPr>
          <w:rFonts w:hint="eastAsia" w:ascii="仿宋" w:hAnsi="仿宋" w:eastAsia="仿宋" w:cs="仿宋_GB2312"/>
          <w:sz w:val="30"/>
          <w:szCs w:val="30"/>
        </w:rPr>
        <w:t>单位性质是区卫健局所属副科级全额拨款公益一类事业单位，</w:t>
      </w:r>
      <w:r>
        <w:rPr>
          <w:rFonts w:hint="eastAsia" w:ascii="仿宋_GB2312" w:eastAsia="仿宋_GB2312"/>
          <w:sz w:val="30"/>
          <w:szCs w:val="30"/>
        </w:rPr>
        <w:t>在职职工33人，其中参公人员11人，工勤人员1人，全额拨款编制7人，自收自支和差额编制14人。退休人员10人。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单位内设7个科室，分别是办公室、财务室、卫生监督与信息科、医疗卫生监督科、环境卫生科、传染病防治与学校卫生监督科、职业卫生监督科。主要职责如下：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jc w:val="both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负责赫山区、高新区卫生健康法律法规的行政执法工作；实施卫生健康专项整治和日常监督检查；负责赫山区、高新区国家卫生城市复审和全国文明城市创建中公共场所、医疗机构、生活饮用水等行业的督导迎检；负责国家基本公共卫生服务卫生监督协管服务项目的指导考核；完成上级交办的各项工作任务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textAlignment w:val="auto"/>
        <w:rPr>
          <w:rFonts w:hint="eastAsia" w:ascii="黑体" w:hAnsi="黑体" w:eastAsia="黑体" w:cs="黑体"/>
          <w:color w:val="212121"/>
          <w:sz w:val="30"/>
          <w:szCs w:val="30"/>
        </w:rPr>
      </w:pPr>
      <w:r>
        <w:rPr>
          <w:rFonts w:hint="eastAsia" w:ascii="黑体" w:hAnsi="黑体" w:eastAsia="黑体" w:cs="黑体"/>
          <w:color w:val="212121"/>
          <w:sz w:val="30"/>
          <w:szCs w:val="30"/>
        </w:rPr>
        <w:t>二、一般公共预算支出情况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21212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212121"/>
          <w:sz w:val="30"/>
          <w:szCs w:val="30"/>
        </w:rPr>
        <w:t>部门决算支出情况：2021年部门支出</w:t>
      </w:r>
      <w:r>
        <w:rPr>
          <w:rFonts w:hint="eastAsia" w:ascii="仿宋" w:hAnsi="仿宋" w:eastAsia="仿宋" w:cs="仿宋"/>
          <w:color w:val="212121"/>
          <w:sz w:val="30"/>
          <w:szCs w:val="30"/>
          <w:lang w:val="en-US" w:eastAsia="zh-CN"/>
        </w:rPr>
        <w:t>518.31</w:t>
      </w:r>
      <w:r>
        <w:rPr>
          <w:rFonts w:hint="eastAsia" w:ascii="仿宋" w:hAnsi="仿宋" w:eastAsia="仿宋" w:cs="仿宋"/>
          <w:color w:val="212121"/>
          <w:sz w:val="30"/>
          <w:szCs w:val="30"/>
        </w:rPr>
        <w:t>万元，其中：</w:t>
      </w:r>
      <w:r>
        <w:rPr>
          <w:rFonts w:hint="eastAsia" w:ascii="仿宋" w:hAnsi="仿宋" w:eastAsia="仿宋" w:cs="仿宋"/>
          <w:color w:val="212121"/>
          <w:sz w:val="30"/>
          <w:szCs w:val="30"/>
          <w:lang w:val="en-US" w:eastAsia="zh-CN"/>
        </w:rPr>
        <w:t>社会保障和就业</w:t>
      </w:r>
      <w:r>
        <w:rPr>
          <w:rFonts w:hint="eastAsia" w:ascii="仿宋" w:hAnsi="仿宋" w:eastAsia="仿宋" w:cs="仿宋"/>
          <w:color w:val="212121"/>
          <w:sz w:val="30"/>
          <w:szCs w:val="30"/>
        </w:rPr>
        <w:t>支出</w:t>
      </w:r>
      <w:r>
        <w:rPr>
          <w:rFonts w:hint="eastAsia" w:ascii="仿宋" w:hAnsi="仿宋" w:eastAsia="仿宋" w:cs="仿宋"/>
          <w:color w:val="212121"/>
          <w:sz w:val="30"/>
          <w:szCs w:val="30"/>
          <w:lang w:val="en-US" w:eastAsia="zh-CN"/>
        </w:rPr>
        <w:t>20.00</w:t>
      </w:r>
      <w:r>
        <w:rPr>
          <w:rFonts w:hint="eastAsia" w:ascii="仿宋" w:hAnsi="仿宋" w:eastAsia="仿宋" w:cs="仿宋"/>
          <w:color w:val="212121"/>
          <w:sz w:val="30"/>
          <w:szCs w:val="30"/>
        </w:rPr>
        <w:t>万元，</w:t>
      </w:r>
      <w:r>
        <w:rPr>
          <w:rFonts w:hint="eastAsia" w:ascii="仿宋" w:hAnsi="仿宋" w:eastAsia="仿宋" w:cs="仿宋"/>
          <w:color w:val="212121"/>
          <w:sz w:val="30"/>
          <w:szCs w:val="30"/>
          <w:lang w:val="en-US" w:eastAsia="zh-CN"/>
        </w:rPr>
        <w:t>卫生健康</w:t>
      </w:r>
      <w:r>
        <w:rPr>
          <w:rFonts w:hint="eastAsia" w:ascii="仿宋" w:hAnsi="仿宋" w:eastAsia="仿宋" w:cs="仿宋"/>
          <w:color w:val="212121"/>
          <w:sz w:val="30"/>
          <w:szCs w:val="30"/>
        </w:rPr>
        <w:t>支出</w:t>
      </w:r>
      <w:r>
        <w:rPr>
          <w:rFonts w:hint="eastAsia" w:ascii="仿宋" w:hAnsi="仿宋" w:eastAsia="仿宋" w:cs="仿宋"/>
          <w:color w:val="212121"/>
          <w:sz w:val="30"/>
          <w:szCs w:val="30"/>
          <w:lang w:val="en-US" w:eastAsia="zh-CN"/>
        </w:rPr>
        <w:t>490.53</w:t>
      </w:r>
      <w:r>
        <w:rPr>
          <w:rFonts w:hint="eastAsia" w:ascii="仿宋" w:hAnsi="仿宋" w:eastAsia="仿宋" w:cs="仿宋"/>
          <w:color w:val="212121"/>
          <w:sz w:val="30"/>
          <w:szCs w:val="30"/>
        </w:rPr>
        <w:t>万元</w:t>
      </w:r>
      <w:r>
        <w:rPr>
          <w:rFonts w:hint="eastAsia" w:ascii="仿宋" w:hAnsi="仿宋" w:eastAsia="仿宋" w:cs="仿宋"/>
          <w:color w:val="212121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212121"/>
          <w:sz w:val="30"/>
          <w:szCs w:val="30"/>
          <w:lang w:val="en-US" w:eastAsia="zh-CN"/>
        </w:rPr>
        <w:t>住房保障支出7.78万元。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jc w:val="both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（一）基本支出情况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2021年基本支出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决</w:t>
      </w:r>
      <w:r>
        <w:rPr>
          <w:rFonts w:hint="eastAsia" w:ascii="仿宋" w:hAnsi="仿宋" w:eastAsia="仿宋" w:cs="仿宋"/>
          <w:sz w:val="30"/>
          <w:szCs w:val="30"/>
        </w:rPr>
        <w:t>算数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502.19</w:t>
      </w:r>
      <w:r>
        <w:rPr>
          <w:rFonts w:hint="eastAsia" w:ascii="仿宋" w:hAnsi="仿宋" w:eastAsia="仿宋" w:cs="仿宋"/>
          <w:sz w:val="30"/>
          <w:szCs w:val="30"/>
        </w:rPr>
        <w:t>万元，是指为保障单位机构正常运转、完成日常工作任务而发生的各项支出，其中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社会保障</w:t>
      </w:r>
      <w:r>
        <w:rPr>
          <w:rFonts w:hint="eastAsia" w:ascii="仿宋" w:hAnsi="仿宋" w:eastAsia="仿宋" w:cs="仿宋"/>
          <w:sz w:val="30"/>
          <w:szCs w:val="30"/>
        </w:rPr>
        <w:t>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20.00</w:t>
      </w:r>
      <w:r>
        <w:rPr>
          <w:rFonts w:hint="eastAsia" w:ascii="仿宋" w:hAnsi="仿宋" w:eastAsia="仿宋" w:cs="仿宋"/>
          <w:sz w:val="30"/>
          <w:szCs w:val="30"/>
        </w:rPr>
        <w:t>万元、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卫生健康事务</w:t>
      </w:r>
      <w:r>
        <w:rPr>
          <w:rFonts w:hint="eastAsia" w:ascii="仿宋" w:hAnsi="仿宋" w:eastAsia="仿宋" w:cs="仿宋"/>
          <w:sz w:val="30"/>
          <w:szCs w:val="30"/>
        </w:rPr>
        <w:t>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474.40</w:t>
      </w:r>
      <w:r>
        <w:rPr>
          <w:rFonts w:hint="eastAsia" w:ascii="仿宋" w:hAnsi="仿宋" w:eastAsia="仿宋" w:cs="仿宋"/>
          <w:sz w:val="30"/>
          <w:szCs w:val="30"/>
        </w:rPr>
        <w:t>万元、对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住房公积金支出</w:t>
      </w:r>
      <w:r>
        <w:rPr>
          <w:rFonts w:hint="eastAsia" w:ascii="仿宋" w:hAnsi="仿宋" w:eastAsia="仿宋" w:cs="仿宋"/>
          <w:sz w:val="30"/>
          <w:szCs w:val="30"/>
        </w:rPr>
        <w:t>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7.79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2021年的基本支出决算数与上年相比增加22万元，增加4.6%，主要原因是新增人员5名。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项目支出情况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2021年无项目支出，与上年一致。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textAlignment w:val="auto"/>
        <w:rPr>
          <w:rFonts w:hint="eastAsia" w:ascii="黑体" w:hAnsi="黑体" w:eastAsia="黑体" w:cs="黑体"/>
          <w:color w:val="212121"/>
          <w:sz w:val="30"/>
          <w:szCs w:val="30"/>
        </w:rPr>
      </w:pPr>
      <w:r>
        <w:rPr>
          <w:rFonts w:hint="eastAsia" w:ascii="黑体" w:hAnsi="黑体" w:eastAsia="黑体" w:cs="黑体"/>
          <w:color w:val="212121"/>
          <w:sz w:val="30"/>
          <w:szCs w:val="30"/>
        </w:rPr>
        <w:t>三、政府性基金预算支出情况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2021年度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sz w:val="30"/>
          <w:szCs w:val="30"/>
        </w:rPr>
        <w:t>无政府性基金预算支出。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textAlignment w:val="auto"/>
        <w:rPr>
          <w:rFonts w:hint="eastAsia" w:ascii="黑体" w:hAnsi="黑体" w:eastAsia="黑体" w:cs="黑体"/>
          <w:color w:val="212121"/>
          <w:sz w:val="30"/>
          <w:szCs w:val="30"/>
        </w:rPr>
      </w:pPr>
      <w:r>
        <w:rPr>
          <w:rFonts w:hint="eastAsia" w:ascii="黑体" w:hAnsi="黑体" w:eastAsia="黑体" w:cs="黑体"/>
          <w:color w:val="212121"/>
          <w:sz w:val="30"/>
          <w:szCs w:val="30"/>
        </w:rPr>
        <w:t>四、国有资本经营预算支出情况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2021年度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sz w:val="30"/>
          <w:szCs w:val="30"/>
        </w:rPr>
        <w:t>无国有资本经营预算支出。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textAlignment w:val="auto"/>
        <w:rPr>
          <w:rFonts w:hint="eastAsia" w:ascii="黑体" w:hAnsi="黑体" w:eastAsia="黑体" w:cs="黑体"/>
          <w:color w:val="212121"/>
          <w:sz w:val="30"/>
          <w:szCs w:val="30"/>
        </w:rPr>
      </w:pPr>
      <w:r>
        <w:rPr>
          <w:rFonts w:hint="eastAsia" w:ascii="黑体" w:hAnsi="黑体" w:eastAsia="黑体" w:cs="黑体"/>
          <w:color w:val="212121"/>
          <w:sz w:val="30"/>
          <w:szCs w:val="30"/>
        </w:rPr>
        <w:t>五、社会保险基金预算支出情况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2021年度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sz w:val="30"/>
          <w:szCs w:val="30"/>
        </w:rPr>
        <w:t>无社会保险基金预算支出。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textAlignment w:val="auto"/>
        <w:rPr>
          <w:rFonts w:hint="eastAsia" w:ascii="黑体" w:hAnsi="黑体" w:eastAsia="黑体" w:cs="黑体"/>
          <w:color w:val="212121"/>
          <w:sz w:val="30"/>
          <w:szCs w:val="30"/>
        </w:rPr>
      </w:pPr>
      <w:r>
        <w:rPr>
          <w:rFonts w:hint="eastAsia" w:ascii="黑体" w:hAnsi="黑体" w:eastAsia="黑体" w:cs="黑体"/>
          <w:color w:val="212121"/>
          <w:sz w:val="30"/>
          <w:szCs w:val="30"/>
        </w:rPr>
        <w:t>六、部门整体支出绩效情况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2021年区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本单位在卫健局</w:t>
      </w:r>
      <w:r>
        <w:rPr>
          <w:rFonts w:hint="eastAsia" w:ascii="仿宋" w:hAnsi="仿宋" w:eastAsia="仿宋" w:cs="仿宋"/>
          <w:sz w:val="30"/>
          <w:szCs w:val="30"/>
        </w:rPr>
        <w:t>、区政府的正确领导和各级有关部门的共同努力下，上下齐心，全面完成了年初绩效工作目标。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textAlignment w:val="auto"/>
        <w:rPr>
          <w:rFonts w:hint="eastAsia" w:ascii="仿宋" w:hAnsi="仿宋" w:eastAsia="仿宋" w:cs="仿宋"/>
          <w:b/>
          <w:color w:val="212121"/>
          <w:sz w:val="30"/>
          <w:szCs w:val="30"/>
        </w:rPr>
      </w:pPr>
      <w:r>
        <w:rPr>
          <w:rFonts w:hint="eastAsia" w:ascii="仿宋" w:hAnsi="仿宋" w:eastAsia="仿宋" w:cs="仿宋"/>
          <w:b/>
          <w:color w:val="212121"/>
          <w:sz w:val="30"/>
          <w:szCs w:val="30"/>
        </w:rPr>
        <w:t xml:space="preserve"> (一）整体支出绩效目标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textAlignment w:val="baseline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2021年，我局紧紧围绕卫生健康监督执法工作重点，进一步加强监督执法体系、队伍建设和规范化建设，不断加大医疗执业、妇幼健康、学校卫生、传染病防治、生活饮用水安全、公共场所卫生、职业卫生、放射卫生的监督检查和执法办案力度，全面提升监督执法能力和水平。</w:t>
      </w:r>
      <w:bookmarkStart w:id="0" w:name="OLE_LINK21"/>
      <w:bookmarkStart w:id="1" w:name="OLE_LINK22"/>
      <w:r>
        <w:rPr>
          <w:rFonts w:hint="eastAsia" w:ascii="仿宋_GB2312" w:hAnsi="仿宋" w:eastAsia="仿宋_GB2312"/>
          <w:sz w:val="30"/>
          <w:szCs w:val="30"/>
        </w:rPr>
        <w:t>全年共办理简易程序、一般程序案件106件，罚没入库110.53万元</w:t>
      </w:r>
      <w:bookmarkEnd w:id="0"/>
      <w:bookmarkEnd w:id="1"/>
      <w:r>
        <w:rPr>
          <w:rFonts w:hint="eastAsia" w:ascii="仿宋_GB2312" w:hAnsi="仿宋" w:eastAsia="仿宋_GB2312"/>
          <w:sz w:val="30"/>
          <w:szCs w:val="30"/>
        </w:rPr>
        <w:t>。认真落实行政执法“三项制度”。一是建立了重大行政处罚合法性审查和集体决定工作制度。二是落实卫生监督执法全过程记录制度，配齐执法记录仪，建立执法记录视频管理制度和台账。三是落实行政执法公开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今年是我市“国家卫生城市复审”和创建国家文明城市的关键之年，为进一步巩固我市国家卫生城市创建成果，我局强化了对区域内住宿、美容美发、沐浴场所等公共场所的监督管理。本年度，举全局之力，将1360多家“三小”门店监管责任到人，坚持流动巡查机制，及时发现“回潮”、“反弹”现象，积极采取应对措施。全局共出动卫生监督员3900余人次，巡回检查“三小”门店6800余家次，监督覆盖率达到100%。区域内已监管的“三小”门店全部做到亮证经营、消毒保洁，保障了我市顺利通过国卫复审检查和创建文明城市阶段性的验收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color w:val="212121"/>
          <w:sz w:val="30"/>
          <w:szCs w:val="30"/>
        </w:rPr>
        <w:t>（二）部门整体支出情况分析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" w:hAnsi="仿宋" w:eastAsia="仿宋" w:cs="仿宋"/>
          <w:color w:val="212121"/>
          <w:sz w:val="30"/>
          <w:szCs w:val="30"/>
        </w:rPr>
        <w:t>从整体情况来看，我</w:t>
      </w:r>
      <w:r>
        <w:rPr>
          <w:rFonts w:hint="eastAsia" w:ascii="仿宋" w:hAnsi="仿宋" w:eastAsia="仿宋" w:cs="仿宋"/>
          <w:color w:val="212121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color w:val="212121"/>
          <w:sz w:val="30"/>
          <w:szCs w:val="30"/>
        </w:rPr>
        <w:t>严格按照年初预算进行部门整体支出。在支出过程中，能严格遵守各项财务制度，“三公经费”</w:t>
      </w:r>
      <w:r>
        <w:rPr>
          <w:rFonts w:hint="eastAsia" w:ascii="仿宋" w:hAnsi="仿宋" w:eastAsia="仿宋" w:cs="仿宋"/>
          <w:color w:val="212121"/>
          <w:sz w:val="30"/>
          <w:szCs w:val="30"/>
          <w:lang w:val="en-US" w:eastAsia="zh-CN"/>
        </w:rPr>
        <w:t>与去年持平</w:t>
      </w:r>
      <w:r>
        <w:rPr>
          <w:rFonts w:hint="eastAsia" w:ascii="仿宋" w:hAnsi="仿宋" w:eastAsia="仿宋" w:cs="仿宋"/>
          <w:color w:val="212121"/>
          <w:sz w:val="30"/>
          <w:szCs w:val="30"/>
        </w:rPr>
        <w:t>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textAlignment w:val="baseline"/>
        <w:rPr>
          <w:rFonts w:hint="eastAsia" w:ascii="仿宋" w:hAnsi="仿宋" w:eastAsia="仿宋" w:cs="仿宋"/>
          <w:b/>
          <w:color w:val="212121"/>
          <w:sz w:val="30"/>
          <w:szCs w:val="30"/>
        </w:rPr>
      </w:pPr>
      <w:r>
        <w:rPr>
          <w:rFonts w:hint="eastAsia" w:ascii="仿宋" w:hAnsi="仿宋" w:eastAsia="仿宋" w:cs="仿宋"/>
          <w:b/>
          <w:color w:val="212121"/>
          <w:sz w:val="30"/>
          <w:szCs w:val="30"/>
        </w:rPr>
        <w:t>主要绩效及评价结论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rPr>
          <w:rFonts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 w:cs="仿宋"/>
          <w:b/>
          <w:sz w:val="30"/>
          <w:szCs w:val="30"/>
        </w:rPr>
        <w:t>1、</w:t>
      </w:r>
      <w:r>
        <w:rPr>
          <w:rFonts w:hint="eastAsia" w:ascii="楷体" w:hAnsi="楷体" w:eastAsia="楷体"/>
          <w:b/>
          <w:bCs/>
          <w:sz w:val="30"/>
          <w:szCs w:val="30"/>
        </w:rPr>
        <w:t xml:space="preserve">以“创文固卫”为抓手，完善“三小”行业长效监管机制。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 xml:space="preserve">    </w:t>
      </w:r>
      <w:r>
        <w:rPr>
          <w:rFonts w:hint="eastAsia" w:ascii="仿宋_GB2312" w:hAnsi="仿宋" w:eastAsia="仿宋_GB2312" w:cs="仿宋"/>
          <w:sz w:val="30"/>
          <w:szCs w:val="30"/>
        </w:rPr>
        <w:t>今年是我市“国家卫生城市复审”和创建国家文明城市的关键之年，为进一步巩固我市国家卫生城市创建成果，我局强化了对区域内住宿、美容美发、沐浴场所等公共场所的监督管理。本年度，举全局之力，将1360多家“三小”门店监管责任到人，坚持流动巡查机制，及时发现“回潮”、“反弹”现象，积极采取应对措施。全局共出动卫生监督员3900余人次，巡回检查“三小”门店6800余家次，监督覆盖率达到100%。区域内已监管的“三小”门店全部做到亮证经营、消毒保洁，保障了我市顺利通过国卫复审检查和创建文明城市阶段性的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楷体" w:hAnsi="楷体" w:eastAsia="楷体" w:cs="仿宋"/>
          <w:b/>
          <w:sz w:val="30"/>
          <w:szCs w:val="30"/>
        </w:rPr>
        <w:t>2、</w:t>
      </w:r>
      <w:r>
        <w:rPr>
          <w:rFonts w:hint="eastAsia" w:ascii="楷体" w:hAnsi="楷体" w:eastAsia="楷体"/>
          <w:b/>
          <w:bCs/>
          <w:sz w:val="30"/>
          <w:szCs w:val="30"/>
        </w:rPr>
        <w:t>以开展医疗乱象专项整治行动为契机，全面规范医疗机构执业行为。</w:t>
      </w:r>
      <w:r>
        <w:rPr>
          <w:rFonts w:hint="eastAsia" w:ascii="仿宋_GB2312" w:hAnsi="仿宋" w:eastAsia="仿宋_GB2312" w:cs="仿宋"/>
          <w:sz w:val="30"/>
          <w:szCs w:val="30"/>
        </w:rPr>
        <w:t>全年对辖区内医疗机构均进行了2次日常监督，重点对医疗机构执业人员执业注册情况、执业资质、执业范围等情况进行了监督检查，进一步规范了医疗机构的执业行为，加强妇幼健康工作的监督，营造了良好的就医环境。全年</w:t>
      </w:r>
      <w:bookmarkStart w:id="2" w:name="OLE_LINK14"/>
      <w:bookmarkStart w:id="3" w:name="OLE_LINK18"/>
      <w:bookmarkStart w:id="4" w:name="OLE_LINK17"/>
      <w:r>
        <w:rPr>
          <w:rFonts w:hint="eastAsia" w:ascii="仿宋_GB2312" w:hAnsi="仿宋" w:eastAsia="仿宋_GB2312" w:cs="仿宋"/>
          <w:sz w:val="30"/>
          <w:szCs w:val="30"/>
        </w:rPr>
        <w:t>出动</w:t>
      </w:r>
      <w:bookmarkEnd w:id="2"/>
      <w:r>
        <w:rPr>
          <w:rFonts w:hint="eastAsia" w:ascii="仿宋_GB2312" w:hAnsi="仿宋" w:eastAsia="仿宋_GB2312" w:cs="仿宋"/>
          <w:sz w:val="30"/>
          <w:szCs w:val="30"/>
        </w:rPr>
        <w:t>执法车辆223台次；出动卫生监督员和卫生监督协管人员916人次，共检查医疗机构807家次，均已出具《现场检查笔录》和《卫生监督意见书》</w:t>
      </w:r>
      <w:bookmarkEnd w:id="3"/>
      <w:bookmarkEnd w:id="4"/>
      <w:r>
        <w:rPr>
          <w:rFonts w:hint="eastAsia" w:ascii="仿宋_GB2312" w:hAnsi="仿宋" w:eastAsia="仿宋_GB2312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楷体" w:hAnsi="楷体" w:eastAsia="楷体" w:cs="仿宋"/>
          <w:b/>
          <w:sz w:val="30"/>
          <w:szCs w:val="30"/>
        </w:rPr>
        <w:t>3、以</w:t>
      </w:r>
      <w:bookmarkStart w:id="5" w:name="OLE_LINK25"/>
      <w:bookmarkStart w:id="6" w:name="OLE_LINK26"/>
      <w:r>
        <w:rPr>
          <w:rFonts w:hint="eastAsia" w:ascii="楷体" w:hAnsi="楷体" w:eastAsia="楷体" w:cs="仿宋"/>
          <w:b/>
          <w:sz w:val="30"/>
          <w:szCs w:val="30"/>
        </w:rPr>
        <w:t>传染病防治</w:t>
      </w:r>
      <w:bookmarkEnd w:id="5"/>
      <w:bookmarkEnd w:id="6"/>
      <w:r>
        <w:rPr>
          <w:rFonts w:hint="eastAsia" w:ascii="楷体" w:hAnsi="楷体" w:eastAsia="楷体" w:cs="仿宋"/>
          <w:b/>
          <w:sz w:val="30"/>
          <w:szCs w:val="30"/>
        </w:rPr>
        <w:t>和生活饮用水安全工程监管为重点开展传染病防治、学校卫生监督执法工作。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rPr>
          <w:rFonts w:ascii="仿宋_GB2312" w:hAnsi="仿宋" w:eastAsia="仿宋_GB2312" w:cs="仿宋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全区共有学校、生活饮用水、消毒产品等监管单位1054家，全年对监管单位进行了2次日常监督，共出动监督员2600余人次，监督检查单位2300多家次，出具《现场检查笔录》和《卫生监督意见书》1200余份。</w:t>
      </w:r>
      <w:r>
        <w:rPr>
          <w:rFonts w:hint="eastAsia" w:ascii="仿宋_GB2312" w:hAnsi="仿宋" w:eastAsia="仿宋_GB2312"/>
          <w:sz w:val="30"/>
          <w:szCs w:val="30"/>
        </w:rPr>
        <w:t>开展了学校、幼儿园校园安全整治、学校饮用水卫生问题专项整治等工作，</w:t>
      </w:r>
      <w:r>
        <w:rPr>
          <w:rFonts w:hint="eastAsia" w:ascii="仿宋_GB2312" w:hAnsi="仿宋" w:eastAsia="仿宋_GB2312" w:cs="仿宋"/>
          <w:kern w:val="0"/>
          <w:sz w:val="30"/>
          <w:szCs w:val="30"/>
        </w:rPr>
        <w:t>有效防控学校和托幼机构传染病的爆发。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4、</w:t>
      </w:r>
      <w:r>
        <w:rPr>
          <w:rFonts w:hint="eastAsia" w:ascii="楷体" w:hAnsi="楷体" w:eastAsia="楷体"/>
          <w:b/>
          <w:bCs/>
          <w:sz w:val="30"/>
          <w:szCs w:val="30"/>
        </w:rPr>
        <w:t>是以职业危害因素“尘毒”专项治理为重点，全面开展职业危害因素专项治理工作。</w:t>
      </w:r>
      <w:r>
        <w:rPr>
          <w:rFonts w:hint="eastAsia" w:ascii="仿宋_GB2312" w:hAnsi="仿宋" w:eastAsia="仿宋_GB2312"/>
          <w:bCs/>
          <w:sz w:val="30"/>
          <w:szCs w:val="30"/>
        </w:rPr>
        <w:t>通过对具有粉尘、毒物、噪声、高温等职业危害的企业和作业场所进行的监督检查；</w:t>
      </w:r>
      <w:r>
        <w:rPr>
          <w:rFonts w:hint="eastAsia" w:ascii="仿宋_GB2312" w:hAnsi="仿宋" w:eastAsia="仿宋_GB2312" w:cs="仿宋"/>
          <w:sz w:val="30"/>
          <w:szCs w:val="30"/>
        </w:rPr>
        <w:t>对企业职业病危害因素的申报、检测、劳动者职业健康体检、劳动合同的签订等情况的监督执法检查；</w:t>
      </w:r>
      <w:r>
        <w:rPr>
          <w:rFonts w:hint="eastAsia" w:ascii="仿宋_GB2312" w:hAnsi="仿宋" w:eastAsia="仿宋_GB2312"/>
          <w:bCs/>
          <w:sz w:val="30"/>
          <w:szCs w:val="30"/>
        </w:rPr>
        <w:t>督促用人单位认真落实好职业健康监护制度；建立健全职业病防治责任制、完善各项防护措施；</w:t>
      </w:r>
      <w:r>
        <w:rPr>
          <w:rFonts w:hint="eastAsia" w:ascii="仿宋_GB2312" w:hAnsi="仿宋" w:eastAsia="仿宋_GB2312" w:cs="仿宋"/>
          <w:sz w:val="30"/>
          <w:szCs w:val="30"/>
        </w:rPr>
        <w:t>督促企业落实主体责任，强化监管措施。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5、加大执法稽查力度。</w:t>
      </w:r>
      <w:r>
        <w:rPr>
          <w:rFonts w:hint="eastAsia" w:ascii="仿宋_GB2312" w:hAnsi="仿宋" w:eastAsia="仿宋_GB2312"/>
          <w:sz w:val="30"/>
          <w:szCs w:val="30"/>
        </w:rPr>
        <w:t>加强对行政处罚案卷的稽查，建立案卷评查制度，对案卷从立案到结案全过程由稽查科审核，提出稽查意见；在证据收集、执法程序、法律适用、文书规范、自由裁量等问题上严格把关，切实提高案卷质量。建立</w:t>
      </w:r>
      <w:r>
        <w:rPr>
          <w:rFonts w:hint="eastAsia" w:ascii="仿宋_GB2312" w:hAnsi="仿宋" w:eastAsia="仿宋_GB2312" w:cs="仿宋"/>
          <w:sz w:val="30"/>
          <w:szCs w:val="30"/>
        </w:rPr>
        <w:t>投诉举报受理流程和处理制度，全年接待来信来访、市长热线和上级交办投诉事件共18件，件件都做到了及时处理和回复。</w:t>
      </w:r>
      <w:r>
        <w:rPr>
          <w:rFonts w:hint="eastAsia" w:ascii="仿宋_GB2312" w:hAnsi="仿宋" w:eastAsia="仿宋_GB2312"/>
          <w:sz w:val="30"/>
          <w:szCs w:val="30"/>
        </w:rPr>
        <w:t>按质按量按时完成了国家 “双随机一公开”监督抽检任务。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textAlignment w:val="auto"/>
        <w:rPr>
          <w:rFonts w:hint="eastAsia" w:ascii="黑体" w:hAnsi="黑体" w:eastAsia="黑体" w:cs="黑体"/>
          <w:color w:val="212121"/>
          <w:sz w:val="30"/>
          <w:szCs w:val="30"/>
        </w:rPr>
      </w:pPr>
      <w:r>
        <w:rPr>
          <w:rFonts w:hint="eastAsia" w:ascii="黑体" w:hAnsi="黑体" w:eastAsia="黑体" w:cs="黑体"/>
          <w:color w:val="212121"/>
          <w:sz w:val="30"/>
          <w:szCs w:val="30"/>
        </w:rPr>
        <w:t>七、存在的问题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textAlignment w:val="baseline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1、卫生监督员的业务知识与业务能力仍然是全局工作的短板，个别监督员不善于学习思考，工作没有动力。法律法规掌握不够，执法水平有待提升。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2、内部管理制度有待进一步完善，工作激励机制不够深入，未全面形成以制度管人，以制度管事的局面。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3、卫生监督员年龄结构偏高，人员横向交流太少，需调入部分年轻工作人员作为后补力量。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textAlignment w:val="auto"/>
        <w:rPr>
          <w:rFonts w:hint="eastAsia" w:ascii="黑体" w:hAnsi="黑体" w:eastAsia="黑体" w:cs="黑体"/>
          <w:color w:val="212121"/>
          <w:sz w:val="30"/>
          <w:szCs w:val="30"/>
        </w:rPr>
      </w:pPr>
      <w:r>
        <w:rPr>
          <w:rFonts w:hint="eastAsia" w:ascii="黑体" w:hAnsi="黑体" w:eastAsia="黑体" w:cs="黑体"/>
          <w:color w:val="212121"/>
          <w:sz w:val="30"/>
          <w:szCs w:val="30"/>
        </w:rPr>
        <w:t>八、下一步改进措施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textAlignment w:val="baseline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202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年行政执法工作面临着新的挑战，我局将以习近平新时代中国特色社会主义思想为指导，</w:t>
      </w:r>
      <w:r>
        <w:rPr>
          <w:rFonts w:hint="eastAsia" w:ascii="仿宋_GB2312" w:hAnsi="仿宋" w:eastAsia="仿宋_GB2312" w:cs="Times New Roman"/>
          <w:sz w:val="30"/>
          <w:szCs w:val="30"/>
        </w:rPr>
        <w:t>以人民群众的满意度为标准；坚持努力学习, 转变思想，创新思路，突出重点，落到实处，勇于担当，依法履职；</w:t>
      </w:r>
      <w:r>
        <w:rPr>
          <w:rFonts w:hint="eastAsia" w:ascii="仿宋_GB2312" w:hAnsi="仿宋" w:eastAsia="仿宋_GB2312"/>
          <w:sz w:val="30"/>
          <w:szCs w:val="30"/>
        </w:rPr>
        <w:t>坚定信念，在新的征程上砥砺奋进，不断完善卫生健康监督执法体系，积极推行科学化、标准化、规范化监督执法模式，为我区卫生健康</w:t>
      </w:r>
      <w:r>
        <w:rPr>
          <w:rFonts w:hint="eastAsia" w:ascii="仿宋_GB2312" w:hAnsi="仿宋" w:eastAsia="仿宋_GB2312" w:cs="Times New Roman"/>
          <w:sz w:val="30"/>
          <w:szCs w:val="30"/>
        </w:rPr>
        <w:t>监督执法工作再创佳绩而努力。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textAlignment w:val="auto"/>
        <w:rPr>
          <w:rFonts w:hint="eastAsia" w:ascii="黑体" w:hAnsi="黑体" w:eastAsia="黑体" w:cs="黑体"/>
          <w:color w:val="212121"/>
          <w:sz w:val="30"/>
          <w:szCs w:val="30"/>
        </w:rPr>
      </w:pPr>
      <w:r>
        <w:rPr>
          <w:rFonts w:hint="eastAsia" w:ascii="黑体" w:hAnsi="黑体" w:eastAsia="黑体" w:cs="黑体"/>
          <w:color w:val="212121"/>
          <w:sz w:val="30"/>
          <w:szCs w:val="30"/>
        </w:rPr>
        <w:t>九、其他需要说明的情况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科学合理编制预算，严格执行预算。要按照《预算法》及其实施条例的相关规定，参考上一年的预算执行情况和年度的收支预测、部门重点工作等科学编制预算，避免年中大幅追加以及超预算。同时严格预算执行，提高资金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whit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whit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4C268"/>
    <w:multiLevelType w:val="singleLevel"/>
    <w:tmpl w:val="0884C2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875D91"/>
    <w:multiLevelType w:val="singleLevel"/>
    <w:tmpl w:val="1A875D9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0F0BF07"/>
    <w:multiLevelType w:val="singleLevel"/>
    <w:tmpl w:val="20F0BF07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DRkNTkxMzRiYWQ3ODFjNjM3YTMzZWRlYjFjZmQifQ=="/>
  </w:docVars>
  <w:rsids>
    <w:rsidRoot w:val="00000000"/>
    <w:rsid w:val="5FA0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Normal (Web)"/>
    <w:basedOn w:val="1"/>
    <w:semiHidden/>
    <w:unhideWhenUsed/>
    <w:qFormat/>
    <w:uiPriority w:val="99"/>
    <w:rPr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2023-06-29T07:54:25Z</dcterms:created>
  <dc:creator>admin-3</dc:creator>
  <cp:lastModifiedBy>admin-3</cp:lastModifiedBy>
  <dcterms:modified xsi:type="dcterms:W3CDTF">2023-06-29T07:55:08Z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8DCE799F5B344C3CA23FCA6FF7C15418_12</vt:lpwstr>
  </property>
</Properties>
</file>