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hint="eastAsia" w:ascii="黑体" w:hAnsi="黑体" w:eastAsia="黑体" w:cs="黑体"/>
          <w:color w:val="333333"/>
          <w:kern w:val="0"/>
          <w:sz w:val="36"/>
          <w:szCs w:val="36"/>
          <w:shd w:val="clear" w:color="auto" w:fill="FFFFFF"/>
          <w:lang w:bidi="ar"/>
        </w:rPr>
      </w:pPr>
      <w:r>
        <w:rPr>
          <w:rFonts w:hint="eastAsia" w:ascii="黑体" w:hAnsi="黑体" w:eastAsia="黑体" w:cs="黑体"/>
          <w:color w:val="333333"/>
          <w:kern w:val="0"/>
          <w:sz w:val="36"/>
          <w:szCs w:val="36"/>
          <w:shd w:val="clear" w:color="auto" w:fill="FFFFFF"/>
          <w:lang w:bidi="ar"/>
        </w:rPr>
        <w:t>益阳市赫山区</w:t>
      </w:r>
      <w:r>
        <w:rPr>
          <w:rFonts w:hint="eastAsia" w:ascii="黑体" w:hAnsi="黑体" w:eastAsia="黑体" w:cs="黑体"/>
          <w:color w:val="333333"/>
          <w:kern w:val="0"/>
          <w:sz w:val="36"/>
          <w:szCs w:val="36"/>
          <w:shd w:val="clear" w:color="auto" w:fill="FFFFFF"/>
          <w:lang w:eastAsia="zh-CN" w:bidi="ar"/>
        </w:rPr>
        <w:t>泉交河</w:t>
      </w:r>
      <w:r>
        <w:rPr>
          <w:rFonts w:hint="eastAsia" w:ascii="黑体" w:hAnsi="黑体" w:eastAsia="黑体" w:cs="黑体"/>
          <w:color w:val="333333"/>
          <w:kern w:val="0"/>
          <w:sz w:val="36"/>
          <w:szCs w:val="36"/>
          <w:shd w:val="clear" w:color="auto" w:fill="FFFFFF"/>
          <w:lang w:val="en-US" w:eastAsia="zh-CN" w:bidi="ar"/>
        </w:rPr>
        <w:t>镇</w:t>
      </w:r>
      <w:r>
        <w:rPr>
          <w:rFonts w:hint="eastAsia" w:ascii="黑体" w:hAnsi="黑体" w:eastAsia="黑体" w:cs="黑体"/>
          <w:color w:val="333333"/>
          <w:kern w:val="0"/>
          <w:sz w:val="36"/>
          <w:szCs w:val="36"/>
          <w:shd w:val="clear" w:color="auto" w:fill="FFFFFF"/>
          <w:lang w:eastAsia="zh-CN" w:bidi="ar"/>
        </w:rPr>
        <w:t>卫生院</w:t>
      </w:r>
      <w:r>
        <w:rPr>
          <w:rFonts w:hint="eastAsia" w:ascii="黑体" w:hAnsi="黑体" w:eastAsia="黑体" w:cs="黑体"/>
          <w:color w:val="333333"/>
          <w:kern w:val="0"/>
          <w:sz w:val="36"/>
          <w:szCs w:val="36"/>
          <w:shd w:val="clear" w:color="auto" w:fill="FFFFFF"/>
          <w:lang w:bidi="ar"/>
        </w:rPr>
        <w:t>2021年度部门</w:t>
      </w:r>
    </w:p>
    <w:p>
      <w:pPr>
        <w:shd w:val="clear" w:color="auto" w:fill="FFFFFF"/>
        <w:spacing w:line="600" w:lineRule="exact"/>
        <w:jc w:val="center"/>
        <w:rPr>
          <w:rFonts w:hint="eastAsia" w:ascii="黑体" w:hAnsi="黑体" w:eastAsia="黑体" w:cs="黑体"/>
          <w:color w:val="333333"/>
          <w:sz w:val="36"/>
          <w:szCs w:val="36"/>
        </w:rPr>
      </w:pPr>
      <w:r>
        <w:rPr>
          <w:rFonts w:hint="eastAsia" w:ascii="黑体" w:hAnsi="黑体" w:eastAsia="黑体" w:cs="黑体"/>
          <w:color w:val="333333"/>
          <w:kern w:val="0"/>
          <w:sz w:val="36"/>
          <w:szCs w:val="36"/>
          <w:shd w:val="clear" w:color="auto" w:fill="FFFFFF"/>
          <w:lang w:bidi="ar"/>
        </w:rPr>
        <w:t>整体支出绩效评价报告</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bookmarkStart w:id="0" w:name="_GoBack"/>
      <w:bookmarkEnd w:id="0"/>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2021年，</w:t>
      </w:r>
      <w:r>
        <w:rPr>
          <w:rFonts w:hint="eastAsia" w:ascii="仿宋" w:hAnsi="仿宋" w:eastAsia="仿宋" w:cs="仿宋"/>
          <w:color w:val="333333"/>
          <w:kern w:val="0"/>
          <w:sz w:val="30"/>
          <w:szCs w:val="30"/>
          <w:shd w:val="clear" w:color="auto" w:fill="FFFFFF"/>
          <w:lang w:eastAsia="zh-CN" w:bidi="ar"/>
        </w:rPr>
        <w:t>泉交河</w:t>
      </w:r>
      <w:r>
        <w:rPr>
          <w:rFonts w:hint="eastAsia" w:ascii="仿宋" w:hAnsi="仿宋" w:eastAsia="仿宋" w:cs="仿宋"/>
          <w:color w:val="333333"/>
          <w:kern w:val="0"/>
          <w:sz w:val="30"/>
          <w:szCs w:val="30"/>
          <w:shd w:val="clear" w:color="auto" w:fill="FFFFFF"/>
          <w:lang w:val="en-US" w:eastAsia="zh-CN" w:bidi="ar"/>
        </w:rPr>
        <w:t>镇卫生院</w:t>
      </w:r>
      <w:r>
        <w:rPr>
          <w:rFonts w:hint="eastAsia" w:ascii="仿宋" w:hAnsi="仿宋" w:eastAsia="仿宋" w:cs="仿宋"/>
          <w:color w:val="333333"/>
          <w:kern w:val="0"/>
          <w:sz w:val="30"/>
          <w:szCs w:val="30"/>
          <w:shd w:val="clear" w:color="auto" w:fill="FFFFFF"/>
          <w:lang w:bidi="ar"/>
        </w:rPr>
        <w:t>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hint="eastAsia"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lang w:bidi="ar"/>
        </w:rPr>
        <w:t>一、部门基本情况</w:t>
      </w:r>
    </w:p>
    <w:p>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部门职责</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负责本辖区的卫生工作、法律法规、政策的贯彻，卫生事业发展规划和工作计划的制定，为辖区居民提供13类基本公共卫生服务;</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负责辖区突发公共卫生事件的报告，并依据上级部门要求组织实施处置等工作;</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为辖区提供基本医疗服务，组织实施医改、农合、妇幼等相关工作</w:t>
      </w:r>
      <w:r>
        <w:rPr>
          <w:rFonts w:hint="eastAsia" w:ascii="仿宋" w:hAnsi="仿宋" w:eastAsia="仿宋" w:cs="仿宋"/>
          <w:sz w:val="30"/>
          <w:szCs w:val="30"/>
          <w:lang w:val="en-US" w:eastAsia="zh-CN"/>
        </w:rPr>
        <w:t>;</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负责本辖区卫生信息统计、分析、上报；</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负责对辖区村级卫生组织和乡村医生的业务指导培训；</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负责卫生行政主管部门委托的相关业务或事项，落实上级卫生主管部门下达的其他工作；</w:t>
      </w:r>
    </w:p>
    <w:p>
      <w:pPr>
        <w:pageBreakBefore w:val="0"/>
        <w:widowControl/>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承办上级主管部门及政府交办的其他事项。</w:t>
      </w:r>
    </w:p>
    <w:p>
      <w:pPr>
        <w:spacing w:line="560" w:lineRule="exact"/>
        <w:ind w:firstLine="602" w:firstLineChars="200"/>
        <w:rPr>
          <w:rFonts w:hint="default" w:ascii="仿宋_GB2312" w:eastAsia="仿宋_GB2312"/>
          <w:b/>
          <w:bCs/>
          <w:sz w:val="30"/>
          <w:szCs w:val="30"/>
          <w:lang w:val="en-US" w:eastAsia="zh-CN"/>
        </w:rPr>
      </w:pPr>
      <w:r>
        <w:rPr>
          <w:rFonts w:hint="eastAsia" w:ascii="仿宋_GB2312" w:eastAsia="仿宋_GB2312"/>
          <w:b/>
          <w:bCs/>
          <w:sz w:val="30"/>
          <w:szCs w:val="30"/>
        </w:rPr>
        <w:t>（二）机构设置</w:t>
      </w:r>
      <w:r>
        <w:rPr>
          <w:rFonts w:hint="eastAsia" w:ascii="仿宋_GB2312" w:eastAsia="仿宋_GB2312"/>
          <w:b/>
          <w:bCs/>
          <w:sz w:val="30"/>
          <w:szCs w:val="30"/>
          <w:lang w:val="en-US" w:eastAsia="zh-CN"/>
        </w:rPr>
        <w:t>及人员编制情况</w:t>
      </w:r>
    </w:p>
    <w:p>
      <w:pPr>
        <w:shd w:val="clear" w:color="auto" w:fill="FFFFFF"/>
        <w:spacing w:line="600" w:lineRule="exact"/>
        <w:ind w:firstLine="600" w:firstLineChars="200"/>
        <w:jc w:val="left"/>
        <w:rPr>
          <w:rFonts w:hint="eastAsia" w:ascii="仿宋_GB2312" w:eastAsia="仿宋_GB2312"/>
          <w:sz w:val="30"/>
          <w:szCs w:val="30"/>
        </w:rPr>
      </w:pPr>
      <w:r>
        <w:rPr>
          <w:rFonts w:hint="eastAsia" w:ascii="仿宋_GB2312" w:eastAsia="仿宋_GB2312"/>
          <w:sz w:val="30"/>
          <w:szCs w:val="30"/>
        </w:rPr>
        <w:t>设有全科、内科、外科、口腔科、康复理疗科、检验科、心电图室、B超室、放射科等多个临床科室，拥有DR机、彩色B超、心电图、全自动生化仪和血液分析仪、康复理疗设备，病房设施齐全。干职工</w:t>
      </w:r>
      <w:r>
        <w:rPr>
          <w:rFonts w:hint="eastAsia" w:ascii="仿宋_GB2312" w:eastAsia="仿宋_GB2312"/>
          <w:sz w:val="30"/>
          <w:szCs w:val="30"/>
          <w:lang w:val="en-US" w:eastAsia="zh-CN"/>
        </w:rPr>
        <w:t>59</w:t>
      </w:r>
      <w:r>
        <w:rPr>
          <w:rFonts w:hint="eastAsia" w:ascii="仿宋_GB2312" w:eastAsia="仿宋_GB2312"/>
          <w:sz w:val="30"/>
          <w:szCs w:val="30"/>
        </w:rPr>
        <w:t>人，卫生专业技术人员</w:t>
      </w:r>
      <w:r>
        <w:rPr>
          <w:rFonts w:hint="eastAsia" w:ascii="仿宋_GB2312" w:eastAsia="仿宋_GB2312"/>
          <w:sz w:val="30"/>
          <w:szCs w:val="30"/>
          <w:lang w:val="en-US" w:eastAsia="zh-CN"/>
        </w:rPr>
        <w:t>41</w:t>
      </w:r>
      <w:r>
        <w:rPr>
          <w:rFonts w:hint="eastAsia" w:ascii="仿宋_GB2312" w:eastAsia="仿宋_GB2312"/>
          <w:sz w:val="30"/>
          <w:szCs w:val="30"/>
        </w:rPr>
        <w:t>人，中级职称</w:t>
      </w:r>
      <w:r>
        <w:rPr>
          <w:rFonts w:hint="eastAsia" w:ascii="仿宋_GB2312" w:eastAsia="仿宋_GB2312"/>
          <w:sz w:val="30"/>
          <w:szCs w:val="30"/>
          <w:lang w:val="en-US" w:eastAsia="zh-CN"/>
        </w:rPr>
        <w:t>9</w:t>
      </w:r>
      <w:r>
        <w:rPr>
          <w:rFonts w:hint="eastAsia" w:ascii="仿宋_GB2312" w:eastAsia="仿宋_GB2312"/>
          <w:sz w:val="30"/>
          <w:szCs w:val="30"/>
        </w:rPr>
        <w:t>人，其中全科医师</w:t>
      </w:r>
      <w:r>
        <w:rPr>
          <w:rFonts w:hint="eastAsia" w:ascii="仿宋_GB2312" w:eastAsia="仿宋_GB2312"/>
          <w:sz w:val="30"/>
          <w:szCs w:val="30"/>
          <w:lang w:val="en-US" w:eastAsia="zh-CN"/>
        </w:rPr>
        <w:t>8</w:t>
      </w:r>
      <w:r>
        <w:rPr>
          <w:rFonts w:hint="eastAsia" w:ascii="仿宋_GB2312" w:eastAsia="仿宋_GB2312"/>
          <w:sz w:val="30"/>
          <w:szCs w:val="30"/>
        </w:rPr>
        <w:t>人，卫技人员占全院职工的</w:t>
      </w:r>
      <w:r>
        <w:rPr>
          <w:rFonts w:hint="eastAsia" w:ascii="仿宋_GB2312" w:eastAsia="仿宋_GB2312"/>
          <w:sz w:val="30"/>
          <w:szCs w:val="30"/>
          <w:lang w:val="en-US" w:eastAsia="zh-CN"/>
        </w:rPr>
        <w:t>69</w:t>
      </w:r>
      <w:r>
        <w:rPr>
          <w:rFonts w:hint="eastAsia" w:ascii="仿宋_GB2312" w:eastAsia="仿宋_GB2312"/>
          <w:sz w:val="30"/>
          <w:szCs w:val="30"/>
        </w:rPr>
        <w:t>％。</w:t>
      </w:r>
    </w:p>
    <w:p>
      <w:pPr>
        <w:keepNext w:val="0"/>
        <w:keepLines w:val="0"/>
        <w:pageBreakBefore w:val="0"/>
        <w:widowControl/>
        <w:kinsoku/>
        <w:wordWrap/>
        <w:overflowPunct/>
        <w:topLinePunct w:val="0"/>
        <w:autoSpaceDE/>
        <w:autoSpaceDN/>
        <w:bidi w:val="0"/>
        <w:adjustRightInd/>
        <w:snapToGrid/>
        <w:spacing w:line="600" w:lineRule="exact"/>
        <w:ind w:firstLine="900" w:firstLineChars="300"/>
        <w:textAlignment w:val="auto"/>
        <w:rPr>
          <w:rFonts w:hint="eastAsia" w:ascii="黑体" w:hAnsi="黑体" w:eastAsia="黑体" w:cs="黑体"/>
          <w:sz w:val="30"/>
          <w:szCs w:val="30"/>
        </w:rPr>
      </w:pPr>
      <w:r>
        <w:rPr>
          <w:rFonts w:hint="eastAsia" w:ascii="黑体" w:hAnsi="黑体" w:eastAsia="黑体" w:cs="黑体"/>
          <w:sz w:val="30"/>
          <w:szCs w:val="30"/>
        </w:rPr>
        <w:t>二、一般公共预算支出情况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color w:val="000000" w:themeColor="text1"/>
          <w:sz w:val="30"/>
          <w:szCs w:val="30"/>
          <w:lang w:val="en-US"/>
          <w14:textFill>
            <w14:solidFill>
              <w14:schemeClr w14:val="tx1"/>
            </w14:solidFill>
          </w14:textFill>
        </w:rPr>
        <w:t>财政拨款</w:t>
      </w:r>
      <w:r>
        <w:rPr>
          <w:rFonts w:hint="eastAsia" w:ascii="仿宋" w:hAnsi="仿宋" w:eastAsia="仿宋" w:cs="仿宋"/>
          <w:color w:val="000000" w:themeColor="text1"/>
          <w:sz w:val="30"/>
          <w:szCs w:val="30"/>
          <w:lang w:val="en-US" w:eastAsia="zh-CN"/>
          <w14:textFill>
            <w14:solidFill>
              <w14:schemeClr w14:val="tx1"/>
            </w14:solidFill>
          </w14:textFill>
        </w:rPr>
        <w:t>支出合</w:t>
      </w:r>
      <w:r>
        <w:rPr>
          <w:rFonts w:hint="eastAsia" w:ascii="仿宋" w:hAnsi="仿宋" w:eastAsia="仿宋" w:cs="仿宋"/>
          <w:color w:val="000000" w:themeColor="text1"/>
          <w:sz w:val="30"/>
          <w:szCs w:val="30"/>
          <w:lang w:val="en-US"/>
          <w14:textFill>
            <w14:solidFill>
              <w14:schemeClr w14:val="tx1"/>
            </w14:solidFill>
          </w14:textFill>
        </w:rPr>
        <w:t>计</w:t>
      </w:r>
      <w:r>
        <w:rPr>
          <w:rFonts w:hint="eastAsia" w:ascii="仿宋" w:hAnsi="仿宋" w:eastAsia="仿宋" w:cs="仿宋"/>
          <w:color w:val="000000" w:themeColor="text1"/>
          <w:sz w:val="30"/>
          <w:szCs w:val="30"/>
          <w:lang w:val="en-US" w:eastAsia="zh-CN"/>
          <w14:textFill>
            <w14:solidFill>
              <w14:schemeClr w14:val="tx1"/>
            </w14:solidFill>
          </w14:textFill>
        </w:rPr>
        <w:t>607.62</w:t>
      </w:r>
      <w:r>
        <w:rPr>
          <w:rFonts w:hint="eastAsia" w:ascii="仿宋" w:hAnsi="仿宋" w:eastAsia="仿宋" w:cs="仿宋"/>
          <w:color w:val="000000" w:themeColor="text1"/>
          <w:sz w:val="30"/>
          <w:szCs w:val="30"/>
          <w:lang w:val="en-US"/>
          <w14:textFill>
            <w14:solidFill>
              <w14:schemeClr w14:val="tx1"/>
            </w14:solidFill>
          </w14:textFill>
        </w:rPr>
        <w:t>万元，与</w:t>
      </w:r>
      <w:r>
        <w:rPr>
          <w:rFonts w:hint="eastAsia" w:ascii="仿宋" w:hAnsi="仿宋" w:eastAsia="仿宋" w:cs="仿宋"/>
          <w:color w:val="000000" w:themeColor="text1"/>
          <w:sz w:val="30"/>
          <w:szCs w:val="30"/>
          <w:lang w:val="en-US" w:eastAsia="zh-CN"/>
          <w14:textFill>
            <w14:solidFill>
              <w14:schemeClr w14:val="tx1"/>
            </w14:solidFill>
          </w14:textFill>
        </w:rPr>
        <w:t>上</w:t>
      </w:r>
      <w:r>
        <w:rPr>
          <w:rFonts w:hint="eastAsia" w:ascii="仿宋" w:hAnsi="仿宋" w:eastAsia="仿宋" w:cs="仿宋"/>
          <w:color w:val="000000" w:themeColor="text1"/>
          <w:sz w:val="30"/>
          <w:szCs w:val="30"/>
          <w:lang w:val="en-US"/>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相比，减少55.46</w:t>
      </w:r>
      <w:r>
        <w:rPr>
          <w:rFonts w:hint="eastAsia" w:ascii="仿宋" w:hAnsi="仿宋" w:eastAsia="仿宋" w:cs="仿宋"/>
          <w:color w:val="000000" w:themeColor="text1"/>
          <w:sz w:val="30"/>
          <w:szCs w:val="30"/>
          <w:lang w:val="en-US"/>
          <w14:textFill>
            <w14:solidFill>
              <w14:schemeClr w14:val="tx1"/>
            </w14:solidFill>
          </w14:textFill>
        </w:rPr>
        <w:t>万元，</w:t>
      </w:r>
      <w:r>
        <w:rPr>
          <w:rFonts w:hint="eastAsia" w:ascii="仿宋" w:hAnsi="仿宋" w:eastAsia="仿宋" w:cs="仿宋"/>
          <w:color w:val="000000" w:themeColor="text1"/>
          <w:sz w:val="30"/>
          <w:szCs w:val="30"/>
          <w:lang w:val="en-US" w:eastAsia="zh-CN"/>
          <w14:textFill>
            <w14:solidFill>
              <w14:schemeClr w14:val="tx1"/>
            </w14:solidFill>
          </w14:textFill>
        </w:rPr>
        <w:t>减少8.36</w:t>
      </w:r>
      <w:r>
        <w:rPr>
          <w:rFonts w:hint="eastAsia" w:ascii="仿宋" w:hAnsi="仿宋" w:eastAsia="仿宋" w:cs="仿宋"/>
          <w:color w:val="000000" w:themeColor="text1"/>
          <w:sz w:val="30"/>
          <w:szCs w:val="30"/>
          <w:lang w:val="en-US"/>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w:t>
      </w:r>
      <w:r>
        <w:rPr>
          <w:rFonts w:hint="eastAsia" w:ascii="仿宋" w:hAnsi="仿宋" w:eastAsia="仿宋" w:cs="仿宋"/>
          <w:color w:val="000000" w:themeColor="text1"/>
          <w:sz w:val="30"/>
          <w:szCs w:val="30"/>
          <w:lang w:val="en-US"/>
          <w14:textFill>
            <w14:solidFill>
              <w14:schemeClr w14:val="tx1"/>
            </w14:solidFill>
          </w14:textFill>
        </w:rPr>
        <w:t>财政拨款收</w:t>
      </w:r>
      <w:r>
        <w:rPr>
          <w:rFonts w:hint="eastAsia" w:ascii="仿宋" w:hAnsi="仿宋" w:eastAsia="仿宋" w:cs="仿宋"/>
          <w:color w:val="000000" w:themeColor="text1"/>
          <w:sz w:val="30"/>
          <w:szCs w:val="30"/>
          <w:lang w:val="en-US" w:eastAsia="zh-CN"/>
          <w14:textFill>
            <w14:solidFill>
              <w14:schemeClr w14:val="tx1"/>
            </w14:solidFill>
          </w14:textFill>
        </w:rPr>
        <w:t>入和支出减少的</w:t>
      </w:r>
      <w:r>
        <w:rPr>
          <w:rFonts w:hint="eastAsia" w:ascii="仿宋" w:hAnsi="仿宋" w:eastAsia="仿宋" w:cs="仿宋"/>
          <w:color w:val="000000" w:themeColor="text1"/>
          <w:sz w:val="30"/>
          <w:szCs w:val="30"/>
          <w:lang w:val="en-US"/>
          <w14:textFill>
            <w14:solidFill>
              <w14:schemeClr w14:val="tx1"/>
            </w14:solidFill>
          </w14:textFill>
        </w:rPr>
        <w:t>主要原因是疫情</w:t>
      </w:r>
      <w:r>
        <w:rPr>
          <w:rFonts w:hint="eastAsia" w:ascii="仿宋" w:hAnsi="仿宋" w:eastAsia="仿宋" w:cs="仿宋"/>
          <w:color w:val="000000" w:themeColor="text1"/>
          <w:sz w:val="30"/>
          <w:szCs w:val="30"/>
          <w:lang w:val="en-US" w:eastAsia="zh-CN"/>
          <w14:textFill>
            <w14:solidFill>
              <w14:schemeClr w14:val="tx1"/>
            </w14:solidFill>
          </w14:textFill>
        </w:rPr>
        <w:t>防控经费</w:t>
      </w:r>
      <w:r>
        <w:rPr>
          <w:rFonts w:hint="eastAsia" w:ascii="仿宋" w:hAnsi="仿宋" w:eastAsia="仿宋" w:cs="仿宋"/>
          <w:color w:val="000000" w:themeColor="text1"/>
          <w:sz w:val="30"/>
          <w:szCs w:val="30"/>
          <w:lang w:val="en-US"/>
          <w14:textFill>
            <w14:solidFill>
              <w14:schemeClr w14:val="tx1"/>
            </w14:solidFill>
          </w14:textFill>
        </w:rPr>
        <w:t>减少</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其中：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（一）基本支出</w:t>
      </w:r>
      <w:r>
        <w:rPr>
          <w:rFonts w:hint="eastAsia" w:ascii="仿宋" w:hAnsi="仿宋" w:eastAsia="仿宋" w:cs="仿宋"/>
          <w:b/>
          <w:bCs/>
          <w:sz w:val="30"/>
          <w:szCs w:val="30"/>
          <w:lang w:val="en-US" w:eastAsia="zh-CN"/>
        </w:rPr>
        <w:t>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i w:val="0"/>
          <w:caps w:val="0"/>
          <w:color w:val="333333"/>
          <w:spacing w:val="0"/>
          <w:sz w:val="30"/>
          <w:szCs w:val="30"/>
          <w:lang w:val="en-US"/>
        </w:rPr>
      </w:pPr>
      <w:r>
        <w:rPr>
          <w:rFonts w:hint="eastAsia" w:ascii="仿宋" w:hAnsi="仿宋" w:eastAsia="仿宋" w:cs="仿宋"/>
          <w:b w:val="0"/>
          <w:bCs w:val="0"/>
          <w:sz w:val="30"/>
          <w:szCs w:val="30"/>
          <w:lang w:val="en-US" w:eastAsia="zh-CN"/>
        </w:rPr>
        <w:t>2021年度基本支出</w:t>
      </w:r>
      <w:r>
        <w:rPr>
          <w:rFonts w:hint="eastAsia" w:ascii="仿宋" w:hAnsi="仿宋" w:eastAsia="仿宋" w:cs="仿宋"/>
          <w:color w:val="000000" w:themeColor="text1"/>
          <w:sz w:val="30"/>
          <w:szCs w:val="30"/>
          <w:lang w:val="en-US" w:eastAsia="zh-CN"/>
          <w14:textFill>
            <w14:solidFill>
              <w14:schemeClr w14:val="tx1"/>
            </w14:solidFill>
          </w14:textFill>
        </w:rPr>
        <w:t>合</w:t>
      </w:r>
      <w:r>
        <w:rPr>
          <w:rFonts w:hint="eastAsia" w:ascii="仿宋" w:hAnsi="仿宋" w:eastAsia="仿宋" w:cs="仿宋"/>
          <w:color w:val="000000" w:themeColor="text1"/>
          <w:sz w:val="30"/>
          <w:szCs w:val="30"/>
          <w:lang w:val="en-US"/>
          <w14:textFill>
            <w14:solidFill>
              <w14:schemeClr w14:val="tx1"/>
            </w14:solidFill>
          </w14:textFill>
        </w:rPr>
        <w:t>计</w:t>
      </w:r>
      <w:r>
        <w:rPr>
          <w:rFonts w:hint="eastAsia" w:ascii="仿宋" w:hAnsi="仿宋" w:eastAsia="仿宋" w:cs="仿宋"/>
          <w:color w:val="000000" w:themeColor="text1"/>
          <w:sz w:val="30"/>
          <w:szCs w:val="30"/>
          <w:lang w:val="en-US" w:eastAsia="zh-CN"/>
          <w14:textFill>
            <w14:solidFill>
              <w14:schemeClr w14:val="tx1"/>
            </w14:solidFill>
          </w14:textFill>
        </w:rPr>
        <w:t>607.62</w:t>
      </w:r>
      <w:r>
        <w:rPr>
          <w:rFonts w:hint="eastAsia" w:ascii="仿宋" w:hAnsi="仿宋" w:eastAsia="仿宋" w:cs="仿宋"/>
          <w:color w:val="000000" w:themeColor="text1"/>
          <w:sz w:val="30"/>
          <w:szCs w:val="30"/>
          <w:lang w:val="en-US"/>
          <w14:textFill>
            <w14:solidFill>
              <w14:schemeClr w14:val="tx1"/>
            </w14:solidFill>
          </w14:textFill>
        </w:rPr>
        <w:t>万元，</w:t>
      </w:r>
      <w:r>
        <w:rPr>
          <w:rFonts w:hint="eastAsia" w:ascii="仿宋" w:hAnsi="仿宋" w:eastAsia="仿宋" w:cs="仿宋"/>
          <w:color w:val="000000" w:themeColor="text1"/>
          <w:sz w:val="30"/>
          <w:szCs w:val="30"/>
          <w:lang w:val="en-US" w:eastAsia="zh-CN"/>
          <w14:textFill>
            <w14:solidFill>
              <w14:schemeClr w14:val="tx1"/>
            </w14:solidFill>
          </w14:textFill>
        </w:rPr>
        <w:t>主要</w:t>
      </w:r>
      <w:r>
        <w:rPr>
          <w:rFonts w:hint="eastAsia" w:ascii="仿宋" w:hAnsi="仿宋" w:eastAsia="仿宋" w:cs="仿宋"/>
          <w:i w:val="0"/>
          <w:caps w:val="0"/>
          <w:color w:val="333333"/>
          <w:spacing w:val="0"/>
          <w:kern w:val="0"/>
          <w:sz w:val="30"/>
          <w:szCs w:val="30"/>
          <w:shd w:val="clear" w:fill="FFFFFF"/>
          <w:lang w:val="en-US" w:eastAsia="zh-CN" w:bidi="ar"/>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项目支出是指单位为完成特定行政工作任务或事业发展目标而发生的支出。2021年项目支出0万元。</w:t>
      </w:r>
    </w:p>
    <w:p>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bCs/>
          <w:color w:val="000000"/>
          <w:kern w:val="0"/>
          <w:sz w:val="30"/>
          <w:szCs w:val="30"/>
          <w:shd w:val="clear" w:color="auto" w:fill="FFFFFF"/>
          <w:lang w:bidi="ar"/>
        </w:rPr>
      </w:pPr>
      <w:r>
        <w:rPr>
          <w:rFonts w:hint="eastAsia" w:ascii="黑体" w:hAnsi="黑体" w:eastAsia="黑体" w:cs="黑体"/>
          <w:bCs/>
          <w:color w:val="000000"/>
          <w:kern w:val="0"/>
          <w:sz w:val="30"/>
          <w:szCs w:val="30"/>
          <w:shd w:val="clear" w:color="auto" w:fill="FFFFFF"/>
          <w:lang w:bidi="ar"/>
        </w:rPr>
        <w:t>三</w:t>
      </w:r>
      <w:r>
        <w:rPr>
          <w:rFonts w:hint="eastAsia" w:ascii="黑体" w:hAnsi="黑体" w:eastAsia="黑体" w:cs="黑体"/>
          <w:bCs/>
          <w:color w:val="000000"/>
          <w:kern w:val="0"/>
          <w:sz w:val="30"/>
          <w:szCs w:val="30"/>
          <w:shd w:val="clear" w:color="auto" w:fill="FFFFFF"/>
          <w:lang w:eastAsia="zh-CN" w:bidi="ar"/>
        </w:rPr>
        <w:t>、</w:t>
      </w:r>
      <w:r>
        <w:rPr>
          <w:rFonts w:hint="eastAsia" w:ascii="黑体" w:hAnsi="黑体" w:eastAsia="黑体" w:cs="黑体"/>
          <w:bCs/>
          <w:color w:val="000000"/>
          <w:kern w:val="0"/>
          <w:sz w:val="30"/>
          <w:szCs w:val="30"/>
          <w:shd w:val="clear" w:color="auto" w:fill="FFFFFF"/>
          <w:lang w:bidi="ar"/>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2" w:firstLineChars="200"/>
        <w:jc w:val="both"/>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1、业务工作完成情况。</w:t>
      </w:r>
      <w:r>
        <w:rPr>
          <w:rFonts w:hint="eastAsia" w:ascii="仿宋" w:hAnsi="仿宋" w:eastAsia="仿宋" w:cs="仿宋"/>
          <w:color w:val="auto"/>
          <w:kern w:val="2"/>
          <w:sz w:val="30"/>
          <w:szCs w:val="30"/>
          <w:lang w:val="en-US" w:eastAsia="zh-CN" w:bidi="ar-SA"/>
        </w:rPr>
        <w:t>2021年度业务指标完成情况：门诊人次19236人次，住院人次2069人次。经济指标完成情况：全年完成经济收入1276万元，其中门诊收入300万元，住院收入332万元。全年支出1266万元，结余10万元。</w:t>
      </w:r>
    </w:p>
    <w:p>
      <w:pPr>
        <w:pStyle w:val="5"/>
        <w:numPr>
          <w:ilvl w:val="0"/>
          <w:numId w:val="0"/>
        </w:numPr>
        <w:spacing w:line="600" w:lineRule="exact"/>
        <w:ind w:leftChars="0" w:firstLine="602" w:firstLineChars="200"/>
        <w:rPr>
          <w:rFonts w:hint="eastAsia" w:ascii="仿宋-GB2312" w:hAnsi="仿宋-GB2312" w:eastAsia="仿宋" w:cs="仿宋"/>
          <w:sz w:val="32"/>
          <w:szCs w:val="32"/>
        </w:rPr>
      </w:pPr>
      <w:r>
        <w:rPr>
          <w:rFonts w:hint="eastAsia" w:ascii="仿宋" w:hAnsi="仿宋" w:eastAsia="仿宋" w:cs="仿宋"/>
          <w:b/>
          <w:bCs/>
          <w:color w:val="auto"/>
          <w:kern w:val="2"/>
          <w:sz w:val="30"/>
          <w:szCs w:val="30"/>
          <w:lang w:val="en-US" w:eastAsia="zh-CN" w:bidi="ar-SA"/>
        </w:rPr>
        <w:t>2、加强人才兴院战略，提高卫技人员素质能力，提升服务水平。</w:t>
      </w:r>
      <w:r>
        <w:rPr>
          <w:rFonts w:ascii="仿宋-GB2312" w:hAnsi="仿宋-GB2312" w:eastAsia="仿宋" w:cs="仿宋"/>
          <w:sz w:val="32"/>
          <w:szCs w:val="32"/>
        </w:rPr>
        <w:t>一是有计划的定期公派进修，鼓励开展适宜新技术，拓宽医疗领域，提高经济效益；二是利用区域医共体建设的契机，加强业务培训，认真学习区级医院的先进管理经验，积极提高我院医务人员的业务和素质，提升我院整体医疗服务能力。</w:t>
      </w:r>
    </w:p>
    <w:p>
      <w:pPr>
        <w:spacing w:line="560" w:lineRule="exact"/>
        <w:ind w:firstLine="602"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3、做实基本公卫，促进医疗服务提升。</w:t>
      </w:r>
      <w:r>
        <w:rPr>
          <w:rFonts w:ascii="仿宋-GB2312" w:hAnsi="仿宋-GB2312" w:eastAsia="仿宋" w:cs="仿宋"/>
          <w:sz w:val="32"/>
          <w:szCs w:val="32"/>
        </w:rPr>
        <w:t>按照上级要求，对辖区居民的健康档案进行了全面清理，现建立电子档案37361人，建档率90%以上；完成居民电子健康档案以家庭为单位进行归类管理一共10604户；高血压规范管理3721人，糖尿病规范管理1162人；完成免疫规划疫苗接种3552人次；1-11月新生儿258人，建档252人，建档率97.6% ；孕产妇建档率92.% ，筛出高危孕产妇109人，有效地控制了孕产妇死亡率；65岁以上老年人管理5594人，对4186人老年人进行了免费体检；精神病患者204人，规范管理率100% ；结核病患者11人，规范管理率100% ；利用多种形式、多渠道全方位扎实开展健康教育宣传活动，全年开展了9次公众咨询活动及14期健康知识讲座，更换15处健康教育宣传栏90余次；组建家庭医生签约团队7个，全年签约24532人，贫困人口及特扶人群、慢病人群签约率100% ；网络报告传染病29例，及时报告率100% ；扎实落实各项服务项目，全面完成了上级下达的各项任务。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2"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4、坚定信心，科学布局疫情防控。</w:t>
      </w:r>
      <w:r>
        <w:rPr>
          <w:rFonts w:hint="eastAsia" w:ascii="仿宋" w:hAnsi="仿宋" w:eastAsia="仿宋" w:cs="仿宋"/>
          <w:color w:val="auto"/>
          <w:kern w:val="2"/>
          <w:sz w:val="30"/>
          <w:szCs w:val="30"/>
          <w:lang w:val="en-US" w:eastAsia="zh-CN" w:bidi="ar-SA"/>
        </w:rPr>
        <w:t>2020年新冠肺炎疫情发生以来，中心在区卫健局的正确领导下，以党建为统领，全体干职工积极投身疫情防控工作。</w:t>
      </w:r>
      <w:r>
        <w:rPr>
          <w:rFonts w:hint="eastAsia" w:ascii="仿宋-GB2312" w:hAnsi="仿宋-GB2312" w:eastAsia="仿宋" w:cs="仿宋"/>
          <w:sz w:val="32"/>
          <w:szCs w:val="32"/>
        </w:rPr>
        <w:t>我院疫情防控按上级要求常态化开展，严防严控、扎实落实。新增设了预检分诊设置、人员管控通道闸栏，新开设了新冠疫苗接种场所；严格进行预检分诊、发热门诊等，严把门诊第一关，时刻掌握疫情动态；积极开展新冠疫苗接种工作</w:t>
      </w:r>
      <w:r>
        <w:rPr>
          <w:rFonts w:hint="eastAsia" w:ascii="仿宋" w:hAnsi="仿宋" w:eastAsia="仿宋" w:cs="仿宋"/>
          <w:color w:val="auto"/>
          <w:kern w:val="2"/>
          <w:sz w:val="30"/>
          <w:szCs w:val="30"/>
          <w:lang w:val="en-US" w:eastAsia="zh-CN" w:bidi="ar-SA"/>
        </w:rPr>
        <w:t>，为所有到院患者及家属免费发放口罩、发放消毒液等；积极参加汉庭酒店集中隔离医学观察点的疫情防控，圆满完成上级赋予的使命。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四、存在的问题及原因分析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keepNext w:val="0"/>
        <w:keepLines w:val="0"/>
        <w:pageBreakBefore w:val="0"/>
        <w:widowControl w:val="0"/>
        <w:numPr>
          <w:ilvl w:val="0"/>
          <w:numId w:val="2"/>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rPr>
      </w:pPr>
      <w:r>
        <w:rPr>
          <w:rFonts w:hint="eastAsia" w:ascii="仿宋" w:hAnsi="仿宋" w:eastAsia="仿宋" w:cs="仿宋"/>
          <w:color w:val="auto"/>
          <w:kern w:val="2"/>
          <w:sz w:val="30"/>
          <w:szCs w:val="30"/>
          <w:lang w:val="en-US" w:eastAsia="zh-CN" w:bidi="ar-SA"/>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附件：2021年度部门整体支出绩效自评指标计分表</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pStyle w:val="6"/>
        <w:ind w:firstLine="600"/>
        <w:rPr>
          <w:rFonts w:hint="eastAsia" w:ascii="黑体" w:hAnsi="黑体" w:eastAsia="黑体" w:cs="黑体"/>
          <w:sz w:val="30"/>
          <w:szCs w:val="30"/>
        </w:rPr>
      </w:pPr>
    </w:p>
    <w:p>
      <w:pPr>
        <w:pStyle w:val="6"/>
        <w:ind w:firstLine="600"/>
        <w:rPr>
          <w:rFonts w:hint="eastAsia" w:ascii="黑体" w:hAnsi="黑体" w:eastAsia="黑体" w:cs="黑体"/>
          <w:sz w:val="30"/>
          <w:szCs w:val="30"/>
        </w:rPr>
      </w:pPr>
    </w:p>
    <w:p>
      <w:pPr>
        <w:pStyle w:val="6"/>
        <w:ind w:firstLine="600"/>
        <w:rPr>
          <w:rFonts w:hint="eastAsia" w:ascii="黑体" w:hAnsi="黑体" w:eastAsia="黑体" w:cs="黑体"/>
          <w:sz w:val="30"/>
          <w:szCs w:val="30"/>
        </w:rPr>
      </w:pPr>
    </w:p>
    <w:p>
      <w:pPr>
        <w:pStyle w:val="6"/>
        <w:ind w:firstLine="600"/>
        <w:rPr>
          <w:rFonts w:hint="eastAsia" w:ascii="黑体" w:hAnsi="黑体" w:eastAsia="黑体" w:cs="黑体"/>
          <w:sz w:val="30"/>
          <w:szCs w:val="30"/>
        </w:rPr>
      </w:pPr>
    </w:p>
    <w:p>
      <w:pPr>
        <w:pStyle w:val="6"/>
        <w:ind w:firstLine="600"/>
        <w:rPr>
          <w:rFonts w:hint="eastAsia" w:ascii="黑体" w:hAnsi="黑体" w:eastAsia="黑体" w:cs="黑体"/>
          <w:sz w:val="30"/>
          <w:szCs w:val="30"/>
        </w:rPr>
      </w:pPr>
    </w:p>
    <w:p>
      <w:pPr>
        <w:spacing w:before="120" w:beforeLines="50" w:after="120" w:afterLines="50" w:line="600" w:lineRule="exact"/>
        <w:jc w:val="both"/>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2"/>
        <w:gridCol w:w="737"/>
        <w:gridCol w:w="982"/>
        <w:gridCol w:w="737"/>
        <w:gridCol w:w="3095"/>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w:t>
            </w:r>
            <w:r>
              <w:rPr>
                <w:rFonts w:hint="eastAsia" w:ascii="宋体" w:hAnsi="宋体" w:cs="宋体"/>
                <w:lang w:eastAsia="zh-CN"/>
              </w:rPr>
              <w:t>本单位</w:t>
            </w:r>
            <w:r>
              <w:rPr>
                <w:rFonts w:hint="eastAsia" w:ascii="宋体" w:hAnsi="宋体" w:cs="宋体"/>
              </w:rPr>
              <w:t>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hAns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center"/>
          </w:tcPr>
          <w:p>
            <w:pPr>
              <w:tabs>
                <w:tab w:val="left" w:pos="761"/>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96</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p>
    <w:p/>
    <w:sectPr>
      <w:pgSz w:w="12240" w:h="15840"/>
      <w:pgMar w:top="2098" w:right="1474" w:bottom="1985" w:left="1588" w:header="720" w:footer="1701" w:gutter="0"/>
      <w:lnNumType w:countBy="0" w:distance="36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4B8A2155"/>
    <w:rsid w:val="4B8A2155"/>
    <w:rsid w:val="708F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0" w:afterLines="0" w:line="600" w:lineRule="exact"/>
      <w:ind w:firstLine="640" w:firstLineChars="200"/>
    </w:pPr>
    <w:rPr>
      <w:rFonts w:hint="eastAsia" w:ascii="仿宋_GB2312" w:hAnsi="Times New Roman" w:eastAsia="仿宋_GB2312"/>
      <w:sz w:val="32"/>
      <w:szCs w:val="24"/>
    </w:rPr>
  </w:style>
  <w:style w:type="paragraph" w:styleId="5">
    <w:name w:val="List Paragraph"/>
    <w:basedOn w:val="1"/>
    <w:unhideWhenUsed/>
    <w:qFormat/>
    <w:uiPriority w:val="99"/>
    <w:pPr>
      <w:ind w:firstLine="420" w:firstLineChars="200"/>
    </w:pPr>
  </w:style>
  <w:style w:type="paragraph" w:customStyle="1" w:styleId="6">
    <w:name w:val="_Style 5"/>
    <w:basedOn w:val="1"/>
    <w:qFormat/>
    <w:uiPriority w:val="0"/>
    <w:pPr>
      <w:ind w:firstLine="200" w:firstLineChars="200"/>
    </w:pPr>
    <w:rPr>
      <w:rFonts w:ascii="Times New Roman" w:eastAsia="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5656</Words>
  <Characters>5861</Characters>
  <Lines>0</Lines>
  <Paragraphs>0</Paragraphs>
  <TotalTime>0</TotalTime>
  <ScaleCrop>false</ScaleCrop>
  <LinksUpToDate>false</LinksUpToDate>
  <CharactersWithSpaces>5896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2023-07-06T04:06:00Z</dcterms:created>
  <dc:creator>一一</dc:creator>
  <cp:lastModifiedBy>admin-3</cp:lastModifiedBy>
  <dcterms:modified xsi:type="dcterms:W3CDTF">2023-07-07T04:34:45Z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F47A4F9A23A7431587C3E04EF700533F_11</vt:lpwstr>
  </property>
</Properties>
</file>