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益阳市赫山区精神病医院2021年度重大传染病防控经费项目支出绩效评价报告</w:t>
      </w:r>
    </w:p>
    <w:p>
      <w:pPr>
        <w:tabs>
          <w:tab w:val="left" w:pos="3435"/>
        </w:tabs>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ab/>
      </w:r>
    </w:p>
    <w:p>
      <w:pPr>
        <w:spacing w:line="600" w:lineRule="exact"/>
        <w:ind w:left="-10" w:firstLine="600" w:firstLineChars="200"/>
        <w:rPr>
          <w:rFonts w:ascii="黑体" w:hAnsi="黑体" w:eastAsia="黑体" w:cs="黑体"/>
          <w:sz w:val="30"/>
          <w:szCs w:val="30"/>
        </w:rPr>
      </w:pPr>
      <w:r>
        <w:rPr>
          <w:rFonts w:hint="eastAsia" w:ascii="黑体" w:hAnsi="黑体" w:eastAsia="黑体" w:cs="黑体"/>
          <w:sz w:val="30"/>
          <w:szCs w:val="30"/>
        </w:rPr>
        <w:t>一、预算支出基本情况</w:t>
      </w:r>
    </w:p>
    <w:p>
      <w:p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（一）预算支出概况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sz w:val="30"/>
          <w:szCs w:val="30"/>
        </w:rPr>
        <w:t>精神病是一种慢性疾病，治愈率较低，复发性高，需要终身服药治疗，由于患者无法就业，亲属又要长期对其监护照料无法工作，所以，一方面失去经济来源，另一方面又要长期治疗开支，导致精神病患者家庭普遍贫困，有些家庭无钱放弃治疗，一些重性精神病患者因得不到治疗及家属监管不力，导致各类精神病患者暴力伤人事件频频发生，给社会平安和谐造成隐患。为了使这些患者得到适当的治疗，</w:t>
      </w:r>
      <w:r>
        <w:rPr>
          <w:rFonts w:hint="eastAsia" w:ascii="仿宋" w:hAnsi="仿宋" w:eastAsia="仿宋" w:cs="仿宋"/>
          <w:color w:val="000000" w:themeColor="text1"/>
          <w:sz w:val="30"/>
          <w:szCs w:val="30"/>
          <w14:textFill>
            <w14:solidFill>
              <w14:schemeClr w14:val="tx1"/>
            </w14:solidFill>
          </w14:textFill>
        </w:rPr>
        <w:t>我院成立专门的下乡精卫小组。</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我院</w:t>
      </w:r>
      <w:r>
        <w:rPr>
          <w:rFonts w:hint="eastAsia" w:ascii="仿宋" w:hAnsi="仿宋" w:eastAsia="仿宋" w:cs="仿宋"/>
          <w:sz w:val="30"/>
          <w:szCs w:val="30"/>
        </w:rPr>
        <w:t>于2021年5月收到精神疾病防治项目经费111200元，12月收到严重精神障碍管理治疗项目经费17900元，心理健康促进行动主要指标调查项目经费56000元。</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主要用于：心理健康促进及严重精神病患者管理治疗工作补助35870元；精神卫生宣传资料49947元，下乡交通补贴51039元，下乡人员工资及补助48244元。</w:t>
      </w:r>
    </w:p>
    <w:p>
      <w:pPr>
        <w:numPr>
          <w:ilvl w:val="0"/>
          <w:numId w:val="1"/>
        </w:num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预算资金使用管理情况。</w:t>
      </w:r>
    </w:p>
    <w:p>
      <w:pPr>
        <w:spacing w:line="600" w:lineRule="exact"/>
        <w:ind w:firstLine="600" w:firstLineChars="200"/>
        <w:rPr>
          <w:rFonts w:ascii="仿宋" w:hAnsi="仿宋" w:eastAsia="仿宋" w:cs="仿宋"/>
          <w:b/>
          <w:bCs/>
          <w:sz w:val="30"/>
          <w:szCs w:val="30"/>
        </w:rPr>
      </w:pPr>
      <w:r>
        <w:rPr>
          <w:rFonts w:hint="eastAsia" w:ascii="仿宋" w:hAnsi="仿宋" w:eastAsia="仿宋" w:cs="仿宋"/>
          <w:sz w:val="30"/>
          <w:szCs w:val="30"/>
        </w:rPr>
        <w:t>根据有关专项资金管理规定和财务制度，该项目资金做到了专款专用，使用支付合法合规，资金管理到位，没有虚列、截留、挤占、挪用等问题。</w:t>
      </w:r>
    </w:p>
    <w:p>
      <w:pPr>
        <w:numPr>
          <w:ilvl w:val="0"/>
          <w:numId w:val="2"/>
        </w:num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预算支出绩效目标完成程度。</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2021年度绩效目标完成程度：1.预算完成率100%  2.资金到位率100%  3.专款专用率100% </w:t>
      </w:r>
    </w:p>
    <w:p>
      <w:pPr>
        <w:spacing w:line="600" w:lineRule="exact"/>
        <w:ind w:left="-10" w:firstLine="600" w:firstLineChars="200"/>
        <w:rPr>
          <w:rFonts w:ascii="黑体" w:hAnsi="黑体" w:eastAsia="黑体" w:cs="黑体"/>
          <w:sz w:val="30"/>
          <w:szCs w:val="30"/>
        </w:rPr>
      </w:pPr>
      <w:r>
        <w:rPr>
          <w:rFonts w:hint="eastAsia" w:ascii="黑体" w:hAnsi="黑体" w:eastAsia="黑体" w:cs="黑体"/>
          <w:sz w:val="30"/>
          <w:szCs w:val="30"/>
        </w:rPr>
        <w:t>二、绩效评价工作情况</w:t>
      </w:r>
    </w:p>
    <w:p>
      <w:pPr>
        <w:spacing w:line="600" w:lineRule="exact"/>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通过每月定点“送医送药下乡”活动，协助各乡镇、街道对辖区内首发、病情不稳定、监护人或者患者行动不便、路程遥远等有特殊需求的106名精神障碍患者进行上门面访、病情评估、健康体检、心理疏导、用药指导等服务。2021年度，全年共收治门诊患者8817人次。</w:t>
      </w:r>
    </w:p>
    <w:p>
      <w:pPr>
        <w:widowControl/>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2.本单位在规定的时间内对湖南省居民心理健康促进主要指标调查平台采用系统抽样及随机抽样方式抽取的336名调查对象及时开展调查，对抽取的11名复核对象进行复核调查。</w:t>
      </w:r>
    </w:p>
    <w:p>
      <w:pPr>
        <w:spacing w:line="600" w:lineRule="exact"/>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3.截止2021年12月31日，我区严重精神障碍患者建档率达4.82‰，在册患者人数，管理人数3750人，规范管理人数3671人，管理率99.89%，规范管理率97.89%,面访率99.9%。</w:t>
      </w:r>
    </w:p>
    <w:p>
      <w:pPr>
        <w:spacing w:line="600" w:lineRule="exact"/>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以“世界精神卫生日”为契机，在全区范围内开展了以“青春之心灵、青春之少年”为主题的宣传活动。通过义诊、健康知识讲座、团建活动、上门服务、发放宣传资料等方式，让广大群众、在校学生、精神障碍患者及家属对精神卫生知识、心理健康有了一定的认识，同时也懂得了心理健康及时治疗的重要性。</w:t>
      </w:r>
    </w:p>
    <w:p>
      <w:pPr>
        <w:spacing w:line="600" w:lineRule="exact"/>
        <w:ind w:left="-10" w:firstLine="600" w:firstLineChars="200"/>
        <w:rPr>
          <w:rFonts w:ascii="黑体" w:hAnsi="黑体" w:eastAsia="黑体" w:cs="黑体"/>
          <w:sz w:val="30"/>
          <w:szCs w:val="30"/>
        </w:rPr>
      </w:pPr>
      <w:r>
        <w:rPr>
          <w:rFonts w:hint="eastAsia" w:ascii="黑体" w:hAnsi="黑体" w:eastAsia="黑体" w:cs="黑体"/>
          <w:sz w:val="30"/>
          <w:szCs w:val="30"/>
        </w:rPr>
        <w:t>三、主要经验及做法</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一是为优化服务体系，为有需要的患者提供有效的帮助，使其在认知、情感和态度上有所变化。充分发挥专业优势，利用送医送药下乡活动每月对各单位进行点对点的现场技术指导、督导与培训，并建立网络管理体系，共享资源；二是扩大了精神卫生工作及严重精神障碍管理服务宣传。</w:t>
      </w:r>
    </w:p>
    <w:p>
      <w:pPr>
        <w:spacing w:line="600" w:lineRule="exact"/>
        <w:ind w:left="-10" w:firstLine="600" w:firstLineChars="200"/>
        <w:rPr>
          <w:rFonts w:ascii="黑体" w:hAnsi="黑体" w:eastAsia="黑体" w:cs="黑体"/>
          <w:sz w:val="30"/>
          <w:szCs w:val="30"/>
        </w:rPr>
      </w:pPr>
      <w:r>
        <w:rPr>
          <w:rFonts w:hint="eastAsia" w:ascii="黑体" w:hAnsi="黑体" w:eastAsia="黑体" w:cs="黑体"/>
          <w:sz w:val="30"/>
          <w:szCs w:val="30"/>
        </w:rPr>
        <w:t>四、存在的问题</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14:textFill>
            <w14:solidFill>
              <w14:schemeClr w14:val="tx1"/>
            </w14:solidFill>
          </w14:textFill>
        </w:rPr>
        <w:t>社会环境不太利于精神疾病患者康复，虽然社会在进步，但是小环境下，广大群众对于精神卫生知识等一些常见的精神障碍问题认知率低，对于精神类病人存在明显歧视，将精神类疾病患者简单划分“疯子”、“高风险人群”，很少愿意善意对待，进一步加剧患者的病情。</w:t>
      </w:r>
    </w:p>
    <w:p>
      <w:pPr>
        <w:spacing w:line="600" w:lineRule="exact"/>
        <w:ind w:left="-10" w:firstLine="600" w:firstLineChars="200"/>
        <w:rPr>
          <w:rFonts w:ascii="黑体" w:hAnsi="黑体" w:eastAsia="黑体" w:cs="黑体"/>
          <w:sz w:val="30"/>
          <w:szCs w:val="30"/>
        </w:rPr>
      </w:pPr>
      <w:r>
        <w:rPr>
          <w:rFonts w:hint="eastAsia" w:ascii="黑体" w:hAnsi="黑体" w:eastAsia="黑体" w:cs="黑体"/>
          <w:sz w:val="30"/>
          <w:szCs w:val="30"/>
        </w:rPr>
        <w:t>五、有关建议</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进一步加强宣传倡导。进一步加大宣传力度，让广大城乡居民更全面了解项目的益处，要将精神病防治、管理服务与日常居民健康管理工作结合起来，主动提供精神病防治项目相关咨询服务，普及基本精神病防治知识，提高群众知晓率，鼓励群众积极参与，消除偏见，配合项目工作开展。</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加大投入，保证“病能有医，疯能有控”。建立部门联合救助机制，“应助尽助”全面提高救助水平。要把精神病患者作为特殊的弱势群体，建立救助精神病人机制。通过完善各类救治救助保障，建立健全由政府、社会、家庭三方共同构成的“三位一体”帮扶救助体系，用好社保、低保、救助、捐助、补贴等政策，及时解决严重精神疾病患者在就医、家庭生活等方面的实际困难。创造一个有利他们就医、康复和回归社会的良好环境，增强精神病人家属对精神病人监护的信心，减轻精神病人病情的复发和加重，充分体现各级党委政府的人文关怀。</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强化督导、考核。加强项目、资金使用监管，同时认真开展项目资金绩效评价。制定切实可行的绩效目标，对照项目管理要求、考核标准，实行专款专用，奖罚兑现，督促、指导各乡镇、村工作，促进全区精神病防治管理工作再上新台阶。</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附件：2021年度项目支出绩效自评指标计分表</w:t>
      </w: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仿宋" w:hAnsi="仿宋" w:eastAsia="仿宋" w:cs="仿宋"/>
          <w:sz w:val="30"/>
          <w:szCs w:val="30"/>
        </w:rPr>
      </w:pPr>
    </w:p>
    <w:p>
      <w:pPr>
        <w:spacing w:after="156"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2021年度项目支出绩效自评指标计分表</w:t>
      </w:r>
    </w:p>
    <w:tbl>
      <w:tblPr>
        <w:tblStyle w:val="4"/>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8"/>
        <w:gridCol w:w="831"/>
        <w:gridCol w:w="539"/>
        <w:gridCol w:w="2627"/>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3" w:type="pct"/>
          </w:tcPr>
          <w:p>
            <w:pPr>
              <w:spacing w:line="240" w:lineRule="exact"/>
              <w:jc w:val="center"/>
              <w:rPr>
                <w:rFonts w:ascii="宋体"/>
                <w:b/>
                <w:bCs/>
              </w:rPr>
            </w:pPr>
            <w:r>
              <w:rPr>
                <w:rFonts w:hint="eastAsia" w:ascii="宋体" w:hAnsi="宋体" w:cs="宋体"/>
                <w:b/>
                <w:bCs/>
              </w:rPr>
              <w:t>自评分</w:t>
            </w:r>
          </w:p>
        </w:tc>
        <w:tc>
          <w:tcPr>
            <w:tcW w:w="1429"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4" w:type="pct"/>
            <w:vMerge w:val="continue"/>
            <w:tcMar>
              <w:top w:w="10" w:type="dxa"/>
              <w:left w:w="10" w:type="dxa"/>
              <w:bottom w:w="0" w:type="dxa"/>
              <w:right w:w="10" w:type="dxa"/>
            </w:tcMar>
            <w:vAlign w:val="center"/>
          </w:tcPr>
          <w:p>
            <w:pPr>
              <w:spacing w:line="240" w:lineRule="exact"/>
              <w:jc w:val="center"/>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3"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eastAsia="宋体"/>
              </w:rPr>
            </w:pPr>
            <w:r>
              <w:rPr>
                <w:rFonts w:hint="eastAsia" w:ascii="宋体"/>
              </w:rPr>
              <w:t xml:space="preserve">  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3</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4" w:type="pct"/>
            <w:vMerge w:val="continue"/>
            <w:vAlign w:val="center"/>
          </w:tcPr>
          <w:p>
            <w:pPr>
              <w:spacing w:line="240" w:lineRule="exact"/>
              <w:jc w:val="center"/>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3</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3</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4"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4" w:type="pct"/>
            <w:vMerge w:val="continue"/>
            <w:vAlign w:val="center"/>
          </w:tcPr>
          <w:p>
            <w:pPr>
              <w:spacing w:line="240" w:lineRule="exact"/>
              <w:jc w:val="center"/>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3" w:type="pct"/>
          </w:tcPr>
          <w:p>
            <w:pPr>
              <w:spacing w:line="240" w:lineRule="exact"/>
              <w:ind w:left="105" w:leftChars="50" w:right="105" w:rightChars="50"/>
              <w:rPr>
                <w:rFonts w:ascii="宋体"/>
              </w:rPr>
            </w:pPr>
            <w:r>
              <w:rPr>
                <w:rFonts w:ascii="宋体"/>
              </w:rPr>
              <w:br w:type="textWrapping"/>
            </w:r>
          </w:p>
          <w:p>
            <w:pPr>
              <w:spacing w:line="240" w:lineRule="exact"/>
              <w:ind w:right="105" w:rightChars="50" w:firstLine="210" w:firstLineChars="100"/>
              <w:rPr>
                <w:rFonts w:ascii="宋体" w:eastAsia="宋体"/>
              </w:rPr>
            </w:pPr>
            <w:r>
              <w:rPr>
                <w:rFonts w:hint="eastAsia" w:ascii="宋体"/>
              </w:rPr>
              <w:t>3</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4" w:type="pct"/>
            <w:vMerge w:val="continue"/>
            <w:tcMar>
              <w:top w:w="10" w:type="dxa"/>
              <w:left w:w="10" w:type="dxa"/>
              <w:bottom w:w="0" w:type="dxa"/>
              <w:right w:w="10" w:type="dxa"/>
            </w:tcMar>
            <w:vAlign w:val="center"/>
          </w:tcPr>
          <w:p>
            <w:pPr>
              <w:spacing w:line="240" w:lineRule="exact"/>
              <w:jc w:val="center"/>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4" w:type="pct"/>
            <w:vMerge w:val="continue"/>
            <w:vAlign w:val="center"/>
          </w:tcPr>
          <w:p>
            <w:pPr>
              <w:spacing w:line="240" w:lineRule="exact"/>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eastAsia="宋体"/>
              </w:rPr>
            </w:pPr>
          </w:p>
          <w:p>
            <w:pPr>
              <w:spacing w:line="240" w:lineRule="exact"/>
              <w:ind w:left="105" w:leftChars="50" w:right="105" w:rightChars="50"/>
              <w:rPr>
                <w:rFonts w:ascii="宋体" w:eastAsia="宋体"/>
              </w:rPr>
            </w:pPr>
          </w:p>
          <w:p>
            <w:pPr>
              <w:spacing w:line="240" w:lineRule="exact"/>
              <w:ind w:left="105" w:leftChars="50" w:right="105" w:rightChars="50"/>
              <w:rPr>
                <w:rFonts w:ascii="宋体" w:eastAsia="宋体"/>
              </w:rPr>
            </w:pPr>
            <w:r>
              <w:rPr>
                <w:rFonts w:hint="eastAsia" w:ascii="宋体"/>
              </w:rPr>
              <w:t xml:space="preserve"> 4</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4" w:type="pct"/>
            <w:vMerge w:val="continue"/>
            <w:vAlign w:val="center"/>
          </w:tcPr>
          <w:p>
            <w:pPr>
              <w:spacing w:line="240" w:lineRule="exact"/>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4</w:t>
            </w:r>
          </w:p>
          <w:p>
            <w:pPr>
              <w:spacing w:line="240" w:lineRule="exact"/>
              <w:ind w:left="105" w:leftChars="50" w:right="105" w:rightChars="50"/>
              <w:rPr>
                <w:rFonts w:ascii="宋体" w:eastAsia="宋体"/>
              </w:rPr>
            </w:pP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ascii="宋体" w:eastAsia="宋体"/>
              </w:rPr>
            </w:pPr>
            <w:r>
              <w:rPr>
                <w:rFonts w:hint="eastAsia" w:ascii="宋体"/>
              </w:rPr>
              <w:t xml:space="preserve"> 10</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3" w:type="pct"/>
          </w:tcPr>
          <w:p>
            <w:pPr>
              <w:spacing w:line="240" w:lineRule="exact"/>
              <w:ind w:left="105" w:leftChars="50" w:right="105" w:rightChars="50"/>
              <w:rPr>
                <w:rFonts w:ascii="宋体"/>
              </w:rPr>
            </w:pPr>
            <w:r>
              <w:rPr>
                <w:rFonts w:hint="eastAsia" w:ascii="宋体"/>
              </w:rPr>
              <w:t xml:space="preserve"> </w:t>
            </w:r>
          </w:p>
          <w:p>
            <w:pPr>
              <w:spacing w:line="240" w:lineRule="exact"/>
              <w:ind w:left="105" w:leftChars="50" w:right="105" w:rightChars="50"/>
              <w:rPr>
                <w:rFonts w:ascii="宋体"/>
              </w:rPr>
            </w:pPr>
          </w:p>
          <w:p>
            <w:pPr>
              <w:spacing w:line="240" w:lineRule="exact"/>
              <w:ind w:right="105" w:rightChars="50" w:firstLine="210" w:firstLineChars="100"/>
              <w:rPr>
                <w:rFonts w:ascii="宋体"/>
              </w:rPr>
            </w:pPr>
            <w:r>
              <w:rPr>
                <w:rFonts w:hint="eastAsia" w:ascii="宋体"/>
              </w:rPr>
              <w:t>9</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4" w:type="pct"/>
            <w:vMerge w:val="continue"/>
            <w:vAlign w:val="center"/>
          </w:tcPr>
          <w:p>
            <w:pPr>
              <w:spacing w:line="240" w:lineRule="exact"/>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3"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ascii="宋体" w:eastAsia="宋体"/>
              </w:rPr>
            </w:pPr>
            <w:r>
              <w:rPr>
                <w:rFonts w:hint="eastAsia" w:ascii="宋体"/>
              </w:rPr>
              <w:t>10</w:t>
            </w: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4" w:type="pct"/>
            <w:vAlign w:val="center"/>
          </w:tcPr>
          <w:p>
            <w:pPr>
              <w:spacing w:line="240" w:lineRule="exact"/>
              <w:rPr>
                <w:rFonts w:ascii="宋体"/>
              </w:rPr>
            </w:pPr>
          </w:p>
        </w:tc>
        <w:tc>
          <w:tcPr>
            <w:tcW w:w="452"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3" w:type="pct"/>
          </w:tcPr>
          <w:p>
            <w:pPr>
              <w:spacing w:line="240" w:lineRule="exact"/>
              <w:ind w:left="105" w:leftChars="50" w:right="105" w:rightChars="50"/>
              <w:rPr>
                <w:rFonts w:ascii="宋体"/>
              </w:rPr>
            </w:pPr>
          </w:p>
          <w:p>
            <w:pPr>
              <w:spacing w:line="240" w:lineRule="exact"/>
              <w:ind w:right="105" w:rightChars="50" w:firstLine="210" w:firstLineChars="100"/>
              <w:rPr>
                <w:rFonts w:ascii="宋体"/>
              </w:rPr>
            </w:pPr>
            <w:r>
              <w:rPr>
                <w:rFonts w:hint="eastAsia" w:ascii="宋体"/>
              </w:rPr>
              <w:t>99</w:t>
            </w:r>
          </w:p>
          <w:p>
            <w:pPr>
              <w:spacing w:line="240" w:lineRule="exact"/>
              <w:ind w:left="105" w:leftChars="50" w:right="105" w:rightChars="50"/>
              <w:rPr>
                <w:rFonts w:ascii="宋体"/>
              </w:rPr>
            </w:pPr>
          </w:p>
        </w:tc>
        <w:tc>
          <w:tcPr>
            <w:tcW w:w="1429"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4"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color w:val="000000"/>
          <w:kern w:val="0"/>
          <w:sz w:val="30"/>
          <w:szCs w:val="30"/>
          <w:highlight w:val="yellow"/>
        </w:rPr>
      </w:pPr>
    </w:p>
    <w:p>
      <w:pPr>
        <w:spacing w:line="600" w:lineRule="exact"/>
        <w:jc w:val="left"/>
        <w:rPr>
          <w:rFonts w:ascii="仿宋" w:hAnsi="仿宋" w:eastAsia="仿宋" w:cs="仿宋"/>
          <w:kern w:val="0"/>
          <w:sz w:val="30"/>
          <w:szCs w:val="30"/>
        </w:rPr>
      </w:pPr>
      <w:r>
        <w:rPr>
          <w:rFonts w:hint="eastAsia" w:ascii="仿宋" w:hAnsi="仿宋" w:eastAsia="仿宋" w:cs="仿宋"/>
          <w:kern w:val="0"/>
          <w:sz w:val="30"/>
          <w:szCs w:val="30"/>
        </w:rPr>
        <w:t>附件二：</w:t>
      </w:r>
    </w:p>
    <w:p>
      <w:pPr>
        <w:spacing w:line="600" w:lineRule="exact"/>
        <w:jc w:val="center"/>
        <w:rPr>
          <w:rFonts w:ascii="黑体" w:hAnsi="黑体" w:eastAsia="黑体" w:cs="黑体"/>
          <w:sz w:val="36"/>
          <w:szCs w:val="36"/>
        </w:rPr>
      </w:pPr>
    </w:p>
    <w:p>
      <w:bookmarkStart w:id="0" w:name="_GoBack"/>
      <w:bookmarkEnd w:id="0"/>
    </w:p>
    <w:sectPr>
      <w:pgSz w:w="11906" w:h="16838"/>
      <w:pgMar w:top="1134" w:right="1531" w:bottom="1134"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ED19B"/>
    <w:multiLevelType w:val="singleLevel"/>
    <w:tmpl w:val="48AED19B"/>
    <w:lvl w:ilvl="0" w:tentative="0">
      <w:start w:val="2"/>
      <w:numFmt w:val="chineseCounting"/>
      <w:suff w:val="nothing"/>
      <w:lvlText w:val="（%1）"/>
      <w:lvlJc w:val="left"/>
      <w:rPr>
        <w:rFonts w:hint="eastAsia"/>
      </w:rPr>
    </w:lvl>
  </w:abstractNum>
  <w:abstractNum w:abstractNumId="1">
    <w:nsid w:val="70BAF4B0"/>
    <w:multiLevelType w:val="singleLevel"/>
    <w:tmpl w:val="70BAF4B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3B8977A4"/>
    <w:rsid w:val="3B89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unhideWhenUsed/>
    <w:qFormat/>
    <w:uiPriority w:val="0"/>
    <w:pPr>
      <w:spacing w:before="100" w:beforeAutospacing="1" w:after="100" w:afterAutospacing="1"/>
      <w:jc w:val="left"/>
    </w:pPr>
    <w:rPr>
      <w:rFonts w:ascii="宋体" w:hAnsi="宋体" w:cs="宋体"/>
      <w:kern w:val="0"/>
      <w:sz w:val="24"/>
      <w:szCs w:val="24"/>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2023-07-06T06:51:00Z</dcterms:created>
  <dc:creator>一一</dc:creator>
  <cp:lastModifiedBy>一一</cp:lastModifiedBy>
  <dcterms:modified xsi:type="dcterms:W3CDTF">2023-07-06T06:52:53Z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49944761036C4AD9A2AF1DE0CDA02388_11</vt:lpwstr>
  </property>
</Properties>
</file>