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600" w:lineRule="exact"/>
        <w:jc w:val="center"/>
        <w:rPr>
          <w:rFonts w:hint="eastAsia" w:ascii="黑体" w:hAnsi="黑体" w:eastAsia="黑体" w:cs="黑体"/>
          <w:color w:val="333333"/>
          <w:kern w:val="0"/>
          <w:sz w:val="36"/>
          <w:szCs w:val="36"/>
          <w:shd w:val="clear" w:color="auto" w:fill="FFFFFF"/>
          <w:lang w:bidi="ar"/>
        </w:rPr>
      </w:pPr>
      <w:r>
        <w:rPr>
          <w:rFonts w:hint="eastAsia" w:ascii="黑体" w:hAnsi="黑体" w:eastAsia="黑体" w:cs="黑体"/>
          <w:color w:val="333333"/>
          <w:kern w:val="0"/>
          <w:sz w:val="36"/>
          <w:szCs w:val="36"/>
          <w:shd w:val="clear" w:color="auto" w:fill="FFFFFF"/>
          <w:lang w:bidi="ar"/>
        </w:rPr>
        <w:t>益阳市赫山区赫山街道社区卫生服务中心</w:t>
      </w:r>
    </w:p>
    <w:p>
      <w:pPr>
        <w:shd w:val="clear" w:color="auto" w:fill="FFFFFF"/>
        <w:spacing w:line="600" w:lineRule="exact"/>
        <w:jc w:val="center"/>
        <w:rPr>
          <w:rFonts w:hint="eastAsia" w:ascii="黑体" w:hAnsi="黑体" w:eastAsia="黑体" w:cs="黑体"/>
          <w:color w:val="333333"/>
          <w:kern w:val="0"/>
          <w:sz w:val="36"/>
          <w:szCs w:val="36"/>
          <w:shd w:val="clear" w:color="auto" w:fill="FFFFFF"/>
          <w:lang w:bidi="ar"/>
        </w:rPr>
      </w:pPr>
      <w:r>
        <w:rPr>
          <w:rFonts w:hint="eastAsia" w:ascii="黑体" w:hAnsi="黑体" w:eastAsia="黑体" w:cs="黑体"/>
          <w:color w:val="333333"/>
          <w:kern w:val="0"/>
          <w:sz w:val="36"/>
          <w:szCs w:val="36"/>
          <w:shd w:val="clear" w:color="auto" w:fill="FFFFFF"/>
          <w:lang w:bidi="ar"/>
        </w:rPr>
        <w:t>2021年度部门整体支出绩效评价报告</w:t>
      </w:r>
    </w:p>
    <w:p>
      <w:pPr>
        <w:shd w:val="clear" w:color="auto" w:fill="FFFFFF"/>
        <w:spacing w:line="600" w:lineRule="exact"/>
        <w:ind w:firstLine="600" w:firstLineChars="200"/>
        <w:jc w:val="left"/>
        <w:rPr>
          <w:rFonts w:ascii="仿宋" w:hAnsi="仿宋" w:eastAsia="仿宋" w:cs="仿宋"/>
          <w:color w:val="333333"/>
          <w:kern w:val="0"/>
          <w:sz w:val="30"/>
          <w:szCs w:val="30"/>
          <w:shd w:val="clear" w:color="auto" w:fill="FFFFFF"/>
          <w:lang w:bidi="ar"/>
        </w:rPr>
      </w:pPr>
      <w:r>
        <w:rPr>
          <w:rFonts w:hint="eastAsia" w:ascii="仿宋" w:hAnsi="仿宋" w:eastAsia="仿宋" w:cs="仿宋"/>
          <w:color w:val="333333"/>
          <w:kern w:val="0"/>
          <w:sz w:val="30"/>
          <w:szCs w:val="30"/>
          <w:shd w:val="clear" w:color="auto" w:fill="FFFFFF"/>
          <w:lang w:bidi="ar"/>
        </w:rPr>
        <w:t>2021年，赫山街道社区卫生服务中心在赫山区卫健局的正确领导和精心指导下，改革创新、团结奋进，以深化医药卫生体制改革为主线，以提升卫生健康服务质量为目标，团结奋进，扎实工作，较好地完成了全年工作目标任务。为加强财政支出管理，提高财政资金使用效益，根据《益阳市赫山区财政局关于做好2021年度预算绩效自评工作的通知》（益赫财绩〔2022〕1号）的文件要求，现将整体支出绩效评价报告如下：</w:t>
      </w:r>
    </w:p>
    <w:p>
      <w:pPr>
        <w:shd w:val="clear" w:color="auto" w:fill="FFFFFF"/>
        <w:spacing w:line="600" w:lineRule="exact"/>
        <w:ind w:firstLine="600" w:firstLineChars="200"/>
        <w:jc w:val="left"/>
        <w:rPr>
          <w:rFonts w:ascii="黑体" w:hAnsi="黑体" w:eastAsia="黑体" w:cs="黑体"/>
          <w:bCs/>
          <w:color w:val="000000"/>
          <w:sz w:val="30"/>
          <w:szCs w:val="30"/>
        </w:rPr>
      </w:pPr>
      <w:r>
        <w:rPr>
          <w:rFonts w:hint="eastAsia" w:ascii="黑体" w:hAnsi="黑体" w:eastAsia="黑体" w:cs="黑体"/>
          <w:bCs/>
          <w:color w:val="000000"/>
          <w:kern w:val="0"/>
          <w:sz w:val="30"/>
          <w:szCs w:val="30"/>
          <w:shd w:val="clear" w:color="auto" w:fill="FFFFFF"/>
          <w:lang w:bidi="ar"/>
        </w:rPr>
        <w:t>一、部门基本情况</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（一）部门职责</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1.负责本辖区的卫生工作、法律法规、政策的贯彻，卫生事业发展规划和工作计划的制定，为辖区居民提供13类基本公共卫生服务;</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2.负责辖区突发公共卫生事件的报告，并依据上级部门要求组织实施处置等工作;</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3.为辖区提供基本医疗服务，组织实施医改、农合、妇幼等相关工作;</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4.负责本辖区卫生信息统计、分析、上报；</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5.负责对辖区村级卫生组织和乡村医生的业务指导培训；</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6.负责卫生行政主管部门委托的相关业务或事项，落实上级卫生主管部门下达的其他工作；</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7.承办上级主管部门及政府交办的其他事项。</w:t>
      </w:r>
    </w:p>
    <w:p>
      <w:pPr>
        <w:spacing w:line="560" w:lineRule="exact"/>
        <w:ind w:firstLine="602" w:firstLineChars="200"/>
        <w:rPr>
          <w:rFonts w:ascii="仿宋_GB2312" w:eastAsia="仿宋_GB2312"/>
          <w:b/>
          <w:bCs/>
          <w:sz w:val="30"/>
          <w:szCs w:val="30"/>
        </w:rPr>
      </w:pPr>
      <w:r>
        <w:rPr>
          <w:rFonts w:hint="eastAsia" w:ascii="仿宋_GB2312" w:eastAsia="仿宋_GB2312"/>
          <w:b/>
          <w:bCs/>
          <w:sz w:val="30"/>
          <w:szCs w:val="30"/>
        </w:rPr>
        <w:t>（二）机构设置及人员编制情况</w:t>
      </w:r>
    </w:p>
    <w:p>
      <w:pPr>
        <w:shd w:val="clear" w:color="auto" w:fill="FFFFFF"/>
        <w:spacing w:line="60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设有全科、中医科、内科、外科、妇科、口腔科、康复理疗科、眼科、检验科、心电图室、B超室、放射科等十多个临床科室，拥有DR机、彩色B超、动态血压、动态心电图、全自动生化仪和血液分析仪、心电监护仪、麻醉机、经颅多普勒、阴道镜、微波治疗仪、全套康复理疗设备，病房设施齐全。干职工89人，卫生专业技术人员71人，中级职称40人，高级职称4人，其中全科医师20人，卫技人员占全院职工的80％。</w:t>
      </w:r>
    </w:p>
    <w:p>
      <w:pPr>
        <w:spacing w:line="600" w:lineRule="exact"/>
        <w:ind w:firstLine="900" w:firstLineChars="300"/>
        <w:rPr>
          <w:rFonts w:ascii="黑体" w:hAnsi="黑体" w:eastAsia="黑体" w:cs="黑体"/>
          <w:sz w:val="30"/>
          <w:szCs w:val="30"/>
        </w:rPr>
      </w:pPr>
      <w:r>
        <w:rPr>
          <w:rFonts w:hint="eastAsia" w:ascii="黑体" w:hAnsi="黑体" w:eastAsia="黑体" w:cs="黑体"/>
          <w:sz w:val="30"/>
          <w:szCs w:val="30"/>
        </w:rPr>
        <w:t>二、一般公共预算支出情况</w:t>
      </w:r>
    </w:p>
    <w:p>
      <w:pPr>
        <w:shd w:val="clear" w:color="auto" w:fill="FFFFFF"/>
        <w:spacing w:line="600" w:lineRule="exact"/>
        <w:ind w:firstLine="602" w:firstLineChars="200"/>
        <w:jc w:val="left"/>
        <w:rPr>
          <w:rFonts w:ascii="仿宋" w:hAnsi="仿宋" w:eastAsia="仿宋" w:cs="仿宋"/>
          <w:b/>
          <w:bCs/>
          <w:sz w:val="30"/>
          <w:szCs w:val="30"/>
        </w:rPr>
      </w:pPr>
      <w:r>
        <w:rPr>
          <w:rFonts w:hint="eastAsia" w:ascii="仿宋" w:hAnsi="仿宋" w:eastAsia="仿宋" w:cs="仿宋"/>
          <w:b/>
          <w:bCs/>
          <w:sz w:val="30"/>
          <w:szCs w:val="30"/>
        </w:rPr>
        <w:t>（一）基本支出情况</w:t>
      </w:r>
    </w:p>
    <w:p>
      <w:pPr>
        <w:shd w:val="clear" w:color="auto" w:fill="FFFFFF"/>
        <w:spacing w:line="600" w:lineRule="exact"/>
        <w:ind w:firstLine="600" w:firstLineChars="200"/>
        <w:jc w:val="left"/>
        <w:rPr>
          <w:rFonts w:ascii="仿宋" w:hAnsi="仿宋" w:eastAsia="仿宋" w:cs="仿宋"/>
          <w:color w:val="333333"/>
          <w:kern w:val="0"/>
          <w:sz w:val="30"/>
          <w:szCs w:val="30"/>
          <w:shd w:val="clear" w:color="auto" w:fill="FFFFFF"/>
          <w:lang w:bidi="ar"/>
        </w:rPr>
      </w:pPr>
      <w:r>
        <w:rPr>
          <w:rFonts w:hint="eastAsia" w:ascii="仿宋" w:hAnsi="仿宋" w:eastAsia="仿宋" w:cs="仿宋"/>
          <w:sz w:val="30"/>
          <w:szCs w:val="30"/>
        </w:rPr>
        <w:t>基本支出</w:t>
      </w:r>
      <w:r>
        <w:rPr>
          <w:rFonts w:hint="eastAsia" w:ascii="仿宋" w:hAnsi="仿宋" w:eastAsia="仿宋" w:cs="仿宋"/>
          <w:color w:val="333333"/>
          <w:kern w:val="0"/>
          <w:sz w:val="30"/>
          <w:szCs w:val="30"/>
          <w:shd w:val="clear" w:color="auto" w:fill="FFFFFF"/>
          <w:lang w:bidi="ar"/>
        </w:rPr>
        <w:t>是指为保障单位机构正常运转、完成日常工作任务而发生的各项支出，</w:t>
      </w:r>
      <w:r>
        <w:rPr>
          <w:rFonts w:hint="eastAsia" w:ascii="仿宋" w:hAnsi="仿宋" w:eastAsia="仿宋" w:cs="仿宋"/>
          <w:sz w:val="30"/>
          <w:szCs w:val="30"/>
        </w:rPr>
        <w:t>包括用于基本工资、津贴补贴等人员经费以及办公费、印刷费、水电费、办公设备购置等日常公用经费。2021年基本支出为853.82万元，</w:t>
      </w:r>
      <w:r>
        <w:rPr>
          <w:rFonts w:hint="eastAsia" w:ascii="仿宋" w:hAnsi="仿宋" w:eastAsia="仿宋" w:cs="仿宋"/>
          <w:color w:val="333333"/>
          <w:kern w:val="0"/>
          <w:sz w:val="30"/>
          <w:szCs w:val="30"/>
          <w:shd w:val="clear" w:color="auto" w:fill="FFFFFF"/>
          <w:lang w:bidi="ar"/>
        </w:rPr>
        <w:t>较上年</w:t>
      </w:r>
      <w:r>
        <w:rPr>
          <w:rFonts w:hint="eastAsia" w:ascii="仿宋" w:hAnsi="仿宋" w:eastAsia="仿宋" w:cs="仿宋"/>
          <w:sz w:val="30"/>
          <w:szCs w:val="30"/>
        </w:rPr>
        <w:t>969.14万元</w:t>
      </w:r>
      <w:r>
        <w:rPr>
          <w:rFonts w:hint="eastAsia" w:ascii="仿宋" w:hAnsi="仿宋" w:eastAsia="仿宋" w:cs="仿宋"/>
          <w:color w:val="333333"/>
          <w:kern w:val="0"/>
          <w:sz w:val="30"/>
          <w:szCs w:val="30"/>
          <w:shd w:val="clear" w:color="auto" w:fill="FFFFFF"/>
          <w:lang w:bidi="ar"/>
        </w:rPr>
        <w:t>减少115.32万元，减少11.9 %，其中人员经费支出655.45万元，占基本支出的 76.77%，较上年增加22.4万元，主要是由于:疫情防控，增加了人员经费；公用经费支出198.38万元,占基本支出的23.23%,较上年336.09减少137.71万元，主要是由于：疫情防控设备、耗材投入资金减少。</w:t>
      </w:r>
    </w:p>
    <w:p>
      <w:pPr>
        <w:widowControl w:val="0"/>
        <w:numPr>
          <w:ilvl w:val="0"/>
          <w:numId w:val="1"/>
        </w:numPr>
        <w:spacing w:line="60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项目支出情况</w:t>
      </w:r>
    </w:p>
    <w:p>
      <w:pPr>
        <w:spacing w:line="600" w:lineRule="exact"/>
        <w:ind w:firstLine="600" w:firstLineChars="200"/>
        <w:rPr>
          <w:rFonts w:ascii="仿宋" w:hAnsi="仿宋" w:eastAsia="仿宋" w:cs="仿宋"/>
          <w:sz w:val="30"/>
          <w:szCs w:val="30"/>
        </w:rPr>
      </w:pPr>
      <w:r>
        <w:rPr>
          <w:rFonts w:hint="eastAsia" w:ascii="仿宋" w:hAnsi="仿宋" w:eastAsia="仿宋" w:cs="仿宋"/>
          <w:color w:val="333333"/>
          <w:kern w:val="0"/>
          <w:sz w:val="30"/>
          <w:szCs w:val="30"/>
          <w:shd w:val="clear" w:color="auto" w:fill="FFFFFF"/>
          <w:lang w:bidi="ar"/>
        </w:rPr>
        <w:t>项目支出是指单位为完成特定行政工作任务或事业发展目标而发生的支出。2021年项目支出0万元。</w:t>
      </w:r>
    </w:p>
    <w:p>
      <w:pPr>
        <w:widowControl w:val="0"/>
        <w:numPr>
          <w:ilvl w:val="0"/>
          <w:numId w:val="2"/>
        </w:numPr>
        <w:shd w:val="clear" w:color="auto" w:fill="FFFFFF"/>
        <w:spacing w:line="600" w:lineRule="exact"/>
        <w:ind w:firstLine="600" w:firstLineChars="200"/>
        <w:jc w:val="left"/>
        <w:rPr>
          <w:rFonts w:ascii="黑体" w:hAnsi="黑体" w:eastAsia="黑体" w:cs="黑体"/>
          <w:bCs/>
          <w:color w:val="000000"/>
          <w:kern w:val="0"/>
          <w:sz w:val="30"/>
          <w:szCs w:val="30"/>
          <w:shd w:val="clear" w:color="auto" w:fill="FFFFFF"/>
          <w:lang w:bidi="ar"/>
        </w:rPr>
      </w:pPr>
      <w:r>
        <w:rPr>
          <w:rFonts w:hint="eastAsia" w:ascii="黑体" w:hAnsi="黑体" w:eastAsia="黑体" w:cs="黑体"/>
          <w:bCs/>
          <w:color w:val="000000"/>
          <w:kern w:val="0"/>
          <w:sz w:val="30"/>
          <w:szCs w:val="30"/>
          <w:shd w:val="clear" w:color="auto" w:fill="FFFFFF"/>
          <w:lang w:bidi="ar"/>
        </w:rPr>
        <w:t>部门整体支出绩效情况</w:t>
      </w:r>
    </w:p>
    <w:p>
      <w:pPr>
        <w:spacing w:line="600" w:lineRule="atLeast"/>
        <w:ind w:firstLine="602" w:firstLineChars="200"/>
        <w:rPr>
          <w:rFonts w:ascii="仿宋" w:hAnsi="仿宋" w:eastAsia="仿宋" w:cs="仿宋"/>
          <w:sz w:val="30"/>
          <w:szCs w:val="30"/>
        </w:rPr>
      </w:pPr>
      <w:r>
        <w:rPr>
          <w:rFonts w:hint="eastAsia" w:ascii="仿宋" w:hAnsi="仿宋" w:eastAsia="仿宋" w:cs="仿宋"/>
          <w:b/>
          <w:bCs/>
          <w:sz w:val="30"/>
          <w:szCs w:val="30"/>
        </w:rPr>
        <w:t>1、业务工作完成情况。</w:t>
      </w:r>
      <w:r>
        <w:rPr>
          <w:rFonts w:hint="eastAsia" w:ascii="仿宋" w:hAnsi="仿宋" w:eastAsia="仿宋" w:cs="仿宋"/>
          <w:sz w:val="30"/>
          <w:szCs w:val="30"/>
        </w:rPr>
        <w:t>2021年度业务指标完成情况：门诊人次48896人次，住院人次2225人次，床位使用率64.46%。经济指标完成情况：全年完成经济收入2069.7万元，其中门诊收入699.25万元，住院收入404.15万元。全年支出2062.73万元，结余6.96万元。</w:t>
      </w:r>
    </w:p>
    <w:p>
      <w:pPr>
        <w:spacing w:line="600" w:lineRule="atLeast"/>
        <w:ind w:firstLine="602" w:firstLineChars="200"/>
        <w:rPr>
          <w:rFonts w:ascii="仿宋" w:hAnsi="仿宋" w:eastAsia="仿宋" w:cs="仿宋"/>
          <w:sz w:val="30"/>
          <w:szCs w:val="30"/>
        </w:rPr>
      </w:pPr>
      <w:r>
        <w:rPr>
          <w:rFonts w:hint="eastAsia" w:ascii="仿宋" w:hAnsi="仿宋" w:eastAsia="仿宋" w:cs="仿宋"/>
          <w:b/>
          <w:bCs/>
          <w:sz w:val="30"/>
          <w:szCs w:val="30"/>
        </w:rPr>
        <w:t>2、做好“点面”工作，提升服务能力。</w:t>
      </w:r>
      <w:r>
        <w:rPr>
          <w:rFonts w:hint="eastAsia" w:ascii="仿宋" w:hAnsi="仿宋" w:eastAsia="仿宋" w:cs="仿宋"/>
          <w:sz w:val="30"/>
          <w:szCs w:val="30"/>
        </w:rPr>
        <w:t>一是进一步做好中医康复服务，更新艾灸仪、多功能通络治疗仪、颈腰椎多功能牵引床、中药熏蒸治疗仪等多种特色中医设备，开展中药、针灸、推拿、火罐、刮痧、熏洗等中医理疗服务项目。二是参与分级诊疗。形成基层首诊、双向转诊、急慢分治、上下联动有序的就医格局，缓解百姓就医难、看病贵的困难，真正使优质资源下沉至基层。</w:t>
      </w:r>
    </w:p>
    <w:p>
      <w:pPr>
        <w:spacing w:line="560" w:lineRule="exact"/>
        <w:ind w:firstLine="602" w:firstLineChars="200"/>
        <w:rPr>
          <w:rFonts w:ascii="仿宋" w:hAnsi="仿宋" w:eastAsia="仿宋" w:cs="仿宋"/>
          <w:sz w:val="30"/>
          <w:szCs w:val="30"/>
        </w:rPr>
      </w:pPr>
      <w:r>
        <w:rPr>
          <w:rFonts w:hint="eastAsia" w:ascii="仿宋" w:hAnsi="仿宋" w:eastAsia="仿宋" w:cs="仿宋"/>
          <w:b/>
          <w:bCs/>
          <w:sz w:val="30"/>
          <w:szCs w:val="30"/>
        </w:rPr>
        <w:t>3、做实基本公卫，促进医疗服务提升。</w:t>
      </w:r>
      <w:r>
        <w:rPr>
          <w:rFonts w:hint="eastAsia" w:ascii="仿宋" w:hAnsi="仿宋" w:eastAsia="仿宋" w:cs="仿宋"/>
          <w:sz w:val="30"/>
          <w:szCs w:val="30"/>
          <w:lang w:eastAsia="zh-CN"/>
        </w:rPr>
        <w:t>本单位</w:t>
      </w:r>
      <w:r>
        <w:rPr>
          <w:rFonts w:hint="eastAsia" w:ascii="仿宋" w:hAnsi="仿宋" w:eastAsia="仿宋" w:cs="仿宋"/>
          <w:sz w:val="30"/>
          <w:szCs w:val="30"/>
        </w:rPr>
        <w:t>对家庭医生签约服务团队进行了优化整合，成立了由32名业务骨干组成的16个家庭医生签约服务团队，每个团队有1-2名临床医生、1-2名执业护师、2名公卫人员，团队服务能力更强、更专业、更有延续性。对辖区进行了责任分包，通过开展大型义诊、巡诊、入户、电话随访、健康咨询、健康指导等多种方式进行签约履约服务。辖区共有常住人口84020人，上半年度共签约常住居民34134人，个性化签约2人，贫困人口及特扶人员签约率达100%。管理0—6岁儿童4451人，65岁以上老年人10430人。着重档案清理工作，现建档83821份，建档率99.7%，人脸识别率41.6%，电子档案查阅56.14%。高血压患者管理人数6035人，已有5785人行了人脸识别，规范管理4622人，规范管理率76.6%。糖尿病患者管理人数2239人，其中已有2188人进行了人脸识别，规范管理1732人，规范管理率77.37%。为老年人建立健康档案10430份，本年度完成体检人数6381人,体检率62.6%，健康管理率达60.83%。体检送达率100%。</w:t>
      </w:r>
      <w:r>
        <w:rPr>
          <w:rFonts w:hint="eastAsia" w:ascii="仿宋" w:hAnsi="仿宋" w:eastAsia="仿宋" w:cs="仿宋"/>
          <w:sz w:val="30"/>
          <w:szCs w:val="30"/>
          <w:lang w:eastAsia="zh-CN"/>
        </w:rPr>
        <w:t>本单位</w:t>
      </w:r>
      <w:r>
        <w:rPr>
          <w:rFonts w:hint="eastAsia" w:ascii="仿宋" w:hAnsi="仿宋" w:eastAsia="仿宋" w:cs="仿宋"/>
          <w:sz w:val="30"/>
          <w:szCs w:val="30"/>
        </w:rPr>
        <w:t>2021年度中医药健康管理各项工作有序推进中。已为辖区7215名65岁以上老年人进行了中医体质辨识 ，中医体质辨识率达到69.18%。为1668名0-36月儿童进行了中医保健指导。全年新增、迁入严重精神障碍患者12人，迁出患者2人，死亡6人，现有在管严重精神障碍病患者384人，建档患病率4.57‰；每半年至少完成一次家庭访视的患者361人 ，面访率94%；间断服药6人，不服药12人，服药率95.3%，其中精神分裂症患者服药率95.2%；现有29名患者正在精神专科医院接受住院治疗，全年完成体检196人。孕产妇人数581人，早孕建册574人，早孕建册率达98.95% ，产后访视率100%。0—6岁儿童人数  5162人，0-6岁儿童健康管理人数4948人，健康管理率达95.85 %。设立了健康知识宣传栏，定期开展卫生咨询和健康讲座，至11底发放宣传教育资料151950多份，播放音像资料1448小时，更换健康教育宣传栏6次，开展健康主题日咨询活动10次，接受健康咨询1048人次，举办健康教育讲座11次，参加讲座418人。全年共接种免疫规划疫苗11926剂，非免疫规划类疫苗15346剂次。新冠疫苗70665剂次。其中各类免疫规划疫苗接种率≥95%，麻疹类疫苗及时率≥80%。常住儿童建证建卡率达到100％，流动儿童建证率100％，建卡率100％。肺结核患者健康管理：按规范要求认真开展了肺结核患者管理和日常推荐、转诊工作，2021年规范管理结核病患者22人（今年新增）。传染病及公共事件卫生事件报告和处理：上报传染病56例，本中心上报27例，村卫生室2例，报告及时率100%。卫生计生监督协管：卫生计生协管巡查共203次，发现并报告事件数0个 。</w:t>
      </w:r>
    </w:p>
    <w:p>
      <w:pPr>
        <w:spacing w:line="600" w:lineRule="atLeast"/>
        <w:ind w:firstLine="602" w:firstLineChars="200"/>
        <w:rPr>
          <w:rFonts w:ascii="仿宋" w:hAnsi="仿宋" w:eastAsia="仿宋" w:cs="仿宋"/>
          <w:sz w:val="30"/>
          <w:szCs w:val="30"/>
        </w:rPr>
      </w:pPr>
      <w:r>
        <w:rPr>
          <w:rFonts w:hint="eastAsia" w:ascii="仿宋" w:hAnsi="仿宋" w:eastAsia="仿宋" w:cs="仿宋"/>
          <w:b/>
          <w:bCs/>
          <w:sz w:val="30"/>
          <w:szCs w:val="30"/>
        </w:rPr>
        <w:t>4、坚定信心，科学布局疫情防控。</w:t>
      </w:r>
      <w:r>
        <w:rPr>
          <w:rFonts w:hint="eastAsia" w:ascii="仿宋" w:hAnsi="仿宋" w:eastAsia="仿宋" w:cs="仿宋"/>
          <w:sz w:val="30"/>
          <w:szCs w:val="30"/>
        </w:rPr>
        <w:t>2020年新冠肺炎疫情发生以来，中心在区卫健局的正确领导下，以党建为统领，全体干职工积极投身疫情防控工作。第一时间设立预检分诊、发热门诊，24小时轮班值守，严格执行发热病人接待筛查流程，认真落实发热病人登记报告制度。为所有到院患者及家属免费发放口罩、发放消毒液等；积极参加汉庭酒店集中隔离医学观察点的疫情防控，圆满完成上级赋予的使命。</w:t>
      </w:r>
    </w:p>
    <w:p>
      <w:pPr>
        <w:spacing w:line="600" w:lineRule="atLeast"/>
        <w:ind w:firstLine="600" w:firstLineChars="200"/>
        <w:rPr>
          <w:rFonts w:ascii="黑体" w:hAnsi="黑体" w:eastAsia="黑体" w:cs="黑体"/>
          <w:color w:val="000000"/>
          <w:kern w:val="0"/>
          <w:sz w:val="30"/>
          <w:szCs w:val="30"/>
          <w:shd w:val="clear" w:color="auto" w:fill="FFFFFF"/>
          <w:lang w:bidi="ar"/>
        </w:rPr>
      </w:pPr>
      <w:r>
        <w:rPr>
          <w:rFonts w:hint="eastAsia" w:ascii="黑体" w:hAnsi="黑体" w:eastAsia="黑体" w:cs="黑体"/>
          <w:color w:val="000000"/>
          <w:kern w:val="0"/>
          <w:sz w:val="30"/>
          <w:szCs w:val="30"/>
          <w:shd w:val="clear" w:color="auto" w:fill="FFFFFF"/>
          <w:lang w:bidi="ar"/>
        </w:rPr>
        <w:t>四、存在的问题及原因分析</w:t>
      </w:r>
    </w:p>
    <w:p>
      <w:pPr>
        <w:spacing w:line="600" w:lineRule="atLeast"/>
        <w:ind w:firstLine="600" w:firstLineChars="200"/>
        <w:rPr>
          <w:rFonts w:ascii="仿宋" w:hAnsi="仿宋" w:eastAsia="仿宋" w:cs="仿宋"/>
          <w:sz w:val="30"/>
          <w:szCs w:val="30"/>
        </w:rPr>
      </w:pPr>
      <w:r>
        <w:rPr>
          <w:rFonts w:hint="eastAsia" w:ascii="仿宋" w:hAnsi="仿宋" w:eastAsia="仿宋" w:cs="仿宋"/>
          <w:sz w:val="30"/>
          <w:szCs w:val="30"/>
        </w:rPr>
        <w:t>预算安排不够准确，预算编制欠精准,年初预算控制数与单位实际需求有差距，部分经费需通过年中追加方式解决，由于年初未列入预算而年中追加预算指标，在一定程度上影响项目建设进度及资金支付进度，导致项目管理精确度欠佳，影响预算执行的科学性和合理性。</w:t>
      </w:r>
    </w:p>
    <w:p>
      <w:pPr>
        <w:widowControl w:val="0"/>
        <w:numPr>
          <w:ilvl w:val="0"/>
          <w:numId w:val="3"/>
        </w:numPr>
        <w:spacing w:line="600" w:lineRule="atLeast"/>
        <w:ind w:firstLine="600" w:firstLineChars="200"/>
        <w:rPr>
          <w:rFonts w:ascii="黑体" w:hAnsi="黑体" w:eastAsia="黑体" w:cs="黑体"/>
          <w:color w:val="000000"/>
          <w:kern w:val="0"/>
          <w:sz w:val="30"/>
          <w:szCs w:val="30"/>
          <w:shd w:val="clear" w:color="auto" w:fill="FFFFFF"/>
          <w:lang w:bidi="ar"/>
        </w:rPr>
      </w:pPr>
      <w:r>
        <w:rPr>
          <w:rFonts w:hint="eastAsia" w:ascii="黑体" w:hAnsi="黑体" w:eastAsia="黑体" w:cs="黑体"/>
          <w:color w:val="000000"/>
          <w:kern w:val="0"/>
          <w:sz w:val="30"/>
          <w:szCs w:val="30"/>
          <w:shd w:val="clear" w:color="auto" w:fill="FFFFFF"/>
          <w:lang w:bidi="ar"/>
        </w:rPr>
        <w:t>下一步改进措施</w:t>
      </w:r>
    </w:p>
    <w:p>
      <w:pPr>
        <w:spacing w:line="600" w:lineRule="atLeast"/>
        <w:ind w:firstLine="600" w:firstLineChars="200"/>
      </w:pPr>
      <w:r>
        <w:rPr>
          <w:rFonts w:hint="eastAsia" w:ascii="仿宋" w:hAnsi="仿宋" w:eastAsia="仿宋" w:cs="仿宋"/>
          <w:sz w:val="30"/>
          <w:szCs w:val="30"/>
        </w:rPr>
        <w:t>提升预算编制科学化、规范化和精细化水平。在部门预算编制前，进行必要的可行性研究、科学论证和充分的调研，根据本年度实际情况确定预算内容和支出内容， 结合具体专项绩效总目标和年度阶段性目标（本年度的工作任务）匹配预算支出投资额或资金量，将预算的执行和调整情况与绩效挂钩，提升预算编制科学化、规范化和精细化水平，从而加强预算管理和预算监督，为科学编制预算提供保障，确保预算执行的有效性，维护预算的严肃性。</w:t>
      </w:r>
    </w:p>
    <w:p>
      <w:pPr>
        <w:shd w:val="clear" w:color="auto" w:fill="FFFFFF"/>
        <w:spacing w:line="600" w:lineRule="exact"/>
        <w:ind w:firstLine="600" w:firstLineChars="200"/>
        <w:jc w:val="left"/>
        <w:rPr>
          <w:rFonts w:ascii="仿宋" w:hAnsi="仿宋" w:eastAsia="仿宋" w:cs="仿宋"/>
          <w:color w:val="333333"/>
          <w:kern w:val="0"/>
          <w:sz w:val="30"/>
          <w:szCs w:val="30"/>
          <w:shd w:val="clear" w:color="auto" w:fill="FFFFFF"/>
          <w:lang w:bidi="ar"/>
        </w:rPr>
      </w:pPr>
      <w:r>
        <w:rPr>
          <w:rFonts w:hint="eastAsia" w:ascii="仿宋" w:hAnsi="仿宋" w:eastAsia="仿宋" w:cs="仿宋"/>
          <w:color w:val="333333"/>
          <w:kern w:val="0"/>
          <w:sz w:val="30"/>
          <w:szCs w:val="30"/>
          <w:shd w:val="clear" w:color="auto" w:fill="FFFFFF"/>
          <w:lang w:bidi="ar"/>
        </w:rPr>
        <w:t>附件：2021年度部门整体支出绩效自评指标计分表</w:t>
      </w:r>
    </w:p>
    <w:p>
      <w:pPr>
        <w:spacing w:before="120" w:beforeLines="50" w:after="120" w:afterLines="50" w:line="600" w:lineRule="exact"/>
        <w:ind w:firstLine="600" w:firstLineChars="200"/>
        <w:jc w:val="center"/>
        <w:rPr>
          <w:rFonts w:ascii="黑体" w:hAnsi="黑体" w:eastAsia="黑体" w:cs="黑体"/>
          <w:sz w:val="30"/>
          <w:szCs w:val="30"/>
        </w:rPr>
      </w:pPr>
    </w:p>
    <w:p>
      <w:pPr>
        <w:spacing w:before="120" w:beforeLines="50" w:after="120" w:afterLines="50" w:line="600" w:lineRule="exact"/>
        <w:ind w:firstLine="600" w:firstLineChars="200"/>
        <w:jc w:val="center"/>
        <w:rPr>
          <w:rFonts w:ascii="黑体" w:hAnsi="黑体" w:eastAsia="黑体" w:cs="黑体"/>
          <w:sz w:val="30"/>
          <w:szCs w:val="30"/>
        </w:rPr>
      </w:pPr>
    </w:p>
    <w:p>
      <w:pPr>
        <w:spacing w:before="120" w:beforeLines="50" w:after="120" w:afterLines="50" w:line="600" w:lineRule="exact"/>
        <w:ind w:firstLine="600" w:firstLineChars="200"/>
        <w:jc w:val="center"/>
        <w:rPr>
          <w:rFonts w:ascii="黑体" w:hAnsi="黑体" w:eastAsia="黑体" w:cs="黑体"/>
          <w:sz w:val="30"/>
          <w:szCs w:val="30"/>
        </w:rPr>
      </w:pPr>
    </w:p>
    <w:p>
      <w:pPr>
        <w:spacing w:before="120" w:beforeLines="50" w:after="120" w:afterLines="50" w:line="600" w:lineRule="exact"/>
        <w:ind w:firstLine="600" w:firstLineChars="200"/>
        <w:jc w:val="center"/>
        <w:rPr>
          <w:rFonts w:ascii="黑体" w:hAnsi="黑体" w:eastAsia="黑体" w:cs="黑体"/>
          <w:sz w:val="30"/>
          <w:szCs w:val="30"/>
        </w:rPr>
      </w:pPr>
    </w:p>
    <w:p>
      <w:pPr>
        <w:pStyle w:val="5"/>
        <w:ind w:firstLine="600"/>
        <w:rPr>
          <w:rFonts w:ascii="黑体" w:hAnsi="黑体" w:eastAsia="黑体" w:cs="黑体"/>
          <w:sz w:val="30"/>
          <w:szCs w:val="30"/>
        </w:rPr>
      </w:pPr>
    </w:p>
    <w:p>
      <w:pPr>
        <w:pStyle w:val="5"/>
        <w:ind w:firstLine="600"/>
        <w:rPr>
          <w:rFonts w:ascii="黑体" w:hAnsi="黑体" w:eastAsia="黑体" w:cs="黑体"/>
          <w:sz w:val="30"/>
          <w:szCs w:val="30"/>
        </w:rPr>
      </w:pPr>
    </w:p>
    <w:p>
      <w:pPr>
        <w:pStyle w:val="5"/>
        <w:ind w:firstLine="600"/>
        <w:rPr>
          <w:rFonts w:ascii="黑体" w:hAnsi="黑体" w:eastAsia="黑体" w:cs="黑体"/>
          <w:sz w:val="30"/>
          <w:szCs w:val="30"/>
        </w:rPr>
      </w:pPr>
    </w:p>
    <w:p>
      <w:pPr>
        <w:pStyle w:val="5"/>
        <w:ind w:firstLine="600"/>
        <w:rPr>
          <w:rFonts w:ascii="黑体" w:hAnsi="黑体" w:eastAsia="黑体" w:cs="黑体"/>
          <w:sz w:val="30"/>
          <w:szCs w:val="30"/>
        </w:rPr>
      </w:pPr>
    </w:p>
    <w:p>
      <w:pPr>
        <w:pStyle w:val="5"/>
        <w:ind w:firstLine="600"/>
        <w:rPr>
          <w:rFonts w:ascii="黑体" w:hAnsi="黑体" w:eastAsia="黑体" w:cs="黑体"/>
          <w:sz w:val="30"/>
          <w:szCs w:val="30"/>
        </w:rPr>
      </w:pPr>
    </w:p>
    <w:p>
      <w:pPr>
        <w:pStyle w:val="5"/>
        <w:ind w:firstLine="600"/>
        <w:rPr>
          <w:rFonts w:hint="eastAsia" w:ascii="黑体" w:hAnsi="黑体" w:eastAsia="黑体" w:cs="黑体"/>
          <w:sz w:val="30"/>
          <w:szCs w:val="30"/>
        </w:rPr>
      </w:pPr>
    </w:p>
    <w:p>
      <w:pPr>
        <w:pStyle w:val="5"/>
        <w:ind w:firstLine="600"/>
        <w:rPr>
          <w:rFonts w:hint="eastAsia" w:ascii="黑体" w:hAnsi="黑体" w:eastAsia="黑体" w:cs="黑体"/>
          <w:sz w:val="30"/>
          <w:szCs w:val="30"/>
        </w:rPr>
      </w:pPr>
    </w:p>
    <w:p>
      <w:pPr>
        <w:pStyle w:val="5"/>
        <w:ind w:firstLine="600"/>
        <w:rPr>
          <w:rFonts w:hint="eastAsia" w:ascii="黑体" w:hAnsi="黑体" w:eastAsia="黑体" w:cs="黑体"/>
          <w:sz w:val="30"/>
          <w:szCs w:val="30"/>
        </w:rPr>
      </w:pPr>
    </w:p>
    <w:p>
      <w:pPr>
        <w:pStyle w:val="5"/>
        <w:ind w:firstLine="600"/>
        <w:rPr>
          <w:rFonts w:ascii="黑体" w:hAnsi="黑体" w:eastAsia="黑体" w:cs="黑体"/>
          <w:sz w:val="30"/>
          <w:szCs w:val="30"/>
        </w:rPr>
      </w:pPr>
    </w:p>
    <w:p>
      <w:pPr>
        <w:pStyle w:val="5"/>
        <w:ind w:firstLine="600"/>
        <w:rPr>
          <w:rFonts w:hint="eastAsia" w:ascii="黑体" w:hAnsi="黑体" w:eastAsia="黑体" w:cs="黑体"/>
          <w:sz w:val="30"/>
          <w:szCs w:val="30"/>
        </w:rPr>
      </w:pPr>
    </w:p>
    <w:p>
      <w:pPr>
        <w:pStyle w:val="5"/>
        <w:ind w:firstLine="600"/>
        <w:rPr>
          <w:rFonts w:hint="eastAsia" w:ascii="黑体" w:hAnsi="黑体" w:eastAsia="黑体" w:cs="黑体"/>
          <w:sz w:val="30"/>
          <w:szCs w:val="30"/>
        </w:rPr>
      </w:pPr>
    </w:p>
    <w:p>
      <w:pPr>
        <w:pStyle w:val="5"/>
        <w:ind w:firstLine="600"/>
        <w:rPr>
          <w:rFonts w:hint="eastAsia" w:ascii="黑体" w:hAnsi="黑体" w:eastAsia="黑体" w:cs="黑体"/>
          <w:sz w:val="30"/>
          <w:szCs w:val="30"/>
        </w:rPr>
      </w:pPr>
    </w:p>
    <w:p>
      <w:pPr>
        <w:pStyle w:val="5"/>
        <w:ind w:firstLine="600"/>
        <w:rPr>
          <w:rFonts w:ascii="黑体" w:hAnsi="黑体" w:eastAsia="黑体" w:cs="黑体"/>
          <w:sz w:val="30"/>
          <w:szCs w:val="30"/>
        </w:rPr>
      </w:pPr>
    </w:p>
    <w:p>
      <w:pPr>
        <w:spacing w:before="120" w:beforeLines="50" w:after="120" w:afterLines="50" w:line="600" w:lineRule="exact"/>
        <w:rPr>
          <w:rFonts w:ascii="黑体" w:hAnsi="黑体" w:eastAsia="黑体" w:cs="黑体"/>
          <w:sz w:val="30"/>
          <w:szCs w:val="30"/>
        </w:rPr>
      </w:pPr>
    </w:p>
    <w:p>
      <w:pPr>
        <w:spacing w:before="120" w:beforeLines="50" w:after="120" w:afterLines="50" w:line="600" w:lineRule="exact"/>
        <w:ind w:firstLine="600" w:firstLineChars="200"/>
        <w:jc w:val="center"/>
        <w:rPr>
          <w:rFonts w:ascii="黑体" w:hAnsi="黑体" w:eastAsia="黑体" w:cs="黑体"/>
          <w:sz w:val="30"/>
          <w:szCs w:val="30"/>
        </w:rPr>
      </w:pPr>
      <w:r>
        <w:rPr>
          <w:rFonts w:hint="eastAsia" w:ascii="黑体" w:hAnsi="黑体" w:eastAsia="黑体" w:cs="黑体"/>
          <w:sz w:val="30"/>
          <w:szCs w:val="30"/>
        </w:rPr>
        <w:t>2021年度部门整体支出绩效自评指标计分表</w:t>
      </w:r>
    </w:p>
    <w:tbl>
      <w:tblPr>
        <w:tblStyle w:val="3"/>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2"/>
        <w:gridCol w:w="737"/>
        <w:gridCol w:w="982"/>
        <w:gridCol w:w="737"/>
        <w:gridCol w:w="3095"/>
        <w:gridCol w:w="3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noWrap w:val="0"/>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一级</w:t>
            </w:r>
            <w:r>
              <w:rPr>
                <w:rFonts w:ascii="宋体" w:cs="宋体"/>
                <w:b/>
                <w:bCs/>
              </w:rPr>
              <w:br w:type="textWrapping"/>
            </w:r>
            <w:r>
              <w:rPr>
                <w:rFonts w:hint="eastAsia" w:ascii="宋体" w:hAnsi="宋体" w:cs="宋体"/>
                <w:b/>
                <w:bCs/>
              </w:rPr>
              <w:t>指标</w:t>
            </w:r>
          </w:p>
        </w:tc>
        <w:tc>
          <w:tcPr>
            <w:tcW w:w="375" w:type="pct"/>
            <w:noWrap w:val="0"/>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500" w:type="pct"/>
            <w:noWrap w:val="0"/>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375" w:type="pct"/>
            <w:noWrap w:val="0"/>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576" w:type="pct"/>
            <w:noWrap w:val="0"/>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1867" w:type="pct"/>
            <w:noWrap w:val="0"/>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3</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r>
              <w:rPr>
                <w:rFonts w:ascii="宋体" w:cs="宋体"/>
              </w:rPr>
              <w:br w:type="textWrapping"/>
            </w: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noWrap w:val="0"/>
            <w:vAlign w:val="center"/>
          </w:tcPr>
          <w:p>
            <w:pPr>
              <w:spacing w:line="240" w:lineRule="exact"/>
              <w:rPr>
                <w:rFonts w:ascii="宋体" w:cs="宋体"/>
              </w:rPr>
            </w:pP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重点预算支出：部门年度预算安排的，与本部门履职和发展密切相关、具有明显社会和经济影响、党委政府关心或社会比较关注的预算支出支出总额。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3</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hAns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continue"/>
            <w:noWrap w:val="0"/>
            <w:tcMar>
              <w:top w:w="10" w:type="dxa"/>
              <w:left w:w="10" w:type="dxa"/>
              <w:bottom w:w="0" w:type="dxa"/>
              <w:right w:w="10" w:type="dxa"/>
            </w:tcMar>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noWrap w:val="0"/>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①是否按规定内容公开预决算信息；</w:t>
            </w:r>
            <w:r>
              <w:rPr>
                <w:rFonts w:ascii="宋体" w:cs="宋体"/>
              </w:rPr>
              <w:br w:type="textWrapping"/>
            </w:r>
            <w:r>
              <w:rPr>
                <w:rFonts w:hint="eastAsia" w:ascii="宋体" w:hAnsi="宋体" w:cs="宋体"/>
              </w:rPr>
              <w:t>②是否按规定时限公开预决算信息。</w:t>
            </w:r>
            <w:r>
              <w:rPr>
                <w:rFonts w:ascii="宋体" w:cs="宋体"/>
              </w:rPr>
              <w:br w:type="textWrapping"/>
            </w: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r>
              <w:rPr>
                <w:rFonts w:ascii="宋体" w:cs="宋体"/>
              </w:rPr>
              <w:br w:type="textWrapping"/>
            </w: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noWrap w:val="0"/>
            <w:vAlign w:val="center"/>
          </w:tcPr>
          <w:p>
            <w:pPr>
              <w:tabs>
                <w:tab w:val="left" w:pos="761"/>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hAnsi="宋体" w:cs="宋体"/>
              </w:rPr>
            </w:pPr>
            <w:r>
              <w:rPr>
                <w:rFonts w:hint="eastAsia" w:ascii="宋体" w:hAnsi="宋体" w:cs="宋体"/>
              </w:rPr>
              <w:t>完成率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8</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noWrap w:val="0"/>
            <w:textDirection w:val="tbRlV"/>
            <w:vAlign w:val="center"/>
          </w:tcPr>
          <w:p>
            <w:pPr>
              <w:spacing w:line="240" w:lineRule="exact"/>
              <w:ind w:left="113"/>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hAnsi="宋体" w:cs="宋体"/>
              </w:rPr>
            </w:pPr>
            <w:r>
              <w:rPr>
                <w:rFonts w:hint="eastAsia" w:ascii="宋体" w:hAnsi="宋体" w:cs="宋体"/>
              </w:rPr>
              <w:t>及时率</w:t>
            </w:r>
          </w:p>
          <w:p>
            <w:pPr>
              <w:spacing w:line="240" w:lineRule="exact"/>
              <w:jc w:val="center"/>
              <w:rPr>
                <w:rFonts w:ascii="宋体" w:cs="宋体"/>
              </w:rPr>
            </w:pPr>
            <w:r>
              <w:rPr>
                <w:rFonts w:hint="eastAsia" w:ascii="宋体" w:hAnsi="宋体" w:cs="宋体"/>
              </w:rPr>
              <w:t>（</w:t>
            </w:r>
            <w:r>
              <w:rPr>
                <w:rFonts w:ascii="宋体" w:hAnsi="宋体" w:cs="宋体"/>
              </w:rPr>
              <w:t>4</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hAnsi="宋体" w:cs="宋体"/>
              </w:rPr>
            </w:pPr>
            <w:r>
              <w:rPr>
                <w:rFonts w:hint="eastAsia" w:ascii="宋体" w:hAnsi="宋体" w:cs="宋体"/>
              </w:rPr>
              <w:t>达标率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8</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10</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7" w:type="pct"/>
            <w:vMerge w:val="restar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7" w:type="pct"/>
            <w:vMerge w:val="continue"/>
            <w:noWrap w:val="0"/>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7" w:type="pct"/>
            <w:vMerge w:val="continue"/>
            <w:noWrap w:val="0"/>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noWrap w:val="0"/>
            <w:vAlign w:val="center"/>
          </w:tcPr>
          <w:p>
            <w:pPr>
              <w:spacing w:line="240" w:lineRule="exact"/>
              <w:rPr>
                <w:rFonts w:ascii="宋体" w:cs="宋体"/>
              </w:rPr>
            </w:pPr>
            <w:r>
              <w:rPr>
                <w:rFonts w:hint="eastAsia" w:ascii="宋体" w:hAnsi="宋体" w:cs="宋体"/>
              </w:rPr>
              <w:t>总分</w:t>
            </w:r>
          </w:p>
        </w:tc>
        <w:tc>
          <w:tcPr>
            <w:tcW w:w="375" w:type="pct"/>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96</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p>
        </w:tc>
      </w:tr>
    </w:tbl>
    <w:p>
      <w:pPr>
        <w:spacing w:line="600" w:lineRule="exact"/>
        <w:jc w:val="left"/>
        <w:rPr>
          <w:rFonts w:hint="eastAsia" w:ascii="仿宋" w:hAnsi="仿宋" w:eastAsia="仿宋" w:cs="仿宋"/>
          <w:b/>
          <w:bCs/>
          <w:color w:val="000000"/>
          <w:kern w:val="0"/>
          <w:sz w:val="30"/>
          <w:szCs w:val="30"/>
          <w:shd w:val="clear" w:color="auto" w:fill="FFFFFF"/>
          <w:lang w:bidi="ar"/>
        </w:rPr>
      </w:pPr>
      <w:bookmarkStart w:id="0" w:name="bookmark20"/>
      <w:bookmarkEnd w:id="0"/>
    </w:p>
    <w:p>
      <w:pPr>
        <w:spacing w:line="600" w:lineRule="exact"/>
        <w:ind w:firstLine="600" w:firstLineChars="200"/>
        <w:jc w:val="left"/>
        <w:rPr>
          <w:rFonts w:ascii="仿宋" w:hAnsi="仿宋" w:eastAsia="仿宋" w:cs="仿宋"/>
          <w:color w:val="000000"/>
          <w:kern w:val="0"/>
          <w:sz w:val="30"/>
          <w:szCs w:val="30"/>
        </w:rPr>
      </w:pPr>
    </w:p>
    <w:p>
      <w:pPr>
        <w:pStyle w:val="2"/>
        <w:rPr>
          <w:rFonts w:hint="default"/>
        </w:rPr>
      </w:pPr>
    </w:p>
    <w:p>
      <w:bookmarkStart w:id="1" w:name="_GoBack"/>
      <w:bookmarkEnd w:id="1"/>
    </w:p>
    <w:sectPr>
      <w:pgSz w:w="12240" w:h="15840"/>
      <w:pgMar w:top="567" w:right="1531" w:bottom="567" w:left="1531" w:header="720" w:footer="1701" w:gutter="0"/>
      <w:lnNumType w:countBy="0" w:distance="36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DC35F0"/>
    <w:multiLevelType w:val="singleLevel"/>
    <w:tmpl w:val="48DC35F0"/>
    <w:lvl w:ilvl="0" w:tentative="0">
      <w:start w:val="5"/>
      <w:numFmt w:val="chineseCounting"/>
      <w:suff w:val="nothing"/>
      <w:lvlText w:val="%1、"/>
      <w:lvlJc w:val="left"/>
      <w:rPr>
        <w:rFonts w:hint="eastAsia"/>
      </w:rPr>
    </w:lvl>
  </w:abstractNum>
  <w:abstractNum w:abstractNumId="1">
    <w:nsid w:val="66EA510C"/>
    <w:multiLevelType w:val="singleLevel"/>
    <w:tmpl w:val="66EA510C"/>
    <w:lvl w:ilvl="0" w:tentative="0">
      <w:start w:val="2"/>
      <w:numFmt w:val="chineseCounting"/>
      <w:suff w:val="nothing"/>
      <w:lvlText w:val="（%1）"/>
      <w:lvlJc w:val="left"/>
      <w:rPr>
        <w:rFonts w:hint="eastAsia"/>
      </w:rPr>
    </w:lvl>
  </w:abstractNum>
  <w:abstractNum w:abstractNumId="2">
    <w:nsid w:val="77D0BAC8"/>
    <w:multiLevelType w:val="singleLevel"/>
    <w:tmpl w:val="77D0BAC8"/>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2NzY5N2NmZWRiMTM2MWY1ZjNmMzA5NGJjMWI2MWIifQ=="/>
  </w:docVars>
  <w:rsids>
    <w:rsidRoot w:val="38F1243A"/>
    <w:rsid w:val="38F12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39"/>
    <w:pPr>
      <w:spacing w:line="600" w:lineRule="exact"/>
      <w:ind w:firstLine="640" w:firstLineChars="200"/>
    </w:pPr>
    <w:rPr>
      <w:rFonts w:hint="eastAsia" w:ascii="仿宋_GB2312" w:hAnsi="Times New Roman" w:eastAsia="仿宋_GB2312"/>
      <w:sz w:val="32"/>
      <w:szCs w:val="24"/>
    </w:rPr>
  </w:style>
  <w:style w:type="paragraph" w:customStyle="1" w:styleId="5">
    <w:name w:val="_Style 5"/>
    <w:basedOn w:val="1"/>
    <w:qFormat/>
    <w:uiPriority w:val="0"/>
    <w:pPr>
      <w:widowControl w:val="0"/>
      <w:ind w:firstLine="200" w:firstLineChars="200"/>
    </w:pPr>
    <w:rPr>
      <w:rFonts w:hAnsi="Calibri"/>
      <w:sz w:val="24"/>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2023-07-06T06:19:00Z</dcterms:created>
  <dc:creator>一一</dc:creator>
  <cp:lastModifiedBy>一一</cp:lastModifiedBy>
  <dcterms:modified xsi:type="dcterms:W3CDTF">2023-07-06T06:21:44Z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F01B403B9DF945D5A50ACFBF562F03C2_11</vt:lpwstr>
  </property>
</Properties>
</file>