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00" w:lineRule="exact"/>
        <w:jc w:val="center"/>
        <w:rPr>
          <w:rFonts w:hint="eastAsia" w:ascii="黑体" w:hAnsi="黑体" w:eastAsia="黑体" w:cs="黑体"/>
          <w:color w:val="333333"/>
          <w:kern w:val="0"/>
          <w:sz w:val="36"/>
          <w:szCs w:val="36"/>
          <w:shd w:val="clear" w:color="auto" w:fill="FFFFFF"/>
          <w:lang w:bidi="ar"/>
        </w:rPr>
      </w:pPr>
    </w:p>
    <w:p>
      <w:pPr>
        <w:shd w:val="clear" w:color="auto" w:fill="FFFFFF"/>
        <w:spacing w:line="600" w:lineRule="exact"/>
        <w:jc w:val="center"/>
        <w:rPr>
          <w:rFonts w:hint="eastAsia" w:ascii="黑体" w:hAnsi="黑体" w:eastAsia="黑体" w:cs="黑体"/>
          <w:color w:val="333333"/>
          <w:kern w:val="0"/>
          <w:sz w:val="36"/>
          <w:szCs w:val="36"/>
          <w:shd w:val="clear" w:color="auto" w:fill="FFFFFF"/>
          <w:lang w:bidi="ar"/>
        </w:rPr>
      </w:pPr>
      <w:bookmarkStart w:id="0" w:name="_GoBack"/>
      <w:bookmarkEnd w:id="0"/>
      <w:r>
        <w:rPr>
          <w:rFonts w:hint="eastAsia" w:ascii="黑体" w:hAnsi="黑体" w:eastAsia="黑体" w:cs="黑体"/>
          <w:color w:val="333333"/>
          <w:kern w:val="0"/>
          <w:sz w:val="36"/>
          <w:szCs w:val="36"/>
          <w:shd w:val="clear" w:color="auto" w:fill="FFFFFF"/>
          <w:lang w:bidi="ar"/>
        </w:rPr>
        <w:t>益阳市赫山区会龙山街道社区卫生服务中心2021年度</w:t>
      </w:r>
    </w:p>
    <w:p>
      <w:pPr>
        <w:shd w:val="clear" w:color="auto" w:fill="FFFFFF"/>
        <w:spacing w:line="600" w:lineRule="exact"/>
        <w:jc w:val="center"/>
        <w:rPr>
          <w:rFonts w:hint="eastAsia" w:ascii="黑体" w:hAnsi="黑体" w:eastAsia="黑体" w:cs="黑体"/>
          <w:color w:val="333333"/>
          <w:sz w:val="36"/>
          <w:szCs w:val="36"/>
        </w:rPr>
      </w:pPr>
      <w:r>
        <w:rPr>
          <w:rFonts w:hint="eastAsia" w:ascii="黑体" w:hAnsi="黑体" w:eastAsia="黑体" w:cs="黑体"/>
          <w:color w:val="333333"/>
          <w:kern w:val="0"/>
          <w:sz w:val="36"/>
          <w:szCs w:val="36"/>
          <w:shd w:val="clear" w:color="auto" w:fill="FFFFFF"/>
          <w:lang w:bidi="ar"/>
        </w:rPr>
        <w:t>部门整体支出绩效评价报告</w:t>
      </w:r>
    </w:p>
    <w:p>
      <w:pPr>
        <w:shd w:val="clear" w:color="auto" w:fill="FFFFFF"/>
        <w:spacing w:line="600" w:lineRule="exact"/>
        <w:ind w:firstLine="600" w:firstLineChars="200"/>
        <w:jc w:val="left"/>
        <w:rPr>
          <w:rFonts w:hint="eastAsia" w:ascii="仿宋" w:hAnsi="仿宋" w:eastAsia="仿宋" w:cs="仿宋"/>
          <w:color w:val="333333"/>
          <w:kern w:val="0"/>
          <w:sz w:val="30"/>
          <w:szCs w:val="30"/>
          <w:shd w:val="clear" w:color="auto" w:fill="FFFFFF"/>
          <w:lang w:bidi="ar"/>
        </w:rPr>
      </w:pPr>
      <w:r>
        <w:rPr>
          <w:rFonts w:hint="eastAsia" w:ascii="仿宋" w:hAnsi="仿宋" w:eastAsia="仿宋" w:cs="仿宋"/>
          <w:color w:val="333333"/>
          <w:kern w:val="0"/>
          <w:sz w:val="30"/>
          <w:szCs w:val="30"/>
          <w:shd w:val="clear" w:color="auto" w:fill="FFFFFF"/>
          <w:lang w:bidi="ar"/>
        </w:rPr>
        <w:t>2021年，</w:t>
      </w:r>
      <w:r>
        <w:rPr>
          <w:rFonts w:hint="eastAsia" w:ascii="仿宋" w:hAnsi="仿宋" w:eastAsia="仿宋" w:cs="仿宋"/>
          <w:color w:val="333333"/>
          <w:kern w:val="0"/>
          <w:sz w:val="30"/>
          <w:szCs w:val="30"/>
          <w:shd w:val="clear" w:color="auto" w:fill="FFFFFF"/>
          <w:lang w:val="en-US" w:eastAsia="zh-CN" w:bidi="ar"/>
        </w:rPr>
        <w:t>会龙山</w:t>
      </w:r>
      <w:r>
        <w:rPr>
          <w:rFonts w:hint="eastAsia" w:ascii="仿宋" w:hAnsi="仿宋" w:eastAsia="仿宋" w:cs="仿宋"/>
          <w:color w:val="333333"/>
          <w:kern w:val="0"/>
          <w:sz w:val="30"/>
          <w:szCs w:val="30"/>
          <w:shd w:val="clear" w:color="auto" w:fill="FFFFFF"/>
          <w:lang w:bidi="ar"/>
        </w:rPr>
        <w:t>街道社区卫生服务中心在赫山区卫健局的正确领导和精心指导下，改革创新、团结奋进，以深化医药卫生体制改革为主线，以提升卫生健康服务质量为目标，团结奋进，扎实工作，较好地完成了全年工作目标任务。为加强财政支出管理，提高财政资金使用效益，根据《益阳市赫山区财政局关于做好2021年度预算绩效自评工作的通知》（益赫财绩〔2022〕1号）的文件要求，现将整体支出绩效评价报告如下：</w:t>
      </w:r>
    </w:p>
    <w:p>
      <w:pPr>
        <w:shd w:val="clear" w:color="auto" w:fill="FFFFFF"/>
        <w:spacing w:line="600" w:lineRule="exact"/>
        <w:ind w:firstLine="600" w:firstLineChars="200"/>
        <w:jc w:val="left"/>
        <w:rPr>
          <w:rFonts w:hint="eastAsia" w:ascii="黑体" w:hAnsi="黑体" w:eastAsia="黑体" w:cs="黑体"/>
          <w:bCs/>
          <w:color w:val="000000"/>
          <w:sz w:val="30"/>
          <w:szCs w:val="30"/>
        </w:rPr>
      </w:pPr>
      <w:r>
        <w:rPr>
          <w:rFonts w:hint="eastAsia" w:ascii="黑体" w:hAnsi="黑体" w:eastAsia="黑体" w:cs="黑体"/>
          <w:bCs/>
          <w:color w:val="000000"/>
          <w:kern w:val="0"/>
          <w:sz w:val="30"/>
          <w:szCs w:val="30"/>
          <w:shd w:val="clear" w:color="auto" w:fill="FFFFFF"/>
          <w:lang w:bidi="ar"/>
        </w:rPr>
        <w:t>一、部门基本情况</w:t>
      </w:r>
    </w:p>
    <w:p>
      <w:pPr>
        <w:spacing w:line="560" w:lineRule="exact"/>
        <w:ind w:firstLine="640" w:firstLineChars="200"/>
        <w:rPr>
          <w:rFonts w:hint="default" w:ascii="仿宋_GB2312" w:eastAsia="仿宋_GB2312"/>
          <w:b/>
          <w:bCs/>
          <w:sz w:val="32"/>
          <w:szCs w:val="32"/>
          <w:lang w:val="en-US" w:eastAsia="zh-CN"/>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一</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部门职责</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负责本辖区的卫生工作、法律法规、政策的贯彻，卫生事业发展规划和工作计划的制定，为辖区居民提供13类基本公共卫生服务;</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负责辖区突发公共卫生事件的报告，并依据上级部门要求组织实施处置等工作;</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为辖区提供基本医疗服务，组织实施医改、农合、妇幼等相关工作</w:t>
      </w:r>
      <w:r>
        <w:rPr>
          <w:rFonts w:hint="eastAsia" w:ascii="仿宋" w:hAnsi="仿宋" w:eastAsia="仿宋" w:cs="仿宋"/>
          <w:sz w:val="30"/>
          <w:szCs w:val="30"/>
          <w:lang w:val="en-US" w:eastAsia="zh-CN"/>
        </w:rPr>
        <w:t>;</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负责本辖区卫生信息统计、分析、上报；</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负责对辖区村级卫生组织和乡村医生的业务指导培训；</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负责卫生行政主管部门委托的相关业务或事项，落实上级卫生主管部门下达的其他工作；</w:t>
      </w:r>
    </w:p>
    <w:p>
      <w:pPr>
        <w:pageBreakBefore w:val="0"/>
        <w:widowControl/>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承办上级主管部门及政府交办的其他事项。</w:t>
      </w:r>
    </w:p>
    <w:p>
      <w:pPr>
        <w:spacing w:line="560" w:lineRule="exact"/>
        <w:ind w:firstLine="600" w:firstLineChars="200"/>
        <w:rPr>
          <w:rFonts w:hint="default" w:ascii="仿宋_GB2312" w:eastAsia="仿宋_GB2312"/>
          <w:b/>
          <w:bCs/>
          <w:sz w:val="30"/>
          <w:szCs w:val="30"/>
          <w:lang w:val="en-US" w:eastAsia="zh-CN"/>
        </w:rPr>
      </w:pPr>
      <w:r>
        <w:rPr>
          <w:rFonts w:hint="eastAsia" w:ascii="仿宋_GB2312" w:eastAsia="仿宋_GB2312"/>
          <w:b/>
          <w:bCs/>
          <w:sz w:val="30"/>
          <w:szCs w:val="30"/>
        </w:rPr>
        <w:t>（二）机构设置</w:t>
      </w:r>
      <w:r>
        <w:rPr>
          <w:rFonts w:hint="eastAsia" w:ascii="仿宋_GB2312" w:eastAsia="仿宋_GB2312"/>
          <w:b/>
          <w:bCs/>
          <w:sz w:val="30"/>
          <w:szCs w:val="30"/>
          <w:lang w:val="en-US" w:eastAsia="zh-CN"/>
        </w:rPr>
        <w:t>及人员编制情况</w:t>
      </w:r>
    </w:p>
    <w:p>
      <w:pPr>
        <w:shd w:val="clear" w:color="auto" w:fill="FFFFFF"/>
        <w:spacing w:line="600" w:lineRule="exact"/>
        <w:ind w:firstLine="600" w:firstLineChars="200"/>
        <w:jc w:val="left"/>
        <w:rPr>
          <w:rFonts w:hint="eastAsia" w:ascii="仿宋_GB2312" w:eastAsia="仿宋_GB2312"/>
          <w:sz w:val="30"/>
          <w:szCs w:val="30"/>
        </w:rPr>
      </w:pPr>
      <w:r>
        <w:rPr>
          <w:rFonts w:hint="eastAsia" w:ascii="仿宋_GB2312" w:eastAsia="仿宋_GB2312"/>
          <w:sz w:val="30"/>
          <w:szCs w:val="30"/>
        </w:rPr>
        <w:t>设有全科、中医科、内科、外科、妇科、口腔科、康复理疗科、眼科、检验科、心电图室、B超室、放射科等十多个临床科室，拥有CT机、DR机、彩色B超、动态血压、动态心电图、全自动生化仪和血液分析仪、心电监护仪、麻醉机、经颅多普勒、阴道镜、微波治疗仪、全套康复理疗设备，病房设施齐全。干职工103人，卫生专业技术人员84人，中级职称38人，高级职称1人，其中全科医师22人，卫技人员占全院职工的81.5％。</w:t>
      </w:r>
    </w:p>
    <w:p>
      <w:pPr>
        <w:keepNext w:val="0"/>
        <w:keepLines w:val="0"/>
        <w:pageBreakBefore w:val="0"/>
        <w:widowControl/>
        <w:kinsoku/>
        <w:wordWrap/>
        <w:overflowPunct/>
        <w:topLinePunct w:val="0"/>
        <w:autoSpaceDE/>
        <w:autoSpaceDN/>
        <w:bidi w:val="0"/>
        <w:adjustRightInd/>
        <w:snapToGrid/>
        <w:spacing w:line="600" w:lineRule="exact"/>
        <w:ind w:firstLine="900" w:firstLineChars="300"/>
        <w:textAlignment w:val="auto"/>
        <w:rPr>
          <w:rFonts w:hint="eastAsia" w:ascii="黑体" w:hAnsi="黑体" w:eastAsia="黑体" w:cs="黑体"/>
          <w:sz w:val="30"/>
          <w:szCs w:val="30"/>
        </w:rPr>
      </w:pPr>
      <w:r>
        <w:rPr>
          <w:rFonts w:hint="eastAsia" w:ascii="黑体" w:hAnsi="黑体" w:eastAsia="黑体" w:cs="黑体"/>
          <w:sz w:val="30"/>
          <w:szCs w:val="30"/>
        </w:rPr>
        <w:t>二、一般公共预算支出情况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（一）基本支出</w:t>
      </w:r>
      <w:r>
        <w:rPr>
          <w:rFonts w:hint="eastAsia" w:ascii="仿宋" w:hAnsi="仿宋" w:eastAsia="仿宋" w:cs="仿宋"/>
          <w:b/>
          <w:bCs/>
          <w:sz w:val="30"/>
          <w:szCs w:val="30"/>
          <w:lang w:val="en-US" w:eastAsia="zh-CN"/>
        </w:rPr>
        <w:t>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default" w:ascii="仿宋" w:hAnsi="仿宋" w:eastAsia="仿宋" w:cs="仿宋"/>
          <w:i w:val="0"/>
          <w:caps w:val="0"/>
          <w:color w:val="333333"/>
          <w:spacing w:val="0"/>
          <w:sz w:val="30"/>
          <w:szCs w:val="30"/>
          <w:lang w:val="en-US"/>
        </w:rPr>
      </w:pPr>
      <w:r>
        <w:rPr>
          <w:rFonts w:hint="eastAsia" w:ascii="仿宋" w:hAnsi="仿宋" w:eastAsia="仿宋" w:cs="仿宋"/>
          <w:b w:val="0"/>
          <w:bCs w:val="0"/>
          <w:sz w:val="30"/>
          <w:szCs w:val="30"/>
          <w:lang w:val="en-US" w:eastAsia="zh-CN"/>
        </w:rPr>
        <w:t>基本支出</w:t>
      </w:r>
      <w:r>
        <w:rPr>
          <w:rFonts w:hint="eastAsia" w:ascii="仿宋" w:hAnsi="仿宋" w:eastAsia="仿宋" w:cs="仿宋"/>
          <w:i w:val="0"/>
          <w:caps w:val="0"/>
          <w:color w:val="333333"/>
          <w:spacing w:val="0"/>
          <w:kern w:val="0"/>
          <w:sz w:val="30"/>
          <w:szCs w:val="30"/>
          <w:shd w:val="clear" w:fill="FFFFFF"/>
          <w:lang w:val="en-US" w:eastAsia="zh-CN" w:bidi="ar"/>
        </w:rPr>
        <w:t>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w:t>
      </w:r>
      <w:r>
        <w:rPr>
          <w:rFonts w:hint="eastAsia" w:ascii="仿宋" w:hAnsi="仿宋" w:eastAsia="仿宋" w:cs="仿宋"/>
          <w:sz w:val="30"/>
          <w:szCs w:val="30"/>
          <w:lang w:val="en-US" w:eastAsia="zh-CN"/>
        </w:rPr>
        <w:t>基本</w:t>
      </w:r>
      <w:r>
        <w:rPr>
          <w:rFonts w:hint="eastAsia" w:ascii="仿宋" w:hAnsi="仿宋" w:eastAsia="仿宋" w:cs="仿宋"/>
          <w:sz w:val="30"/>
          <w:szCs w:val="30"/>
        </w:rPr>
        <w:t>支出为</w:t>
      </w:r>
      <w:r>
        <w:rPr>
          <w:rFonts w:hint="eastAsia" w:ascii="仿宋" w:hAnsi="仿宋" w:eastAsia="仿宋" w:cs="仿宋"/>
          <w:sz w:val="30"/>
          <w:szCs w:val="30"/>
          <w:lang w:val="en-US" w:eastAsia="zh-CN"/>
        </w:rPr>
        <w:t>705.1</w:t>
      </w:r>
      <w:r>
        <w:rPr>
          <w:rFonts w:hint="eastAsia" w:ascii="仿宋" w:hAnsi="仿宋" w:eastAsia="仿宋" w:cs="仿宋"/>
          <w:sz w:val="30"/>
          <w:szCs w:val="30"/>
        </w:rPr>
        <w:t>万元，</w:t>
      </w:r>
      <w:r>
        <w:rPr>
          <w:rFonts w:hint="eastAsia" w:ascii="仿宋" w:hAnsi="仿宋" w:eastAsia="仿宋" w:cs="仿宋"/>
          <w:i w:val="0"/>
          <w:caps w:val="0"/>
          <w:color w:val="333333"/>
          <w:spacing w:val="0"/>
          <w:kern w:val="0"/>
          <w:sz w:val="30"/>
          <w:szCs w:val="30"/>
          <w:shd w:val="clear" w:fill="FFFFFF"/>
          <w:lang w:val="en-US" w:eastAsia="zh-CN" w:bidi="ar"/>
        </w:rPr>
        <w:t>较上年增加78.76万元，增加12.57 %，其中人员经费支出532.56万元，占基本支出的 75.53%，较上年增加78.86万元，主要是由于:疫情防控，增加了人员经费；公用经费支出172.54万元,占基本支出的24.47%,较上年减少0.1 万元，与上年基本持平。</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项目支出</w:t>
      </w:r>
      <w:r>
        <w:rPr>
          <w:rFonts w:hint="eastAsia" w:ascii="仿宋" w:hAnsi="仿宋" w:eastAsia="仿宋" w:cs="仿宋"/>
          <w:b/>
          <w:bCs/>
          <w:sz w:val="30"/>
          <w:szCs w:val="30"/>
          <w:lang w:val="en-US" w:eastAsia="zh-CN"/>
        </w:rPr>
        <w:t>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i w:val="0"/>
          <w:caps w:val="0"/>
          <w:color w:val="333333"/>
          <w:spacing w:val="0"/>
          <w:kern w:val="0"/>
          <w:sz w:val="30"/>
          <w:szCs w:val="30"/>
          <w:shd w:val="clear" w:fill="FFFFFF"/>
          <w:lang w:val="en-US" w:eastAsia="zh-CN" w:bidi="ar"/>
        </w:rPr>
        <w:t>项目支出是指单位为完成特定行政工作任务或事业发展目标而发生的支出。2021年项目支出0万元。</w:t>
      </w:r>
    </w:p>
    <w:p>
      <w:pPr>
        <w:numPr>
          <w:ilvl w:val="0"/>
          <w:numId w:val="2"/>
        </w:numPr>
        <w:shd w:val="clear" w:color="auto" w:fill="FFFFFF"/>
        <w:spacing w:line="600" w:lineRule="exact"/>
        <w:ind w:firstLine="600" w:firstLineChars="200"/>
        <w:jc w:val="left"/>
        <w:rPr>
          <w:rFonts w:hint="eastAsia" w:ascii="黑体" w:hAnsi="黑体" w:eastAsia="黑体" w:cs="黑体"/>
          <w:bCs/>
          <w:color w:val="000000"/>
          <w:kern w:val="0"/>
          <w:sz w:val="30"/>
          <w:szCs w:val="30"/>
          <w:shd w:val="clear" w:color="auto" w:fill="FFFFFF"/>
          <w:lang w:bidi="ar"/>
        </w:rPr>
      </w:pPr>
      <w:r>
        <w:rPr>
          <w:rFonts w:hint="eastAsia" w:ascii="黑体" w:hAnsi="黑体" w:eastAsia="黑体" w:cs="黑体"/>
          <w:bCs/>
          <w:color w:val="000000"/>
          <w:kern w:val="0"/>
          <w:sz w:val="30"/>
          <w:szCs w:val="30"/>
          <w:shd w:val="clear" w:color="auto" w:fill="FFFFFF"/>
          <w:lang w:bidi="ar"/>
        </w:rPr>
        <w:t>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jc w:val="both"/>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1、业务工作完成情况。</w:t>
      </w:r>
      <w:r>
        <w:rPr>
          <w:rFonts w:hint="eastAsia" w:ascii="仿宋" w:hAnsi="仿宋" w:eastAsia="仿宋" w:cs="仿宋"/>
          <w:color w:val="auto"/>
          <w:kern w:val="2"/>
          <w:sz w:val="30"/>
          <w:szCs w:val="30"/>
          <w:lang w:val="en-US" w:eastAsia="zh-CN" w:bidi="ar-SA"/>
        </w:rPr>
        <w:t>2021年度业务指标完成情况：门诊人次19142人次，住院人次4271人次，床位使用率95%。经济指标完成情况：全年完成经济收入2137万元，其中门诊收入245万元，住院收入1176万元。全年支出2011万元，结余126万元。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2、做好“点面”工作，提升服务能力。</w:t>
      </w:r>
      <w:r>
        <w:rPr>
          <w:rFonts w:hint="eastAsia" w:ascii="仿宋" w:hAnsi="仿宋" w:eastAsia="仿宋" w:cs="仿宋"/>
          <w:color w:val="auto"/>
          <w:kern w:val="2"/>
          <w:sz w:val="30"/>
          <w:szCs w:val="30"/>
          <w:lang w:val="en-US" w:eastAsia="zh-CN" w:bidi="ar-SA"/>
        </w:rPr>
        <w:t>一是进一步做好中医康复服务，更新艾灸仪、多功能通络治疗仪、颈腰椎多功能牵引床、中药熏蒸治疗仪等多种特色中医设备，开展中药、针灸、推拿、火罐、刮痧、熏洗等中医理疗服务项目。二是参与分级诊疗。形成基层首诊、双向转诊、急慢分治、上下联动有序的就医格局，缓解百姓就医难、看病贵的困难，真正使优质资源下沉至基层。</w:t>
      </w:r>
    </w:p>
    <w:p>
      <w:pPr>
        <w:spacing w:line="560" w:lineRule="exact"/>
        <w:ind w:firstLine="600" w:firstLineChars="200"/>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3、做实基本公卫，促进医疗服务提升。</w:t>
      </w:r>
      <w:r>
        <w:rPr>
          <w:rFonts w:hint="eastAsia" w:ascii="仿宋" w:hAnsi="仿宋" w:eastAsia="仿宋" w:cs="仿宋"/>
          <w:color w:val="auto"/>
          <w:kern w:val="2"/>
          <w:sz w:val="30"/>
          <w:szCs w:val="30"/>
          <w:lang w:val="en-US" w:eastAsia="zh-CN" w:bidi="ar-SA"/>
        </w:rPr>
        <w:t>我中心对家庭医生签约服务团队进行了优化整合，成立了由39名业务骨干组成的7个家庭医生签约服务团队，每个团队有两名1-2名临床医生、2名执业护师、2名公卫人员，团队服务能力更强、更专业、更有延续性。对辖区进行了责任分包，通过开展大型义诊、巡诊、入户、电话随访、健康咨询、健康指导等多种方式进行签约履约服务。家庭医生已签约17316人，辖区总人数37725人，总签约率为45.9%;重点人群签约率%：高血压签约2923人，建档3012人，目前结案334人。签约率97%；糖尿病签约1088人，建档1129人，目前已经结案140人。签约率93.5%；老年人签约4309人，辖区常住老年人口5109人，建档4641人，签约率84.3%；重精签约131人，建档167人，签约率78.4%；肺结核11人，年度建档18人，签约率61%；0-6岁儿童签约827人，建档1239人，签约率66.7%；孕产妇签约54人，建档85人，签约率63.5%；建档立卡贫困人口：本辖区44人，签约42人，2人流出外地接管；区外流入16人，签约16人.共计签约建档立卡贫困人口58人，签约率100%；计扶对象142人，签约142人，签约率100%；城乡低保五保签约47人，签约47人，其中档案流出7人，签约率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4、坚定信心，科学布局疫情防控。</w:t>
      </w:r>
      <w:r>
        <w:rPr>
          <w:rFonts w:hint="eastAsia" w:ascii="仿宋" w:hAnsi="仿宋" w:eastAsia="仿宋" w:cs="仿宋"/>
          <w:color w:val="auto"/>
          <w:kern w:val="2"/>
          <w:sz w:val="30"/>
          <w:szCs w:val="30"/>
          <w:lang w:val="en-US" w:eastAsia="zh-CN" w:bidi="ar-SA"/>
        </w:rPr>
        <w:t>2020年新冠肺炎疫情发生以来，中心在区卫健局的正确领导下，以党建为统领，全体干职工积极投身疫情防控工作。第一时间设立预检分诊、发热门诊，24小时轮班值守，严格执行发热病人接待筛查流程，认真落实发热病人登记报告制度。为所有到院患者及家属免费发放口罩、发放消毒液等；积极参加汉庭酒店集中隔离医学观察点的疫情防控，圆满完成上级赋予的使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黑体" w:hAnsi="黑体" w:eastAsia="黑体" w:cs="黑体"/>
          <w:color w:val="000000"/>
          <w:kern w:val="0"/>
          <w:sz w:val="30"/>
          <w:szCs w:val="30"/>
          <w:shd w:val="clear" w:color="auto" w:fill="FFFFFF"/>
          <w:lang w:bidi="ar"/>
        </w:rPr>
      </w:pPr>
      <w:r>
        <w:rPr>
          <w:rFonts w:hint="eastAsia" w:ascii="黑体" w:hAnsi="黑体" w:eastAsia="黑体" w:cs="黑体"/>
          <w:color w:val="000000"/>
          <w:kern w:val="0"/>
          <w:sz w:val="30"/>
          <w:szCs w:val="30"/>
          <w:shd w:val="clear" w:color="auto" w:fill="FFFFFF"/>
          <w:lang w:bidi="ar"/>
        </w:rPr>
        <w:t>四、存在的问题及原因分析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预算安排不够准确，预算编制欠精准,年初预算控制数与单位实际需求有差距，部分经费需通过年中追加方式解决，由于年初未列入预算而年中追加预算指标，在一定程度上影响项目建设进度及资金支付进度，导致项目管理精确度欠佳，影响预算执行的科学性和合理性。</w:t>
      </w:r>
    </w:p>
    <w:p>
      <w:pPr>
        <w:keepNext w:val="0"/>
        <w:keepLines w:val="0"/>
        <w:pageBreakBefore w:val="0"/>
        <w:widowControl w:val="0"/>
        <w:numPr>
          <w:ilvl w:val="0"/>
          <w:numId w:val="3"/>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黑体" w:hAnsi="黑体" w:eastAsia="黑体" w:cs="黑体"/>
          <w:color w:val="000000"/>
          <w:kern w:val="0"/>
          <w:sz w:val="30"/>
          <w:szCs w:val="30"/>
          <w:shd w:val="clear" w:color="auto" w:fill="FFFFFF"/>
          <w:lang w:bidi="ar"/>
        </w:rPr>
      </w:pPr>
      <w:r>
        <w:rPr>
          <w:rFonts w:hint="eastAsia" w:ascii="黑体" w:hAnsi="黑体" w:eastAsia="黑体" w:cs="黑体"/>
          <w:color w:val="000000"/>
          <w:kern w:val="0"/>
          <w:sz w:val="30"/>
          <w:szCs w:val="30"/>
          <w:shd w:val="clear" w:color="auto" w:fill="FFFFFF"/>
          <w:lang w:bidi="ar"/>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rPr>
      </w:pPr>
      <w:r>
        <w:rPr>
          <w:rFonts w:hint="eastAsia" w:ascii="仿宋" w:hAnsi="仿宋" w:eastAsia="仿宋" w:cs="仿宋"/>
          <w:color w:val="auto"/>
          <w:kern w:val="2"/>
          <w:sz w:val="30"/>
          <w:szCs w:val="30"/>
          <w:lang w:val="en-US" w:eastAsia="zh-CN" w:bidi="ar-SA"/>
        </w:rPr>
        <w:t>提升预算编制科学化、规范化和精细化水平。在部门预算编制前，进行必要的可行性研究、科学论证和充分的调研，根据本年度实际情况确定预算内容和支出内容， 结合具体专项绩效总目标和年度阶段性目标（本年度的工作任务）匹配预算支出投资额或资金量，将预算的执行和调整情况与绩效挂钩，提升预算编制科学化、规范化和精细化水平，从而加强预算管理和预算监督，为科学编制预算提供保障，确保预算执行的有效性，维护预算的严肃性。</w:t>
      </w:r>
    </w:p>
    <w:p>
      <w:pPr>
        <w:shd w:val="clear" w:color="auto" w:fill="FFFFFF"/>
        <w:spacing w:line="600" w:lineRule="exact"/>
        <w:ind w:firstLine="600" w:firstLineChars="200"/>
        <w:jc w:val="left"/>
        <w:rPr>
          <w:rFonts w:hint="eastAsia" w:ascii="仿宋" w:hAnsi="仿宋" w:eastAsia="仿宋" w:cs="仿宋"/>
          <w:color w:val="333333"/>
          <w:kern w:val="0"/>
          <w:sz w:val="30"/>
          <w:szCs w:val="30"/>
          <w:shd w:val="clear" w:color="auto" w:fill="FFFFFF"/>
          <w:lang w:bidi="ar"/>
        </w:rPr>
      </w:pPr>
      <w:r>
        <w:rPr>
          <w:rFonts w:hint="eastAsia" w:ascii="仿宋" w:hAnsi="仿宋" w:eastAsia="仿宋" w:cs="仿宋"/>
          <w:color w:val="333333"/>
          <w:kern w:val="0"/>
          <w:sz w:val="30"/>
          <w:szCs w:val="30"/>
          <w:shd w:val="clear" w:color="auto" w:fill="FFFFFF"/>
          <w:lang w:bidi="ar"/>
        </w:rPr>
        <w:t>附件：2021年度部门整体支出绩效自评指标计分表</w:t>
      </w:r>
    </w:p>
    <w:p>
      <w:pPr>
        <w:spacing w:before="120" w:beforeLines="50" w:after="120" w:afterLines="50" w:line="600" w:lineRule="exact"/>
        <w:ind w:firstLine="600" w:firstLineChars="200"/>
        <w:jc w:val="center"/>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spacing w:before="120" w:beforeLines="50" w:after="120" w:afterLines="50" w:line="600" w:lineRule="exact"/>
        <w:jc w:val="both"/>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r>
        <w:rPr>
          <w:rFonts w:hint="eastAsia" w:ascii="黑体" w:hAnsi="黑体" w:eastAsia="黑体" w:cs="黑体"/>
          <w:sz w:val="30"/>
          <w:szCs w:val="30"/>
        </w:rPr>
        <w:t>2021年度部门整体支出绩效自评指标计分表</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noWrap w:val="0"/>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noWrap w:val="0"/>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noWrap w:val="0"/>
            <w:vAlign w:val="center"/>
          </w:tcPr>
          <w:p>
            <w:pPr>
              <w:spacing w:line="240" w:lineRule="exact"/>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hAns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noWrap w:val="0"/>
            <w:tcMar>
              <w:top w:w="10" w:type="dxa"/>
              <w:left w:w="10" w:type="dxa"/>
              <w:bottom w:w="0" w:type="dxa"/>
              <w:right w:w="10" w:type="dxa"/>
            </w:tcMar>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noWrap w:val="0"/>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noWrap w:val="0"/>
            <w:vAlign w:val="center"/>
          </w:tcPr>
          <w:p>
            <w:pPr>
              <w:tabs>
                <w:tab w:val="left" w:pos="761"/>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noWrap w:val="0"/>
            <w:textDirection w:val="tbRlV"/>
            <w:vAlign w:val="center"/>
          </w:tcPr>
          <w:p>
            <w:pPr>
              <w:spacing w:line="240" w:lineRule="exact"/>
              <w:ind w:left="113"/>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10</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noWrap w:val="0"/>
            <w:vAlign w:val="center"/>
          </w:tcPr>
          <w:p>
            <w:pPr>
              <w:spacing w:line="240" w:lineRule="exact"/>
              <w:rPr>
                <w:rFonts w:ascii="宋体" w:cs="宋体"/>
              </w:rPr>
            </w:pPr>
            <w:r>
              <w:rPr>
                <w:rFonts w:hint="eastAsia" w:ascii="宋体" w:hAnsi="宋体" w:cs="宋体"/>
              </w:rPr>
              <w:t>总分</w:t>
            </w:r>
          </w:p>
        </w:tc>
        <w:tc>
          <w:tcPr>
            <w:tcW w:w="375" w:type="pct"/>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96</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pageBreakBefore w:val="0"/>
        <w:kinsoku/>
        <w:wordWrap/>
        <w:overflowPunct/>
        <w:topLinePunct w:val="0"/>
        <w:bidi w:val="0"/>
        <w:snapToGrid/>
        <w:spacing w:line="600" w:lineRule="exact"/>
        <w:ind w:firstLine="600" w:firstLineChars="200"/>
        <w:jc w:val="left"/>
        <w:textAlignment w:val="auto"/>
        <w:rPr>
          <w:rFonts w:hint="eastAsia" w:ascii="仿宋" w:hAnsi="仿宋" w:eastAsia="仿宋" w:cs="仿宋"/>
          <w:color w:val="000000"/>
          <w:kern w:val="0"/>
          <w:sz w:val="30"/>
          <w:szCs w:val="30"/>
        </w:rPr>
      </w:pPr>
    </w:p>
    <w:p/>
    <w:sectPr>
      <w:pgSz w:w="11906" w:h="16838"/>
      <w:pgMar w:top="1134" w:right="1531" w:bottom="1134" w:left="1531"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C35F0"/>
    <w:multiLevelType w:val="singleLevel"/>
    <w:tmpl w:val="48DC35F0"/>
    <w:lvl w:ilvl="0" w:tentative="0">
      <w:start w:val="5"/>
      <w:numFmt w:val="chineseCounting"/>
      <w:suff w:val="nothing"/>
      <w:lvlText w:val="%1、"/>
      <w:lvlJc w:val="left"/>
      <w:rPr>
        <w:rFonts w:hint="eastAsia"/>
      </w:rPr>
    </w:lvl>
  </w:abstractNum>
  <w:abstractNum w:abstractNumId="1">
    <w:nsid w:val="66EA510C"/>
    <w:multiLevelType w:val="singleLevel"/>
    <w:tmpl w:val="66EA510C"/>
    <w:lvl w:ilvl="0" w:tentative="0">
      <w:start w:val="2"/>
      <w:numFmt w:val="chineseCounting"/>
      <w:suff w:val="nothing"/>
      <w:lvlText w:val="（%1）"/>
      <w:lvlJc w:val="left"/>
      <w:rPr>
        <w:rFonts w:hint="eastAsia"/>
      </w:rPr>
    </w:lvl>
  </w:abstractNum>
  <w:abstractNum w:abstractNumId="2">
    <w:nsid w:val="77D0BAC8"/>
    <w:multiLevelType w:val="singleLevel"/>
    <w:tmpl w:val="77D0BAC8"/>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54F07106"/>
    <w:rsid w:val="54F07106"/>
    <w:rsid w:val="556A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beforeLines="0" w:afterLines="0" w:line="600" w:lineRule="exact"/>
      <w:ind w:firstLine="640" w:firstLineChars="200"/>
    </w:pPr>
    <w:rPr>
      <w:rFonts w:hint="eastAsia" w:ascii="仿宋_GB2312" w:hAnsi="Times New Roman" w:eastAsia="仿宋_GB2312"/>
      <w:sz w:val="32"/>
      <w:szCs w:val="24"/>
    </w:rPr>
  </w:style>
  <w:style w:type="paragraph" w:customStyle="1" w:styleId="5">
    <w:name w:val="_Style 5"/>
    <w:basedOn w:val="1"/>
    <w:qFormat/>
    <w:uiPriority w:val="0"/>
    <w:pPr>
      <w:ind w:firstLine="200" w:firstLineChars="200"/>
    </w:pPr>
    <w:rPr>
      <w:rFonts w:ascii="Times New Roman" w:eastAsia="宋体"/>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5833</Words>
  <Characters>6105</Characters>
  <Lines>0</Lines>
  <Paragraphs>0</Paragraphs>
  <TotalTime>0</TotalTime>
  <ScaleCrop>false</ScaleCrop>
  <LinksUpToDate>false</LinksUpToDate>
  <CharactersWithSpaces>6137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2023-07-06T06:43:00Z</dcterms:created>
  <dc:creator>一一</dc:creator>
  <cp:lastModifiedBy>admin-3</cp:lastModifiedBy>
  <dcterms:modified xsi:type="dcterms:W3CDTF">2023-07-19T10:05:49Z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A37BA7092A5E4FE6A1C08CECA86D82AE_11</vt:lpwstr>
  </property>
</Properties>
</file>