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hint="eastAsia" w:ascii="黑体" w:hAnsi="黑体" w:eastAsia="黑体" w:cs="黑体"/>
          <w:color w:val="333333"/>
          <w:kern w:val="0"/>
          <w:sz w:val="36"/>
          <w:szCs w:val="36"/>
          <w:shd w:val="clear" w:color="auto" w:fill="FFFFFF"/>
        </w:rPr>
      </w:pPr>
    </w:p>
    <w:p>
      <w:pPr>
        <w:shd w:val="clear" w:color="auto" w:fill="FFFFFF"/>
        <w:spacing w:line="600" w:lineRule="exact"/>
        <w:jc w:val="center"/>
        <w:rPr>
          <w:rFonts w:ascii="黑体" w:hAnsi="黑体" w:eastAsia="黑体" w:cs="黑体"/>
          <w:color w:val="333333"/>
          <w:kern w:val="0"/>
          <w:sz w:val="36"/>
          <w:szCs w:val="36"/>
          <w:shd w:val="clear" w:color="auto" w:fill="FFFFFF"/>
        </w:rPr>
      </w:pPr>
      <w:r>
        <w:rPr>
          <w:rFonts w:hint="eastAsia" w:ascii="黑体" w:hAnsi="黑体" w:eastAsia="黑体" w:cs="黑体"/>
          <w:color w:val="333333"/>
          <w:kern w:val="0"/>
          <w:sz w:val="36"/>
          <w:szCs w:val="36"/>
          <w:shd w:val="clear" w:color="auto" w:fill="FFFFFF"/>
        </w:rPr>
        <w:t>益阳市赫山区衡龙桥镇卫生院2021年度部门</w:t>
      </w:r>
    </w:p>
    <w:p>
      <w:pPr>
        <w:shd w:val="clear" w:color="auto" w:fill="FFFFFF"/>
        <w:spacing w:line="600" w:lineRule="exact"/>
        <w:jc w:val="center"/>
        <w:rPr>
          <w:rFonts w:ascii="黑体" w:hAnsi="黑体" w:eastAsia="黑体" w:cs="黑体"/>
          <w:color w:val="333333"/>
          <w:sz w:val="36"/>
          <w:szCs w:val="36"/>
        </w:rPr>
      </w:pPr>
      <w:r>
        <w:rPr>
          <w:rFonts w:hint="eastAsia" w:ascii="黑体" w:hAnsi="黑体" w:eastAsia="黑体" w:cs="黑体"/>
          <w:color w:val="333333"/>
          <w:kern w:val="0"/>
          <w:sz w:val="36"/>
          <w:szCs w:val="36"/>
          <w:shd w:val="clear" w:color="auto" w:fill="FFFFFF"/>
        </w:rPr>
        <w:t>整体支出绩效评价报告</w:t>
      </w: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2021年，衡龙桥镇卫生院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rPr>
        <w:t>一、部门基本情况</w:t>
      </w:r>
    </w:p>
    <w:p>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（一）部门职责</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1.负责本辖区的卫生工作、法律法规、政策的贯彻，卫生事业发展规划和工作计划的制定，为辖区居民提供13类基本公共卫生服务;</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2.负责辖区突发公共卫生事件的报告，并依据上级部门要求组织实施处置等工作;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3.为辖区提供基本医疗服务，组织实施医改、农合、妇幼等相关工作;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4.负责本辖区卫生信息统计、分析、上报；</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5.负责对辖区村级卫生组织和乡村医生的业务指导培训；</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6.负责卫生行政主管部门委托的相关业务或事项，落实上级卫生主管部门下达的其他工作；</w:t>
      </w:r>
    </w:p>
    <w:p>
      <w:pPr>
        <w:widowControl/>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7.承办上级主管部门及政府交办的其他事项。</w:t>
      </w:r>
    </w:p>
    <w:p>
      <w:pPr>
        <w:spacing w:line="560" w:lineRule="exact"/>
        <w:ind w:firstLine="602" w:firstLineChars="200"/>
        <w:rPr>
          <w:rFonts w:ascii="仿宋_GB2312" w:eastAsia="仿宋_GB2312"/>
          <w:b/>
          <w:bCs/>
          <w:sz w:val="30"/>
          <w:szCs w:val="30"/>
        </w:rPr>
      </w:pPr>
      <w:r>
        <w:rPr>
          <w:rFonts w:hint="eastAsia" w:ascii="仿宋_GB2312" w:eastAsia="仿宋_GB2312"/>
          <w:b/>
          <w:bCs/>
          <w:sz w:val="30"/>
          <w:szCs w:val="30"/>
        </w:rPr>
        <w:t>（二）机构设置</w:t>
      </w:r>
    </w:p>
    <w:p>
      <w:pPr>
        <w:spacing w:line="30" w:lineRule="atLeast"/>
        <w:ind w:firstLine="600" w:firstLineChars="200"/>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1、医院内设机构：院本部设门诊部（包括中、西医门诊、妇科门诊、院长门诊、防疫门诊、儿保门诊、发热门诊、预检分诊、肠道门诊）、医技科室（包括化验室、心超室、放射室），中西药房，住院部（包括内科、外科及护理部），质控科，财务科（收费室），院办公室，公卫办，城乡居民医保与信息室，健康扶贫办等九个职能科室。</w:t>
      </w:r>
    </w:p>
    <w:p>
      <w:pPr>
        <w:spacing w:line="30" w:lineRule="atLeast"/>
        <w:ind w:firstLine="600" w:firstLineChars="200"/>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2、下设诊所：设黄土坑诊所、槽门湾诊所、松树桥诊所共三家诊所。</w:t>
      </w:r>
    </w:p>
    <w:p>
      <w:pPr>
        <w:widowControl/>
        <w:spacing w:line="600" w:lineRule="exact"/>
        <w:ind w:firstLine="900" w:firstLineChars="300"/>
        <w:rPr>
          <w:rFonts w:ascii="黑体" w:hAnsi="黑体" w:eastAsia="黑体" w:cs="黑体"/>
          <w:sz w:val="30"/>
          <w:szCs w:val="30"/>
        </w:rPr>
      </w:pPr>
      <w:r>
        <w:rPr>
          <w:rFonts w:hint="eastAsia" w:ascii="黑体" w:hAnsi="黑体" w:eastAsia="黑体" w:cs="黑体"/>
          <w:sz w:val="30"/>
          <w:szCs w:val="30"/>
        </w:rPr>
        <w:t>二、一般公共预算支出情况</w:t>
      </w:r>
    </w:p>
    <w:p>
      <w:pPr>
        <w:widowControl/>
        <w:shd w:val="clear" w:color="auto" w:fill="FFFFFF"/>
        <w:spacing w:line="6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rPr>
        <w:t>（一）基本支出情况</w:t>
      </w:r>
    </w:p>
    <w:p>
      <w:pPr>
        <w:pStyle w:val="5"/>
        <w:spacing w:line="600" w:lineRule="exact"/>
        <w:ind w:firstLine="600" w:firstLineChars="200"/>
        <w:rPr>
          <w:rFonts w:ascii="仿宋" w:hAnsi="仿宋" w:eastAsia="仿宋" w:cs="仿宋"/>
          <w:color w:val="auto"/>
          <w:kern w:val="2"/>
          <w:sz w:val="30"/>
          <w:szCs w:val="30"/>
        </w:rPr>
      </w:pPr>
      <w:r>
        <w:rPr>
          <w:rFonts w:hint="eastAsia" w:ascii="仿宋" w:hAnsi="仿宋" w:eastAsia="仿宋" w:cs="仿宋"/>
          <w:sz w:val="30"/>
          <w:szCs w:val="30"/>
        </w:rPr>
        <w:t>基本支出</w:t>
      </w:r>
      <w:r>
        <w:rPr>
          <w:rFonts w:hint="eastAsia" w:ascii="仿宋" w:hAnsi="仿宋" w:eastAsia="仿宋" w:cs="仿宋"/>
          <w:color w:val="333333"/>
          <w:sz w:val="30"/>
          <w:szCs w:val="30"/>
          <w:shd w:val="clear" w:color="auto" w:fill="FFFFFF"/>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包括用于基本工资、津贴补贴等人员经费以及办公费、印刷费、水电费、办公设备购置等日常公用经费。2021年基本支出为</w:t>
      </w:r>
      <w:r>
        <w:rPr>
          <w:rFonts w:hint="eastAsia" w:ascii="仿宋" w:hAnsi="仿宋" w:eastAsia="仿宋" w:cs="仿宋"/>
          <w:sz w:val="30"/>
          <w:szCs w:val="30"/>
          <w:lang w:val="zh-CN"/>
        </w:rPr>
        <w:t>766.51</w:t>
      </w:r>
      <w:r>
        <w:rPr>
          <w:rFonts w:hint="eastAsia" w:ascii="仿宋" w:hAnsi="仿宋" w:eastAsia="仿宋" w:cs="仿宋"/>
          <w:sz w:val="30"/>
          <w:szCs w:val="30"/>
        </w:rPr>
        <w:t>万元，</w:t>
      </w:r>
      <w:r>
        <w:rPr>
          <w:rFonts w:hint="eastAsia" w:ascii="仿宋" w:hAnsi="仿宋" w:eastAsia="仿宋" w:cs="仿宋"/>
          <w:color w:val="333333"/>
          <w:sz w:val="30"/>
          <w:szCs w:val="30"/>
          <w:shd w:val="clear" w:color="auto" w:fill="FFFFFF"/>
        </w:rPr>
        <w:t>较上年减少15.22万元，减少1.95%，</w:t>
      </w:r>
      <w:r>
        <w:rPr>
          <w:rFonts w:hint="eastAsia" w:ascii="仿宋" w:hAnsi="仿宋" w:eastAsia="仿宋" w:cs="仿宋"/>
          <w:color w:val="333333"/>
          <w:sz w:val="30"/>
          <w:szCs w:val="30"/>
          <w:shd w:val="clear" w:color="auto" w:fill="FFFFFF"/>
          <w:lang w:eastAsia="zh-CN"/>
        </w:rPr>
        <w:t>减少的原因</w:t>
      </w:r>
      <w:r>
        <w:rPr>
          <w:rFonts w:hint="eastAsia" w:ascii="仿宋" w:hAnsi="仿宋" w:eastAsia="仿宋" w:cs="仿宋"/>
          <w:color w:val="auto"/>
          <w:kern w:val="2"/>
          <w:sz w:val="30"/>
          <w:szCs w:val="30"/>
        </w:rPr>
        <w:t>主要是因为</w:t>
      </w:r>
      <w:r>
        <w:rPr>
          <w:rFonts w:hint="eastAsia" w:ascii="仿宋" w:hAnsi="仿宋" w:eastAsia="仿宋" w:cs="仿宋"/>
          <w:sz w:val="30"/>
          <w:szCs w:val="30"/>
        </w:rPr>
        <w:t>抗疫财政拨款支出减少。</w:t>
      </w:r>
      <w:r>
        <w:rPr>
          <w:rFonts w:hint="eastAsia" w:ascii="仿宋" w:hAnsi="仿宋" w:eastAsia="仿宋" w:cs="仿宋"/>
          <w:sz w:val="30"/>
          <w:szCs w:val="30"/>
          <w:lang w:eastAsia="zh-CN"/>
        </w:rPr>
        <w:t>其中：</w:t>
      </w:r>
      <w:r>
        <w:rPr>
          <w:rFonts w:hint="eastAsia" w:ascii="仿宋" w:hAnsi="仿宋" w:eastAsia="仿宋" w:cs="仿宋"/>
          <w:color w:val="333333"/>
          <w:sz w:val="30"/>
          <w:szCs w:val="30"/>
          <w:shd w:val="clear" w:color="auto" w:fill="FFFFFF"/>
        </w:rPr>
        <w:t>人员经费支出504.51万元，占基本支出的65.82%</w:t>
      </w:r>
      <w:r>
        <w:rPr>
          <w:rFonts w:hint="eastAsia" w:ascii="仿宋" w:hAnsi="仿宋" w:eastAsia="仿宋" w:cs="仿宋"/>
          <w:color w:val="333333"/>
          <w:sz w:val="30"/>
          <w:szCs w:val="30"/>
          <w:shd w:val="clear" w:color="auto" w:fill="FFFFFF"/>
          <w:lang w:eastAsia="zh-CN"/>
        </w:rPr>
        <w:t>；</w:t>
      </w:r>
      <w:r>
        <w:rPr>
          <w:rFonts w:hint="eastAsia" w:ascii="仿宋" w:hAnsi="仿宋" w:eastAsia="仿宋" w:cs="仿宋"/>
          <w:color w:val="333333"/>
          <w:sz w:val="30"/>
          <w:szCs w:val="30"/>
          <w:shd w:val="clear" w:color="auto" w:fill="FFFFFF"/>
        </w:rPr>
        <w:t>公用经费支出262万元,占基本支出的34.18%。</w:t>
      </w:r>
    </w:p>
    <w:p>
      <w:pPr>
        <w:numPr>
          <w:ilvl w:val="0"/>
          <w:numId w:val="1"/>
        </w:numPr>
        <w:spacing w:line="6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项目支出情况</w:t>
      </w:r>
    </w:p>
    <w:p>
      <w:pPr>
        <w:spacing w:line="600" w:lineRule="exact"/>
        <w:ind w:firstLine="600" w:firstLineChars="200"/>
        <w:rPr>
          <w:rFonts w:ascii="仿宋" w:hAnsi="仿宋" w:eastAsia="仿宋" w:cs="仿宋"/>
          <w:sz w:val="30"/>
          <w:szCs w:val="30"/>
        </w:rPr>
      </w:pPr>
      <w:r>
        <w:rPr>
          <w:rFonts w:hint="eastAsia" w:ascii="仿宋" w:hAnsi="仿宋" w:eastAsia="仿宋" w:cs="仿宋"/>
          <w:color w:val="333333"/>
          <w:kern w:val="0"/>
          <w:sz w:val="30"/>
          <w:szCs w:val="30"/>
          <w:shd w:val="clear" w:color="auto" w:fill="FFFFFF"/>
        </w:rPr>
        <w:t>项目支出是指单位为完成特定行政工作任务或事业发展目标而发生的支出。2021年项目支出0万元。</w:t>
      </w:r>
    </w:p>
    <w:p>
      <w:pPr>
        <w:numPr>
          <w:ilvl w:val="0"/>
          <w:numId w:val="2"/>
        </w:numPr>
        <w:shd w:val="clear" w:color="auto" w:fill="FFFFFF"/>
        <w:spacing w:line="600" w:lineRule="exact"/>
        <w:ind w:firstLine="600" w:firstLineChars="200"/>
        <w:jc w:val="left"/>
        <w:rPr>
          <w:rFonts w:ascii="黑体" w:hAnsi="黑体" w:eastAsia="黑体" w:cs="黑体"/>
          <w:bCs/>
          <w:color w:val="000000"/>
          <w:kern w:val="0"/>
          <w:sz w:val="30"/>
          <w:szCs w:val="30"/>
          <w:shd w:val="clear" w:color="auto" w:fill="FFFFFF"/>
        </w:rPr>
      </w:pPr>
      <w:r>
        <w:rPr>
          <w:rFonts w:hint="eastAsia" w:ascii="黑体" w:hAnsi="黑体" w:eastAsia="黑体" w:cs="黑体"/>
          <w:bCs/>
          <w:color w:val="000000"/>
          <w:kern w:val="0"/>
          <w:sz w:val="30"/>
          <w:szCs w:val="30"/>
          <w:shd w:val="clear" w:color="auto" w:fill="FFFFFF"/>
        </w:rPr>
        <w:t>部门整体支出绩效情况</w:t>
      </w:r>
    </w:p>
    <w:p>
      <w:pPr>
        <w:rPr>
          <w:rFonts w:ascii="宋体" w:hAnsi="宋体" w:eastAsia="宋体" w:cs="宋体"/>
          <w:b/>
          <w:bCs/>
          <w:color w:val="000000"/>
          <w:kern w:val="0"/>
          <w:sz w:val="20"/>
          <w:szCs w:val="20"/>
        </w:rPr>
      </w:pPr>
      <w:r>
        <w:rPr>
          <w:rFonts w:hint="eastAsia" w:ascii="仿宋" w:hAnsi="仿宋" w:eastAsia="仿宋" w:cs="仿宋"/>
          <w:b/>
          <w:bCs/>
          <w:sz w:val="30"/>
          <w:szCs w:val="30"/>
        </w:rPr>
        <w:t>1、业务工作完成情况。</w:t>
      </w:r>
      <w:r>
        <w:rPr>
          <w:rFonts w:hint="eastAsia" w:ascii="仿宋" w:hAnsi="仿宋" w:eastAsia="仿宋" w:cs="仿宋"/>
          <w:sz w:val="30"/>
          <w:szCs w:val="30"/>
        </w:rPr>
        <w:t>2021年度业务指标完成情况：门诊人次</w:t>
      </w:r>
      <w:r>
        <w:rPr>
          <w:rFonts w:ascii="仿宋" w:hAnsi="仿宋" w:eastAsia="仿宋" w:cs="仿宋"/>
          <w:sz w:val="30"/>
          <w:szCs w:val="30"/>
        </w:rPr>
        <w:t>38436</w:t>
      </w:r>
      <w:r>
        <w:rPr>
          <w:rFonts w:hint="eastAsia" w:ascii="仿宋" w:hAnsi="仿宋" w:eastAsia="仿宋" w:cs="仿宋"/>
          <w:sz w:val="30"/>
          <w:szCs w:val="30"/>
        </w:rPr>
        <w:t>人次，住院人次1625人次，床位使用率78.45%。经济指标完成情况：全年完成经济收入1818.97万元，其中门诊收入607.15万元，住院收入270.23万元。全年支出1802.31万元，结余16.66万元。</w:t>
      </w:r>
    </w:p>
    <w:p>
      <w:pPr>
        <w:spacing w:line="600" w:lineRule="atLeast"/>
        <w:rPr>
          <w:rFonts w:ascii="仿宋" w:hAnsi="仿宋" w:eastAsia="仿宋" w:cs="仿宋"/>
          <w:sz w:val="30"/>
          <w:szCs w:val="30"/>
        </w:rPr>
      </w:pPr>
      <w:r>
        <w:rPr>
          <w:rFonts w:hint="eastAsia" w:ascii="仿宋" w:hAnsi="仿宋" w:eastAsia="仿宋" w:cs="仿宋"/>
          <w:b/>
          <w:bCs/>
          <w:sz w:val="30"/>
          <w:szCs w:val="30"/>
        </w:rPr>
        <w:t>2、做好“点面”工作，提升服务能力。</w:t>
      </w:r>
      <w:r>
        <w:rPr>
          <w:rFonts w:hint="eastAsia" w:ascii="仿宋" w:hAnsi="仿宋" w:eastAsia="仿宋" w:cs="仿宋"/>
          <w:sz w:val="30"/>
          <w:szCs w:val="30"/>
        </w:rPr>
        <w:t>一是进一步做好中医康复服务，更新艾灸仪、多功能通络治疗仪、颈腰椎多功能牵引床、中药熏蒸治疗仪等多种特色中医设备，开展中药、针灸、推拿、火罐、刮痧、熏洗等中医理疗服务项目。二是参与分级诊疗。形成基层首诊、双向转诊、急慢分治、上下联动有序的就医格局，缓解百姓就医难、看病贵的困难，真正使优质资源下沉至基层。</w:t>
      </w:r>
    </w:p>
    <w:p>
      <w:pPr>
        <w:rPr>
          <w:rFonts w:ascii="仿宋" w:hAnsi="仿宋" w:eastAsia="仿宋" w:cs="仿宋"/>
          <w:sz w:val="30"/>
          <w:szCs w:val="30"/>
        </w:rPr>
      </w:pPr>
      <w:r>
        <w:rPr>
          <w:rFonts w:hint="eastAsia" w:ascii="仿宋" w:hAnsi="仿宋" w:eastAsia="仿宋" w:cs="仿宋"/>
          <w:b/>
          <w:bCs/>
          <w:sz w:val="30"/>
          <w:szCs w:val="30"/>
        </w:rPr>
        <w:t>3、做实基本公卫，促进医疗服务提升。</w:t>
      </w:r>
      <w:r>
        <w:rPr>
          <w:rFonts w:hint="eastAsia" w:ascii="仿宋" w:hAnsi="仿宋" w:eastAsia="仿宋" w:cs="仿宋"/>
          <w:sz w:val="30"/>
          <w:szCs w:val="30"/>
        </w:rPr>
        <w:t>我院组建10支由党员带队的家庭医生签约服务团队，提供签约履约服务。全年共计签约31304人 ，贫困人口和计划生育特扶家庭签约率100%。居民健康档案累计建档64880人，管理率89.91%。开展公众健康咨询活动9次，健康教育宣传189次，健康教育知识讲座180次，公民健康素养66条巡讲4次，发放宣传资料24000份。通过宣传教育，从很大程度上改变了一些群众的不良习惯，真正做到了疾病从预防开始。辖区内0-6岁儿童4082人，管理孕妇172人、产妇281人。较好地完成了全年妇幼保健工作任务。65岁以上老年人建档8217人，体检率72.13%。管理高血压患者6304人，2型糖尿病患者2154人，严重精神障碍患者329人，结核病患者43人，严格按照要求上门进行随访服务。年度上报传染病129例，报告率、及时率、准确率100%，全年无传染病流行及爆发病例。基础疫苗接种率100%，非免疫规划疫苗有序开展，全年无接种事故发生。</w:t>
      </w:r>
    </w:p>
    <w:p>
      <w:pPr>
        <w:rPr>
          <w:sz w:val="32"/>
          <w:szCs w:val="32"/>
        </w:rPr>
      </w:pPr>
    </w:p>
    <w:p>
      <w:pPr>
        <w:spacing w:line="560" w:lineRule="exact"/>
        <w:ind w:firstLine="602" w:firstLineChars="200"/>
        <w:rPr>
          <w:rFonts w:ascii="仿宋" w:hAnsi="仿宋" w:eastAsia="仿宋" w:cs="仿宋"/>
          <w:sz w:val="30"/>
          <w:szCs w:val="30"/>
        </w:rPr>
      </w:pPr>
      <w:r>
        <w:rPr>
          <w:rFonts w:hint="eastAsia" w:ascii="仿宋" w:hAnsi="仿宋" w:eastAsia="仿宋" w:cs="仿宋"/>
          <w:b/>
          <w:bCs/>
          <w:sz w:val="30"/>
          <w:szCs w:val="30"/>
        </w:rPr>
        <w:t>4、坚定信心，科学布局疫情防控。</w:t>
      </w:r>
      <w:r>
        <w:rPr>
          <w:rFonts w:hint="eastAsia" w:ascii="仿宋" w:hAnsi="仿宋" w:eastAsia="仿宋" w:cs="仿宋"/>
          <w:sz w:val="30"/>
          <w:szCs w:val="30"/>
        </w:rPr>
        <w:t>2020年新冠肺炎疫情发生以来，我院在区卫健局的正确领导下，以党建为统领，全体干职工积极投身疫情防控工作。第一时间设立预检分诊、发热门诊，24小时轮班值守，严格执行发热病人接待筛查流程，认真落实发热病人登记报告制度。为所有到院患者及家属免费发放口罩、发放消毒液等；积极参加卡点的疫情防控，圆满完成上级赋予的使命。</w:t>
      </w:r>
    </w:p>
    <w:p>
      <w:pPr>
        <w:spacing w:line="600" w:lineRule="atLeast"/>
        <w:ind w:firstLine="600" w:firstLineChars="200"/>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四、存在的问题及原因分析</w:t>
      </w:r>
    </w:p>
    <w:p>
      <w:pPr>
        <w:spacing w:line="600" w:lineRule="atLeast"/>
        <w:ind w:firstLine="600" w:firstLineChars="200"/>
        <w:rPr>
          <w:rFonts w:ascii="仿宋" w:hAnsi="仿宋" w:eastAsia="仿宋" w:cs="仿宋"/>
          <w:sz w:val="30"/>
          <w:szCs w:val="30"/>
        </w:rPr>
      </w:pPr>
      <w:r>
        <w:rPr>
          <w:rFonts w:hint="eastAsia" w:ascii="仿宋" w:hAnsi="仿宋" w:eastAsia="仿宋" w:cs="仿宋"/>
          <w:sz w:val="30"/>
          <w:szCs w:val="30"/>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numPr>
          <w:ilvl w:val="0"/>
          <w:numId w:val="3"/>
        </w:numPr>
        <w:spacing w:line="600" w:lineRule="atLeast"/>
        <w:ind w:firstLine="600" w:firstLineChars="200"/>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下一步改进措施</w:t>
      </w:r>
    </w:p>
    <w:p>
      <w:pPr>
        <w:spacing w:line="600" w:lineRule="atLeast"/>
        <w:ind w:firstLine="600" w:firstLineChars="200"/>
      </w:pPr>
      <w:r>
        <w:rPr>
          <w:rFonts w:hint="eastAsia" w:ascii="仿宋" w:hAnsi="仿宋" w:eastAsia="仿宋" w:cs="仿宋"/>
          <w:sz w:val="30"/>
          <w:szCs w:val="30"/>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rPr>
      </w:pP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附件：2021年度部门整体支出绩效自评指标计分表</w:t>
      </w:r>
    </w:p>
    <w:p>
      <w:pPr>
        <w:spacing w:beforeLines="50" w:afterLines="50" w:line="600" w:lineRule="exact"/>
        <w:rPr>
          <w:rFonts w:ascii="黑体" w:hAnsi="黑体" w:eastAsia="黑体" w:cs="黑体"/>
          <w:sz w:val="30"/>
          <w:szCs w:val="30"/>
        </w:rPr>
      </w:pPr>
      <w:bookmarkStart w:id="0" w:name="_GoBack"/>
      <w:bookmarkEnd w:id="0"/>
    </w:p>
    <w:p>
      <w:pPr>
        <w:spacing w:beforeLines="50" w:afterLines="50" w:line="600" w:lineRule="exact"/>
        <w:ind w:firstLine="600" w:firstLineChars="200"/>
        <w:jc w:val="center"/>
        <w:rPr>
          <w:rFonts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hAns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vAlign w:val="center"/>
          </w:tcPr>
          <w:p>
            <w:pPr>
              <w:tabs>
                <w:tab w:val="left" w:pos="761"/>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96</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spacing w:line="600" w:lineRule="exact"/>
        <w:ind w:firstLine="600" w:firstLineChars="200"/>
        <w:jc w:val="left"/>
        <w:rPr>
          <w:rFonts w:ascii="仿宋" w:hAnsi="仿宋" w:eastAsia="仿宋" w:cs="仿宋"/>
          <w:color w:val="000000"/>
          <w:kern w:val="0"/>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p>
    <w:p>
      <w:pPr>
        <w:spacing w:line="600" w:lineRule="exact"/>
        <w:ind w:firstLine="1440" w:firstLineChars="200"/>
        <w:rPr>
          <w:sz w:val="72"/>
          <w:szCs w:val="72"/>
        </w:rPr>
      </w:pPr>
    </w:p>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35F0"/>
    <w:multiLevelType w:val="singleLevel"/>
    <w:tmpl w:val="48DC35F0"/>
    <w:lvl w:ilvl="0" w:tentative="0">
      <w:start w:val="5"/>
      <w:numFmt w:val="chineseCounting"/>
      <w:suff w:val="nothing"/>
      <w:lvlText w:val="%1、"/>
      <w:lvlJc w:val="left"/>
      <w:rPr>
        <w:rFonts w:hint="eastAsia"/>
      </w:rPr>
    </w:lvl>
  </w:abstractNum>
  <w:abstractNum w:abstractNumId="1">
    <w:nsid w:val="66EA510C"/>
    <w:multiLevelType w:val="singleLevel"/>
    <w:tmpl w:val="66EA510C"/>
    <w:lvl w:ilvl="0" w:tentative="0">
      <w:start w:val="2"/>
      <w:numFmt w:val="chineseCounting"/>
      <w:suff w:val="nothing"/>
      <w:lvlText w:val="（%1）"/>
      <w:lvlJc w:val="left"/>
      <w:rPr>
        <w:rFonts w:hint="eastAsia"/>
      </w:rPr>
    </w:lvl>
  </w:abstractNum>
  <w:abstractNum w:abstractNumId="2">
    <w:nsid w:val="77D0BAC8"/>
    <w:multiLevelType w:val="singleLevel"/>
    <w:tmpl w:val="77D0BAC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7A4C01E4"/>
    <w:rsid w:val="71F959DC"/>
    <w:rsid w:val="7A4C0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600" w:lineRule="exact"/>
      <w:ind w:firstLine="640" w:firstLineChars="200"/>
    </w:pPr>
    <w:rPr>
      <w:rFonts w:hint="eastAsia" w:ascii="仿宋_GB2312" w:hAnsi="Times New Roman" w:eastAsia="仿宋_GB2312"/>
      <w:sz w:val="32"/>
      <w:szCs w:val="24"/>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6">
    <w:name w:val="_Style 5"/>
    <w:basedOn w:val="1"/>
    <w:qFormat/>
    <w:uiPriority w:val="0"/>
    <w:pPr>
      <w:ind w:firstLine="200" w:firstLineChars="200"/>
    </w:pPr>
    <w:rPr>
      <w:rFonts w:ascii="Times New Roman"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5691</Words>
  <Characters>5921</Characters>
  <Lines>0</Lines>
  <Paragraphs>0</Paragraphs>
  <TotalTime>0</TotalTime>
  <ScaleCrop>false</ScaleCrop>
  <LinksUpToDate>false</LinksUpToDate>
  <CharactersWithSpaces>5951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2023-07-06T03:54:00Z</dcterms:created>
  <dc:creator>一一</dc:creator>
  <cp:lastModifiedBy>admin-3</cp:lastModifiedBy>
  <dcterms:modified xsi:type="dcterms:W3CDTF">2023-07-07T06:11:31Z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0633C061228640B7BFA3C0B4AE5748CA_11</vt:lpwstr>
  </property>
</Properties>
</file>