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p>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bookmarkStart w:id="0" w:name="_GoBack"/>
      <w:bookmarkEnd w:id="0"/>
      <w:r>
        <w:rPr>
          <w:rFonts w:hint="eastAsia" w:ascii="黑体" w:hAnsi="黑体" w:eastAsia="黑体" w:cs="黑体"/>
          <w:color w:val="333333"/>
          <w:kern w:val="0"/>
          <w:sz w:val="36"/>
          <w:szCs w:val="36"/>
          <w:shd w:val="clear" w:color="auto" w:fill="FFFFFF"/>
          <w:lang w:bidi="ar"/>
        </w:rPr>
        <w:t>益阳市赫山区</w:t>
      </w:r>
      <w:r>
        <w:rPr>
          <w:rFonts w:hint="eastAsia" w:ascii="黑体" w:hAnsi="黑体" w:eastAsia="黑体" w:cs="黑体"/>
          <w:color w:val="333333"/>
          <w:kern w:val="0"/>
          <w:sz w:val="36"/>
          <w:szCs w:val="36"/>
          <w:shd w:val="clear" w:color="auto" w:fill="FFFFFF"/>
          <w:lang w:eastAsia="zh-CN" w:bidi="ar"/>
        </w:rPr>
        <w:t>欧江岔镇中心卫生院</w:t>
      </w:r>
      <w:r>
        <w:rPr>
          <w:rFonts w:hint="eastAsia" w:ascii="黑体" w:hAnsi="黑体" w:eastAsia="黑体" w:cs="黑体"/>
          <w:color w:val="333333"/>
          <w:kern w:val="0"/>
          <w:sz w:val="36"/>
          <w:szCs w:val="36"/>
          <w:shd w:val="clear" w:color="auto" w:fill="FFFFFF"/>
          <w:lang w:bidi="ar"/>
        </w:rPr>
        <w:t>2021年度部门</w:t>
      </w:r>
    </w:p>
    <w:p>
      <w:pPr>
        <w:shd w:val="clear" w:color="auto" w:fill="FFFFFF"/>
        <w:spacing w:line="600" w:lineRule="exact"/>
        <w:jc w:val="center"/>
        <w:rPr>
          <w:rFonts w:hint="eastAsia"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lang w:bidi="ar"/>
        </w:rPr>
        <w:t>整体支出绩效评价报告</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eastAsia="zh-CN" w:bidi="ar"/>
        </w:rPr>
        <w:t>益阳市赫山区欧江岔镇中心卫生院</w:t>
      </w:r>
      <w:r>
        <w:rPr>
          <w:rFonts w:hint="eastAsia" w:ascii="仿宋" w:hAnsi="仿宋" w:eastAsia="仿宋" w:cs="仿宋"/>
          <w:color w:val="333333"/>
          <w:kern w:val="0"/>
          <w:sz w:val="30"/>
          <w:szCs w:val="30"/>
          <w:shd w:val="clear" w:color="auto" w:fill="FFFFFF"/>
          <w:lang w:bidi="ar"/>
        </w:rPr>
        <w:t>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负责本辖区的卫生工作、法律法规、政策的贯彻，卫生事业发展规划和工作计划的制定，为辖区居民提供13类基本公共卫生服务;</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负责辖区突发公共卫生事件的报告，并依据上级部门要求组织实施处置等工作;</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为辖区提供基本医疗服务，组织实施医改、农合、妇幼等相关工作</w:t>
      </w:r>
      <w:r>
        <w:rPr>
          <w:rFonts w:hint="eastAsia" w:ascii="仿宋" w:hAnsi="仿宋" w:eastAsia="仿宋" w:cs="仿宋"/>
          <w:sz w:val="30"/>
          <w:szCs w:val="30"/>
          <w:lang w:val="en-US" w:eastAsia="zh-CN"/>
        </w:rPr>
        <w:t>;</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负责本辖区卫生信息统计、分析、上报；</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负责对辖区村级卫生组织和乡村医生的业务指导培训；</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负责卫生行政主管部门委托的相关业务或事项，落实上级卫生主管部门下达的其他工作；</w:t>
      </w:r>
    </w:p>
    <w:p>
      <w:pPr>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承办上级主管部门及政府交办的其他事项。</w:t>
      </w:r>
    </w:p>
    <w:p>
      <w:pPr>
        <w:spacing w:line="560" w:lineRule="exact"/>
        <w:ind w:firstLine="602"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shd w:val="clear" w:color="auto" w:fill="FFFFFF"/>
        <w:spacing w:line="600" w:lineRule="exact"/>
        <w:ind w:firstLine="600" w:firstLineChars="200"/>
        <w:jc w:val="left"/>
        <w:rPr>
          <w:rFonts w:hint="default" w:ascii="仿宋_GB2312" w:eastAsia="仿宋_GB2312"/>
          <w:sz w:val="30"/>
          <w:szCs w:val="30"/>
          <w:lang w:val="en-US" w:eastAsia="zh-CN"/>
        </w:rPr>
      </w:pPr>
      <w:r>
        <w:rPr>
          <w:rFonts w:hint="eastAsia" w:ascii="仿宋_GB2312" w:eastAsia="仿宋_GB2312"/>
          <w:sz w:val="30"/>
          <w:szCs w:val="30"/>
        </w:rPr>
        <w:t>设有中医科、内科、外科、妇科、</w:t>
      </w:r>
      <w:r>
        <w:rPr>
          <w:rFonts w:hint="eastAsia" w:ascii="仿宋_GB2312" w:eastAsia="仿宋_GB2312"/>
          <w:sz w:val="30"/>
          <w:szCs w:val="30"/>
          <w:lang w:eastAsia="zh-CN"/>
        </w:rPr>
        <w:t>五官</w:t>
      </w:r>
      <w:r>
        <w:rPr>
          <w:rFonts w:hint="eastAsia" w:ascii="仿宋_GB2312" w:eastAsia="仿宋_GB2312"/>
          <w:sz w:val="30"/>
          <w:szCs w:val="30"/>
        </w:rPr>
        <w:t>科、检验科、心电图室、B超室、放射科等十多个临床科室，拥有CT机、DR机、彩色B超、全自动生化仪</w:t>
      </w:r>
      <w:r>
        <w:rPr>
          <w:rFonts w:hint="eastAsia" w:ascii="仿宋_GB2312" w:eastAsia="仿宋_GB2312"/>
          <w:sz w:val="30"/>
          <w:szCs w:val="30"/>
          <w:lang w:eastAsia="zh-CN"/>
        </w:rPr>
        <w:t>等大型设备，</w:t>
      </w:r>
      <w:r>
        <w:rPr>
          <w:rFonts w:hint="eastAsia" w:ascii="仿宋_GB2312" w:eastAsia="仿宋_GB2312"/>
          <w:sz w:val="30"/>
          <w:szCs w:val="30"/>
        </w:rPr>
        <w:t>病房设施齐全。干职工</w:t>
      </w:r>
      <w:r>
        <w:rPr>
          <w:rFonts w:hint="eastAsia" w:ascii="仿宋_GB2312" w:eastAsia="仿宋_GB2312"/>
          <w:sz w:val="30"/>
          <w:szCs w:val="30"/>
          <w:lang w:val="en-US" w:eastAsia="zh-CN"/>
        </w:rPr>
        <w:t>94</w:t>
      </w:r>
      <w:r>
        <w:rPr>
          <w:rFonts w:hint="eastAsia" w:ascii="仿宋_GB2312" w:eastAsia="仿宋_GB2312"/>
          <w:sz w:val="30"/>
          <w:szCs w:val="30"/>
        </w:rPr>
        <w:t>人，</w:t>
      </w:r>
      <w:r>
        <w:rPr>
          <w:rFonts w:hint="eastAsia" w:ascii="仿宋_GB2312" w:eastAsia="仿宋_GB2312"/>
          <w:sz w:val="30"/>
          <w:szCs w:val="30"/>
          <w:lang w:eastAsia="zh-CN"/>
        </w:rPr>
        <w:t>在编职工</w:t>
      </w:r>
      <w:r>
        <w:rPr>
          <w:rFonts w:hint="eastAsia" w:ascii="仿宋_GB2312" w:eastAsia="仿宋_GB2312"/>
          <w:sz w:val="30"/>
          <w:szCs w:val="30"/>
          <w:lang w:val="en-US" w:eastAsia="zh-CN"/>
        </w:rPr>
        <w:t>41人，临时工53人，退休职工51人。</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1865</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fill="FFFFFF"/>
          <w:lang w:val="en-US" w:eastAsia="zh-CN" w:bidi="ar"/>
        </w:rPr>
        <w:t>其中人员经费支出774万元，占基本支出的42%，公用经费支出 1091万元,占基本支出的58%。</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jc w:val="both"/>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1、业务工作完成情况。</w:t>
      </w:r>
      <w:r>
        <w:rPr>
          <w:rFonts w:hint="eastAsia" w:ascii="仿宋" w:hAnsi="仿宋" w:eastAsia="仿宋" w:cs="仿宋"/>
          <w:color w:val="auto"/>
          <w:kern w:val="2"/>
          <w:sz w:val="30"/>
          <w:szCs w:val="30"/>
          <w:lang w:val="en-US" w:eastAsia="zh-CN" w:bidi="ar-SA"/>
        </w:rPr>
        <w:t>2021年度业务指标完成情况：门诊人次 15687人次，住院人次4253人次，。经济指标完成情况：全年完成经济收入1903万元，其中门诊收入 281万元，住院收入844 万元。全年支出1865万元，结余38万元。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2、做好“点面”工作，提升服务能力。</w:t>
      </w:r>
      <w:r>
        <w:rPr>
          <w:rFonts w:hint="eastAsia" w:ascii="仿宋" w:hAnsi="仿宋" w:eastAsia="仿宋" w:cs="仿宋"/>
          <w:color w:val="auto"/>
          <w:kern w:val="2"/>
          <w:sz w:val="30"/>
          <w:szCs w:val="30"/>
          <w:lang w:val="en-US" w:eastAsia="zh-CN" w:bidi="ar-SA"/>
        </w:rPr>
        <w:t>一是进一步做好中医康复服务，更新艾灸仪、多功能通络治疗仪、颈腰椎多功能牵引床、中药熏蒸治疗仪等多种特色中医设备，开展中药、针灸、推拿、火罐、熏洗等中医理疗服务项目。二是参与分级诊疗。形成基层首诊、双向转诊、急慢分治、上下联动有序的就医格局，缓解百姓就医难、看病贵的困难，真正使优质资源下沉至基层。</w:t>
      </w:r>
    </w:p>
    <w:p>
      <w:pPr>
        <w:spacing w:line="560" w:lineRule="exact"/>
        <w:ind w:firstLine="602" w:firstLineChars="200"/>
        <w:rPr>
          <w:rFonts w:hint="default"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3、做实基本公卫，促进医疗服务提升。</w:t>
      </w:r>
      <w:r>
        <w:rPr>
          <w:rFonts w:hint="eastAsia" w:ascii="仿宋" w:hAnsi="仿宋" w:eastAsia="仿宋" w:cs="仿宋"/>
          <w:color w:val="auto"/>
          <w:kern w:val="2"/>
          <w:sz w:val="30"/>
          <w:szCs w:val="30"/>
          <w:lang w:val="en-US" w:eastAsia="zh-CN" w:bidi="ar-SA"/>
        </w:rPr>
        <w:t>我院对家庭医生签约服务团队进行了优化整合，成立了由15名业务骨干组成的5个家庭医生签约服务团队，每个团队有两名1名临床医生、1名执业护师、1名公卫人员，团队服务能力更强、更专业、更有延续性。对辖区进行了责任分包，通过开展大型义诊、巡诊、入户、电话随访、健康咨询、健康指导等多种方式进行签约履约服务。2021年我院为建立健康档案31147份，建档率93.2%，全镇65岁以上老人3157人进行了体检，对207名孕产妇进行了管理，对2080名0-6岁儿童，3367名高血压病人，1056名糖尿病病人，152名重性精神病进行了积极健康管理。通过满意度调查，医院好评数据较往年有较大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2"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4、坚定信心，科学布局疫情防控。</w:t>
      </w:r>
      <w:r>
        <w:rPr>
          <w:rFonts w:hint="eastAsia" w:ascii="仿宋" w:hAnsi="仿宋" w:eastAsia="仿宋" w:cs="仿宋"/>
          <w:color w:val="auto"/>
          <w:kern w:val="2"/>
          <w:sz w:val="30"/>
          <w:szCs w:val="30"/>
          <w:lang w:val="en-US" w:eastAsia="zh-CN" w:bidi="ar-SA"/>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4ED13F3F"/>
    <w:rsid w:val="087023B6"/>
    <w:rsid w:val="08731338"/>
    <w:rsid w:val="09AC73ED"/>
    <w:rsid w:val="12AF3986"/>
    <w:rsid w:val="15C86BC6"/>
    <w:rsid w:val="15E10D2D"/>
    <w:rsid w:val="1BC34EFF"/>
    <w:rsid w:val="21CD28FA"/>
    <w:rsid w:val="2DFC3CC3"/>
    <w:rsid w:val="3A514176"/>
    <w:rsid w:val="4800556C"/>
    <w:rsid w:val="4AF1300F"/>
    <w:rsid w:val="4ED13F3F"/>
    <w:rsid w:val="506E32A9"/>
    <w:rsid w:val="6EEB3A08"/>
    <w:rsid w:val="701F48E0"/>
    <w:rsid w:val="7A26487D"/>
    <w:rsid w:val="7AE973AC"/>
    <w:rsid w:val="7DAF6F91"/>
    <w:rsid w:val="7E372D8F"/>
    <w:rsid w:val="7E62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2023-07-21T03:20:00Z</dcterms:created>
  <dc:creator>Administrator</dc:creator>
  <cp:lastModifiedBy>admin-3</cp:lastModifiedBy>
  <cp:lastPrinted>2023-07-21T04:39:00Z</cp:lastPrinted>
  <dcterms:modified xsi:type="dcterms:W3CDTF">2023-07-21T08:12:37Z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09CE40FD7B6447EE9A29EBDC3AC3E559_11</vt:lpwstr>
  </property>
</Properties>
</file>