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益阳市赫山区八字哨镇卫生院</w:t>
      </w:r>
      <w:bookmarkStart w:id="0" w:name="_GoBack"/>
      <w:bookmarkEnd w:id="0"/>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赫山区八字哨镇卫生院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0"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设有全科、中医科、内科、外科、妇科、口腔科、康复理疗科、眼科、检验科、心电图室、B超室、放射科等十多个临床科室，拥有CT机、DR机、彩色B超、动态血压、动态心电图、全自动生化仪和血液分析仪、心电监护仪、经颅多普勒、病房设施齐全。</w:t>
      </w:r>
      <w:r>
        <w:rPr>
          <w:rFonts w:hint="eastAsia" w:ascii="仿宋_GB2312" w:hAnsi="宋体" w:eastAsia="仿宋_GB2312" w:cs="Times New Roman"/>
          <w:sz w:val="30"/>
          <w:szCs w:val="30"/>
        </w:rPr>
        <w:t>全院在职职工人数</w:t>
      </w:r>
      <w:r>
        <w:rPr>
          <w:rFonts w:hint="eastAsia" w:ascii="仿宋_GB2312" w:hAnsi="宋体" w:eastAsia="仿宋_GB2312" w:cs="Times New Roman"/>
          <w:sz w:val="30"/>
          <w:szCs w:val="30"/>
          <w:lang w:val="en-US" w:eastAsia="zh-CN"/>
        </w:rPr>
        <w:t>39</w:t>
      </w:r>
      <w:r>
        <w:rPr>
          <w:rFonts w:hint="eastAsia" w:ascii="仿宋_GB2312" w:hAnsi="宋体" w:eastAsia="仿宋_GB2312" w:cs="Times New Roman"/>
          <w:sz w:val="30"/>
          <w:szCs w:val="30"/>
        </w:rPr>
        <w:t>人，其中在职在编</w:t>
      </w:r>
      <w:r>
        <w:rPr>
          <w:rFonts w:hint="eastAsia" w:ascii="仿宋_GB2312" w:hAnsi="宋体" w:eastAsia="仿宋_GB2312" w:cs="Times New Roman"/>
          <w:sz w:val="30"/>
          <w:szCs w:val="30"/>
          <w:lang w:val="en-US" w:eastAsia="zh-CN"/>
        </w:rPr>
        <w:t>15</w:t>
      </w:r>
      <w:r>
        <w:rPr>
          <w:rFonts w:hint="eastAsia" w:ascii="仿宋_GB2312" w:hAnsi="宋体" w:eastAsia="仿宋_GB2312" w:cs="Times New Roman"/>
          <w:sz w:val="30"/>
          <w:szCs w:val="30"/>
        </w:rPr>
        <w:t>人</w:t>
      </w:r>
      <w:r>
        <w:rPr>
          <w:rFonts w:hint="eastAsia" w:ascii="仿宋_GB2312" w:hAnsi="宋体" w:eastAsia="仿宋_GB2312" w:cs="Times New Roman"/>
          <w:sz w:val="30"/>
          <w:szCs w:val="30"/>
          <w:lang w:eastAsia="zh-CN"/>
        </w:rPr>
        <w:t>（其中诊所</w:t>
      </w:r>
      <w:r>
        <w:rPr>
          <w:rFonts w:hint="eastAsia" w:ascii="仿宋_GB2312" w:hAnsi="宋体" w:eastAsia="仿宋_GB2312" w:cs="Times New Roman"/>
          <w:sz w:val="30"/>
          <w:szCs w:val="30"/>
          <w:lang w:val="en-US" w:eastAsia="zh-CN"/>
        </w:rPr>
        <w:t>2人，停薪留职3人</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临聘人员</w:t>
      </w:r>
      <w:r>
        <w:rPr>
          <w:rFonts w:hint="eastAsia" w:ascii="仿宋_GB2312" w:hAnsi="宋体" w:eastAsia="仿宋_GB2312" w:cs="Times New Roman"/>
          <w:sz w:val="30"/>
          <w:szCs w:val="30"/>
          <w:lang w:val="en-US" w:eastAsia="zh-CN"/>
        </w:rPr>
        <w:t>28</w:t>
      </w:r>
      <w:r>
        <w:rPr>
          <w:rFonts w:hint="eastAsia" w:ascii="仿宋_GB2312" w:hAnsi="宋体" w:eastAsia="仿宋_GB2312" w:cs="Times New Roman"/>
          <w:sz w:val="30"/>
          <w:szCs w:val="30"/>
        </w:rPr>
        <w:t>人</w:t>
      </w:r>
      <w:r>
        <w:rPr>
          <w:rFonts w:hint="eastAsia" w:ascii="仿宋_GB2312" w:hAnsi="宋体" w:eastAsia="仿宋_GB2312" w:cs="Times New Roman"/>
          <w:sz w:val="30"/>
          <w:szCs w:val="30"/>
          <w:lang w:eastAsia="zh-CN"/>
        </w:rPr>
        <w:t>（其中临聘人员</w:t>
      </w:r>
      <w:r>
        <w:rPr>
          <w:rFonts w:hint="eastAsia" w:ascii="仿宋_GB2312" w:hAnsi="宋体" w:eastAsia="仿宋_GB2312" w:cs="Times New Roman"/>
          <w:sz w:val="30"/>
          <w:szCs w:val="30"/>
          <w:lang w:val="en-US" w:eastAsia="zh-CN"/>
        </w:rPr>
        <w:t>27人，计内临时工1人</w:t>
      </w:r>
      <w:r>
        <w:rPr>
          <w:rFonts w:hint="eastAsia" w:ascii="仿宋_GB2312" w:hAnsi="宋体" w:eastAsia="仿宋_GB2312" w:cs="Times New Roman"/>
          <w:sz w:val="30"/>
          <w:szCs w:val="30"/>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w:t>
      </w:r>
      <w:r>
        <w:rPr>
          <w:rFonts w:hint="eastAsia" w:ascii="仿宋" w:hAnsi="仿宋" w:eastAsia="仿宋" w:cs="仿宋"/>
          <w:color w:val="auto"/>
          <w:kern w:val="2"/>
          <w:sz w:val="30"/>
          <w:szCs w:val="30"/>
          <w:lang w:val="en-US" w:eastAsia="zh-CN" w:bidi="ar-SA"/>
        </w:rPr>
        <w:t>2021年度基本支出总计391.43万元，与上年相比，减少21.3万元，减少5.16%。</w:t>
      </w:r>
      <w:r>
        <w:rPr>
          <w:rFonts w:hint="eastAsia" w:ascii="仿宋" w:hAnsi="仿宋" w:eastAsia="仿宋" w:cs="仿宋"/>
          <w:i w:val="0"/>
          <w:caps w:val="0"/>
          <w:color w:val="333333"/>
          <w:spacing w:val="0"/>
          <w:kern w:val="0"/>
          <w:sz w:val="30"/>
          <w:szCs w:val="30"/>
          <w:shd w:val="clear" w:fill="FFFFFF"/>
          <w:lang w:val="en-US" w:eastAsia="zh-CN" w:bidi="ar"/>
        </w:rPr>
        <w:t>其中人员经费支出251.57万元，占基本支出的 64.27%；公用经费支出139.86万元,占基本支出的35.73%。</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2021年度业务指标完成情况：门诊人次11142人次，住院人次1527人次，床位使用率96%。经济指标完成情况：全年完成经济收入941.58万元，其中门诊收入205.62万元，住院收入290.25万元。全年支出948.14万元。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中心对家庭医生签约服务团队进行了优化整合，成立了由7名业务骨干组成的5个家庭医生签约服务团队，每个团队有1名执业护师、1名公卫人员，团队服务能力更强、更专业、更有延续性。对辖区进行了责任分包，通过开展大型义诊、巡诊、入户、电话随访、健康咨询、健康指导等多种方式进行签约履约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pStyle w:val="2"/>
        <w:rPr>
          <w:rFonts w:hint="eastAsia"/>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lang w:val="en-US" w:eastAsia="zh-CN"/>
              </w:rPr>
              <w:t>9</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eastAsiaTheme="minorEastAsia"/>
                <w:lang w:eastAsia="zh-CN"/>
              </w:rPr>
            </w:pPr>
            <w:r>
              <w:rPr>
                <w:rFonts w:hint="eastAsia" w:ascii="宋体" w:cs="宋体"/>
              </w:rPr>
              <w:t>9</w:t>
            </w: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p>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p>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sectPr>
      <w:pgSz w:w="11906" w:h="16838"/>
      <w:pgMar w:top="1134" w:right="1531" w:bottom="1134"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79F778D4"/>
    <w:rsid w:val="17ED4A8D"/>
    <w:rsid w:val="79F7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5465</Words>
  <Characters>5632</Characters>
  <Lines>0</Lines>
  <Paragraphs>0</Paragraphs>
  <TotalTime>1</TotalTime>
  <ScaleCrop>false</ScaleCrop>
  <LinksUpToDate>false</LinksUpToDate>
  <CharactersWithSpaces>5662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2023-07-06T07:10:00Z</dcterms:created>
  <dc:creator>一一</dc:creator>
  <cp:lastModifiedBy>admin-3</cp:lastModifiedBy>
  <dcterms:modified xsi:type="dcterms:W3CDTF">2023-07-07T06:42:19Z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B735B09344E649C599032B45C9608F41_11</vt:lpwstr>
  </property>
</Properties>
</file>