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left"/>
        <w:rPr>
          <w:rFonts w:hint="eastAsia" w:ascii="仿宋" w:hAnsi="仿宋" w:eastAsia="仿宋" w:cs="仿宋"/>
          <w:sz w:val="30"/>
          <w:szCs w:val="30"/>
        </w:rPr>
      </w:pPr>
      <w:r>
        <w:rPr>
          <w:rFonts w:hint="eastAsia" w:ascii="仿宋" w:hAnsi="仿宋" w:eastAsia="仿宋" w:cs="仿宋"/>
          <w:color w:val="333333"/>
          <w:kern w:val="0"/>
          <w:sz w:val="30"/>
          <w:szCs w:val="30"/>
          <w:shd w:val="clear" w:color="auto" w:fill="FFFFFF"/>
          <w:lang w:bidi="ar"/>
        </w:rPr>
        <w:t>附件一：</w:t>
      </w:r>
    </w:p>
    <w:p>
      <w:pPr>
        <w:shd w:val="clear" w:color="auto" w:fill="FFFFFF"/>
        <w:spacing w:line="600" w:lineRule="exact"/>
        <w:jc w:val="center"/>
        <w:rPr>
          <w:rFonts w:hint="eastAsia" w:ascii="黑体" w:hAnsi="黑体" w:eastAsia="黑体" w:cs="黑体"/>
          <w:color w:val="333333"/>
          <w:kern w:val="0"/>
          <w:sz w:val="36"/>
          <w:szCs w:val="36"/>
          <w:shd w:val="clear" w:color="auto" w:fill="FFFFFF"/>
          <w:lang w:bidi="ar"/>
        </w:rPr>
      </w:pPr>
      <w:r>
        <w:rPr>
          <w:rFonts w:hint="eastAsia" w:ascii="黑体" w:hAnsi="黑体" w:eastAsia="黑体" w:cs="黑体"/>
          <w:color w:val="333333"/>
          <w:kern w:val="0"/>
          <w:sz w:val="36"/>
          <w:szCs w:val="36"/>
          <w:shd w:val="clear" w:color="auto" w:fill="FFFFFF"/>
          <w:lang w:bidi="ar"/>
        </w:rPr>
        <w:t>益阳市赫山区</w:t>
      </w:r>
      <w:r>
        <w:rPr>
          <w:rFonts w:hint="eastAsia" w:ascii="黑体" w:hAnsi="黑体" w:eastAsia="黑体" w:cs="黑体"/>
          <w:color w:val="333333"/>
          <w:kern w:val="0"/>
          <w:sz w:val="36"/>
          <w:szCs w:val="36"/>
          <w:shd w:val="clear" w:color="auto" w:fill="FFFFFF"/>
          <w:lang w:eastAsia="zh-CN" w:bidi="ar"/>
        </w:rPr>
        <w:t>沧水铺镇中心卫生院</w:t>
      </w:r>
      <w:r>
        <w:rPr>
          <w:rFonts w:hint="eastAsia" w:ascii="黑体" w:hAnsi="黑体" w:eastAsia="黑体" w:cs="黑体"/>
          <w:color w:val="333333"/>
          <w:kern w:val="0"/>
          <w:sz w:val="36"/>
          <w:szCs w:val="36"/>
          <w:shd w:val="clear" w:color="auto" w:fill="FFFFFF"/>
          <w:lang w:bidi="ar"/>
        </w:rPr>
        <w:t>2021年度部门</w:t>
      </w:r>
    </w:p>
    <w:p>
      <w:pPr>
        <w:shd w:val="clear" w:color="auto" w:fill="FFFFFF"/>
        <w:spacing w:line="600" w:lineRule="exact"/>
        <w:jc w:val="center"/>
        <w:rPr>
          <w:rFonts w:hint="eastAsia" w:ascii="黑体" w:hAnsi="黑体" w:eastAsia="黑体" w:cs="黑体"/>
          <w:color w:val="333333"/>
          <w:sz w:val="36"/>
          <w:szCs w:val="36"/>
        </w:rPr>
      </w:pPr>
      <w:bookmarkStart w:id="0" w:name="_GoBack"/>
      <w:r>
        <w:rPr>
          <w:rFonts w:hint="eastAsia" w:ascii="黑体" w:hAnsi="黑体" w:eastAsia="黑体" w:cs="黑体"/>
          <w:color w:val="333333"/>
          <w:kern w:val="0"/>
          <w:sz w:val="36"/>
          <w:szCs w:val="36"/>
          <w:shd w:val="clear" w:color="auto" w:fill="FFFFFF"/>
          <w:lang w:bidi="ar"/>
        </w:rPr>
        <w:t>整体支出绩效评价报告</w:t>
      </w:r>
    </w:p>
    <w:bookmarkEnd w:id="0"/>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2021年，</w:t>
      </w:r>
      <w:r>
        <w:rPr>
          <w:rFonts w:hint="eastAsia" w:ascii="仿宋" w:hAnsi="仿宋" w:eastAsia="仿宋" w:cs="仿宋"/>
          <w:color w:val="333333"/>
          <w:kern w:val="0"/>
          <w:sz w:val="30"/>
          <w:szCs w:val="30"/>
          <w:shd w:val="clear" w:color="auto" w:fill="FFFFFF"/>
          <w:lang w:val="en-US" w:eastAsia="zh-CN" w:bidi="ar"/>
        </w:rPr>
        <w:t>沧水铺镇中心卫生院</w:t>
      </w:r>
      <w:r>
        <w:rPr>
          <w:rFonts w:hint="eastAsia" w:ascii="仿宋" w:hAnsi="仿宋" w:eastAsia="仿宋" w:cs="仿宋"/>
          <w:color w:val="333333"/>
          <w:kern w:val="0"/>
          <w:sz w:val="30"/>
          <w:szCs w:val="30"/>
          <w:shd w:val="clear" w:color="auto" w:fill="FFFFFF"/>
          <w:lang w:bidi="ar"/>
        </w:rPr>
        <w:t>在赫山区卫健局的正确领导和精心指导下，改革创新、团结奋进，以深化医药卫生体制改革为主线，以提升卫生健康服务质量为目标，团结奋进，扎实工作，较好地完成了全年工作目标任务。为加强财政支出管理，提高财政资金使用效益，根据《益阳市赫山区财政局关于做好2021年度预算绩效自评工作的通知》（益赫财绩〔2022〕1号）的文件要求，现将整体支出绩效评价报告如下：</w:t>
      </w:r>
    </w:p>
    <w:p>
      <w:pPr>
        <w:shd w:val="clear" w:color="auto" w:fill="FFFFFF"/>
        <w:spacing w:line="600" w:lineRule="exact"/>
        <w:ind w:firstLine="600" w:firstLineChars="200"/>
        <w:jc w:val="left"/>
        <w:rPr>
          <w:rFonts w:hint="eastAsia" w:ascii="黑体" w:hAnsi="黑体" w:eastAsia="黑体" w:cs="黑体"/>
          <w:bCs/>
          <w:color w:val="000000"/>
          <w:sz w:val="30"/>
          <w:szCs w:val="30"/>
        </w:rPr>
      </w:pPr>
      <w:r>
        <w:rPr>
          <w:rFonts w:hint="eastAsia" w:ascii="黑体" w:hAnsi="黑体" w:eastAsia="黑体" w:cs="黑体"/>
          <w:bCs/>
          <w:color w:val="000000"/>
          <w:kern w:val="0"/>
          <w:sz w:val="30"/>
          <w:szCs w:val="30"/>
          <w:shd w:val="clear" w:color="auto" w:fill="FFFFFF"/>
          <w:lang w:bidi="ar"/>
        </w:rPr>
        <w:t>一、部门基本情况</w:t>
      </w:r>
    </w:p>
    <w:p>
      <w:pPr>
        <w:spacing w:line="560" w:lineRule="exact"/>
        <w:ind w:firstLine="643" w:firstLineChars="200"/>
        <w:rPr>
          <w:rFonts w:hint="default" w:ascii="仿宋_GB2312" w:eastAsia="仿宋_GB2312"/>
          <w:b/>
          <w:bCs/>
          <w:sz w:val="32"/>
          <w:szCs w:val="32"/>
          <w:lang w:val="en-US"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一</w:t>
      </w: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部门职责</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负责本辖区的卫生工作、法律法规、政策的贯彻，卫生事业发展规划和工作计划的制定，为辖区居民提供13类基本公共卫生服务;</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负责辖区突发公共卫生事件的报告，并依据上级部门要求组织实施处置等工作;</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为辖区提供基本医疗服务，组织实施医改、农合、妇幼等相关工作</w:t>
      </w:r>
      <w:r>
        <w:rPr>
          <w:rFonts w:hint="eastAsia" w:ascii="仿宋" w:hAnsi="仿宋" w:eastAsia="仿宋" w:cs="仿宋"/>
          <w:sz w:val="30"/>
          <w:szCs w:val="30"/>
          <w:lang w:val="en-US" w:eastAsia="zh-CN"/>
        </w:rPr>
        <w:t>;</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负责本辖区卫生信息统计、分析、上报；</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负责对辖区村级卫生组织和乡村医生的业务指导培训；</w:t>
      </w:r>
    </w:p>
    <w:p>
      <w:pPr>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负责卫生行政主管部门委托的相关业务或事项，落实上级卫生主管部门下达的其他工作；</w:t>
      </w:r>
    </w:p>
    <w:p>
      <w:pPr>
        <w:pageBreakBefore w:val="0"/>
        <w:widowControl/>
        <w:kinsoku/>
        <w:wordWrap/>
        <w:overflowPunct/>
        <w:topLinePunct w:val="0"/>
        <w:bidi w:val="0"/>
        <w:snapToGrid/>
        <w:spacing w:line="60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承办上级主管部门及政府交办的其他事项。</w:t>
      </w:r>
    </w:p>
    <w:p>
      <w:pPr>
        <w:spacing w:line="560" w:lineRule="exact"/>
        <w:ind w:firstLine="602" w:firstLineChars="200"/>
        <w:rPr>
          <w:rFonts w:hint="default" w:ascii="仿宋_GB2312" w:eastAsia="仿宋_GB2312"/>
          <w:b/>
          <w:bCs/>
          <w:sz w:val="30"/>
          <w:szCs w:val="30"/>
          <w:lang w:val="en-US" w:eastAsia="zh-CN"/>
        </w:rPr>
      </w:pPr>
      <w:r>
        <w:rPr>
          <w:rFonts w:hint="eastAsia" w:ascii="仿宋_GB2312" w:eastAsia="仿宋_GB2312"/>
          <w:b/>
          <w:bCs/>
          <w:sz w:val="30"/>
          <w:szCs w:val="30"/>
        </w:rPr>
        <w:t>（二）机构设置</w:t>
      </w:r>
      <w:r>
        <w:rPr>
          <w:rFonts w:hint="eastAsia" w:ascii="仿宋_GB2312" w:eastAsia="仿宋_GB2312"/>
          <w:b/>
          <w:bCs/>
          <w:sz w:val="30"/>
          <w:szCs w:val="30"/>
          <w:lang w:val="en-US" w:eastAsia="zh-CN"/>
        </w:rPr>
        <w:t>及人员编制情况</w:t>
      </w:r>
    </w:p>
    <w:p>
      <w:pPr>
        <w:keepNext w:val="0"/>
        <w:keepLines w:val="0"/>
        <w:pageBreakBefore w:val="0"/>
        <w:widowControl/>
        <w:kinsoku/>
        <w:wordWrap/>
        <w:overflowPunct/>
        <w:topLinePunct w:val="0"/>
        <w:autoSpaceDE/>
        <w:autoSpaceDN/>
        <w:bidi w:val="0"/>
        <w:adjustRightInd/>
        <w:snapToGrid/>
        <w:spacing w:line="600" w:lineRule="exact"/>
        <w:ind w:firstLine="900" w:firstLineChars="300"/>
        <w:textAlignment w:val="auto"/>
        <w:rPr>
          <w:rFonts w:hint="eastAsia" w:ascii="仿宋_GB2312" w:eastAsia="仿宋_GB2312"/>
          <w:sz w:val="30"/>
          <w:szCs w:val="30"/>
        </w:rPr>
      </w:pPr>
      <w:r>
        <w:rPr>
          <w:rFonts w:hint="eastAsia" w:ascii="仿宋_GB2312" w:eastAsia="仿宋_GB2312"/>
          <w:sz w:val="30"/>
          <w:szCs w:val="30"/>
        </w:rPr>
        <w:t xml:space="preserve">开设有20余个临床、医技辅助和公卫科室，设有全科医疗科、内科、外骨科、妇产科、儿科、中医康复科、口腔科、眼耳鼻喉科、重症肌无力专科、麻醉科、手术室、检验科、放射科、心超室、胃肠镜室、公共卫生服务中心、120急救中心等。配备有螺旋CT、DR、彩超、胃肠镜、12导联心电图机、全自动生化分析仪、全自动五分类血球分析仪、全自动酶标分析仪、全自动凝血分析仪、电子阴道镜、麻醉机、高频电刀、新生儿抢救台、三维颈腰椎治疗牵引床、电脑中频电疗仪、中医定向透药治疗仪、电磁波谱治疗器、电子针灸仪等医疗设备。医院各病区统一配置了中心供氧、负压吸引、每个病房带有卫生间，配备电视机、饮水机、空调。 </w:t>
      </w:r>
    </w:p>
    <w:p>
      <w:pPr>
        <w:keepNext w:val="0"/>
        <w:keepLines w:val="0"/>
        <w:pageBreakBefore w:val="0"/>
        <w:widowControl/>
        <w:kinsoku/>
        <w:wordWrap/>
        <w:overflowPunct/>
        <w:topLinePunct w:val="0"/>
        <w:autoSpaceDE/>
        <w:autoSpaceDN/>
        <w:bidi w:val="0"/>
        <w:adjustRightInd/>
        <w:snapToGrid/>
        <w:spacing w:line="600" w:lineRule="exact"/>
        <w:ind w:firstLine="900" w:firstLineChars="300"/>
        <w:textAlignment w:val="auto"/>
        <w:rPr>
          <w:rFonts w:hint="eastAsia" w:ascii="黑体" w:hAnsi="黑体" w:eastAsia="黑体" w:cs="黑体"/>
          <w:sz w:val="30"/>
          <w:szCs w:val="30"/>
        </w:rPr>
      </w:pPr>
      <w:r>
        <w:rPr>
          <w:rFonts w:hint="eastAsia" w:ascii="黑体" w:hAnsi="黑体" w:eastAsia="黑体" w:cs="黑体"/>
          <w:sz w:val="30"/>
          <w:szCs w:val="30"/>
        </w:rPr>
        <w:t>二、一般公共预算支出情况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（一）基本支出</w:t>
      </w:r>
      <w:r>
        <w:rPr>
          <w:rFonts w:hint="eastAsia" w:ascii="仿宋" w:hAnsi="仿宋" w:eastAsia="仿宋" w:cs="仿宋"/>
          <w:b/>
          <w:bCs/>
          <w:sz w:val="30"/>
          <w:szCs w:val="30"/>
          <w:lang w:val="en-US" w:eastAsia="zh-CN"/>
        </w:rPr>
        <w:t>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600" w:firstLineChars="200"/>
        <w:jc w:val="left"/>
        <w:textAlignment w:val="auto"/>
        <w:rPr>
          <w:rFonts w:hint="default" w:ascii="仿宋" w:hAnsi="仿宋" w:eastAsia="仿宋" w:cs="仿宋"/>
          <w:i w:val="0"/>
          <w:caps w:val="0"/>
          <w:color w:val="333333"/>
          <w:spacing w:val="0"/>
          <w:sz w:val="30"/>
          <w:szCs w:val="30"/>
          <w:lang w:val="en-US"/>
        </w:rPr>
      </w:pPr>
      <w:r>
        <w:rPr>
          <w:rFonts w:hint="eastAsia" w:ascii="仿宋" w:hAnsi="仿宋" w:eastAsia="仿宋" w:cs="仿宋"/>
          <w:b w:val="0"/>
          <w:bCs w:val="0"/>
          <w:sz w:val="30"/>
          <w:szCs w:val="30"/>
          <w:lang w:val="en-US" w:eastAsia="zh-CN"/>
        </w:rPr>
        <w:t>基本支出</w:t>
      </w:r>
      <w:r>
        <w:rPr>
          <w:rFonts w:hint="eastAsia" w:ascii="仿宋" w:hAnsi="仿宋" w:eastAsia="仿宋" w:cs="仿宋"/>
          <w:i w:val="0"/>
          <w:caps w:val="0"/>
          <w:color w:val="333333"/>
          <w:spacing w:val="0"/>
          <w:kern w:val="0"/>
          <w:sz w:val="30"/>
          <w:szCs w:val="30"/>
          <w:shd w:val="clear" w:color="auto" w:fill="FFFFFF"/>
          <w:lang w:val="en-US" w:eastAsia="zh-CN" w:bidi="ar"/>
        </w:rPr>
        <w:t>是指为保障单位机构正常运转、完成日常工作任务而发生的各项支出，</w:t>
      </w:r>
      <w:r>
        <w:rPr>
          <w:rFonts w:hint="eastAsia" w:ascii="仿宋" w:hAnsi="仿宋" w:eastAsia="仿宋" w:cs="仿宋"/>
          <w:sz w:val="30"/>
          <w:szCs w:val="30"/>
        </w:rPr>
        <w:t>包括用于基本工资、津贴补贴等人员经费以及办公费、印刷费、水电费、办公设备购置等日常公用经费。2021年</w:t>
      </w:r>
      <w:r>
        <w:rPr>
          <w:rFonts w:hint="eastAsia" w:ascii="仿宋" w:hAnsi="仿宋" w:eastAsia="仿宋" w:cs="仿宋"/>
          <w:sz w:val="30"/>
          <w:szCs w:val="30"/>
          <w:lang w:val="en-US" w:eastAsia="zh-CN"/>
        </w:rPr>
        <w:t>基本</w:t>
      </w:r>
      <w:r>
        <w:rPr>
          <w:rFonts w:hint="eastAsia" w:ascii="仿宋" w:hAnsi="仿宋" w:eastAsia="仿宋" w:cs="仿宋"/>
          <w:sz w:val="30"/>
          <w:szCs w:val="30"/>
        </w:rPr>
        <w:t>支出为</w:t>
      </w:r>
      <w:r>
        <w:rPr>
          <w:rFonts w:hint="eastAsia" w:ascii="仿宋" w:hAnsi="仿宋" w:eastAsia="仿宋" w:cs="仿宋"/>
          <w:sz w:val="30"/>
          <w:szCs w:val="30"/>
          <w:lang w:val="en-US" w:eastAsia="zh-CN"/>
        </w:rPr>
        <w:t>1159.17</w:t>
      </w:r>
      <w:r>
        <w:rPr>
          <w:rFonts w:hint="eastAsia" w:ascii="仿宋" w:hAnsi="仿宋" w:eastAsia="仿宋" w:cs="仿宋"/>
          <w:sz w:val="30"/>
          <w:szCs w:val="30"/>
        </w:rPr>
        <w:t>万元，</w:t>
      </w:r>
      <w:r>
        <w:rPr>
          <w:rFonts w:hint="eastAsia" w:ascii="仿宋" w:hAnsi="仿宋" w:eastAsia="仿宋" w:cs="仿宋"/>
          <w:i w:val="0"/>
          <w:caps w:val="0"/>
          <w:color w:val="333333"/>
          <w:spacing w:val="0"/>
          <w:kern w:val="0"/>
          <w:sz w:val="30"/>
          <w:szCs w:val="30"/>
          <w:shd w:val="clear" w:color="auto" w:fill="FFFFFF"/>
          <w:lang w:val="en-US" w:eastAsia="zh-CN" w:bidi="ar"/>
        </w:rPr>
        <w:t>较上年增加58.22万元，增加5.29%，其中人员经费支出697.06万元，占基本支出的60.13 %，较上年增加171.17万元，主要是由于:疫情防控，增加了人员经费；公用经费支出462.11万元,占基本支出的39.87%,较上年减少112.95 万元，主要原因是由于疫情防控，业务收入下降，印刷费、专用材料费减少了。</w:t>
      </w:r>
    </w:p>
    <w:p>
      <w:pPr>
        <w:pStyle w:val="2"/>
        <w:rPr>
          <w:rFonts w:hint="default"/>
          <w:lang w:val="en-US"/>
        </w:rPr>
      </w:pPr>
    </w:p>
    <w:p>
      <w:pPr>
        <w:keepNext w:val="0"/>
        <w:keepLines w:val="0"/>
        <w:pageBreakBefore w:val="0"/>
        <w:numPr>
          <w:ilvl w:val="0"/>
          <w:numId w:val="1"/>
        </w:numPr>
        <w:kinsoku/>
        <w:wordWrap/>
        <w:overflowPunct/>
        <w:topLinePunct w:val="0"/>
        <w:autoSpaceDE/>
        <w:autoSpaceDN/>
        <w:bidi w:val="0"/>
        <w:adjustRightInd/>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rPr>
        <w:t>项目支出</w:t>
      </w:r>
      <w:r>
        <w:rPr>
          <w:rFonts w:hint="eastAsia" w:ascii="仿宋" w:hAnsi="仿宋" w:eastAsia="仿宋" w:cs="仿宋"/>
          <w:b/>
          <w:bCs/>
          <w:sz w:val="30"/>
          <w:szCs w:val="30"/>
          <w:lang w:val="en-US" w:eastAsia="zh-CN"/>
        </w:rPr>
        <w:t>情况</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i w:val="0"/>
          <w:caps w:val="0"/>
          <w:color w:val="333333"/>
          <w:spacing w:val="0"/>
          <w:kern w:val="0"/>
          <w:sz w:val="30"/>
          <w:szCs w:val="30"/>
          <w:shd w:val="clear" w:color="auto" w:fill="FFFFFF"/>
          <w:lang w:val="en-US" w:eastAsia="zh-CN" w:bidi="ar"/>
        </w:rPr>
        <w:t>项目支出是指单位为完成特定行政工作任务或事业发展目标而发生的支出。2021年项目支出0万元。</w:t>
      </w:r>
    </w:p>
    <w:p>
      <w:pPr>
        <w:numPr>
          <w:ilvl w:val="0"/>
          <w:numId w:val="2"/>
        </w:numPr>
        <w:shd w:val="clear" w:color="auto" w:fill="FFFFFF"/>
        <w:spacing w:line="600" w:lineRule="exact"/>
        <w:ind w:firstLine="600" w:firstLineChars="200"/>
        <w:jc w:val="left"/>
        <w:rPr>
          <w:rFonts w:hint="eastAsia" w:ascii="黑体" w:hAnsi="黑体" w:eastAsia="黑体" w:cs="黑体"/>
          <w:bCs/>
          <w:color w:val="000000"/>
          <w:kern w:val="0"/>
          <w:sz w:val="30"/>
          <w:szCs w:val="30"/>
          <w:shd w:val="clear" w:color="auto" w:fill="FFFFFF"/>
          <w:lang w:bidi="ar"/>
        </w:rPr>
      </w:pPr>
      <w:r>
        <w:rPr>
          <w:rFonts w:hint="eastAsia" w:ascii="黑体" w:hAnsi="黑体" w:eastAsia="黑体" w:cs="黑体"/>
          <w:bCs/>
          <w:color w:val="000000"/>
          <w:kern w:val="0"/>
          <w:sz w:val="30"/>
          <w:szCs w:val="30"/>
          <w:shd w:val="clear" w:color="auto" w:fill="FFFFFF"/>
          <w:lang w:bidi="ar"/>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2" w:firstLineChars="200"/>
        <w:jc w:val="both"/>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1、业务工作完成情况。</w:t>
      </w:r>
      <w:r>
        <w:rPr>
          <w:rFonts w:hint="eastAsia" w:ascii="仿宋" w:hAnsi="仿宋" w:eastAsia="仿宋" w:cs="仿宋"/>
          <w:color w:val="auto"/>
          <w:kern w:val="2"/>
          <w:sz w:val="30"/>
          <w:szCs w:val="30"/>
          <w:lang w:val="en-US" w:eastAsia="zh-CN" w:bidi="ar-SA"/>
        </w:rPr>
        <w:t>2021年度业务指标完成情况：门诊人次42162人次，住院人次6069人次，床位使用率90.17%。经济指标完成情况：全年完成经济收入3134.64万元，其中门诊收入597.64万元，住院收入1377.83万元。全年支出3134.64万元，结余0万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2"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2、做好“点面”工作，提升服务能力。</w:t>
      </w:r>
      <w:r>
        <w:rPr>
          <w:rFonts w:hint="eastAsia" w:ascii="仿宋" w:hAnsi="仿宋" w:eastAsia="仿宋" w:cs="仿宋"/>
          <w:color w:val="auto"/>
          <w:kern w:val="2"/>
          <w:sz w:val="30"/>
          <w:szCs w:val="30"/>
          <w:lang w:val="en-US" w:eastAsia="zh-CN" w:bidi="ar-SA"/>
        </w:rPr>
        <w:t>一是进一步做好中医康复服务，更新艾灸仪、多功能通络治疗仪、颈腰椎多功能牵引床、中药熏蒸治疗仪等多种特色中医设备，开展中药、针灸、推拿、火罐、刮痧、熏洗等中医理疗服务项目。二是参与分级诊疗。形成基层首诊、双向转诊、急慢分治、上下联动有序的就医格局，缓解百姓就医难、看病贵的困难，真正使优质资源下沉至基层。</w:t>
      </w:r>
    </w:p>
    <w:p>
      <w:pPr>
        <w:spacing w:line="560" w:lineRule="exact"/>
        <w:ind w:firstLine="602" w:firstLineChars="200"/>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3、做实基本公卫，促进医疗服务提升。</w:t>
      </w:r>
      <w:r>
        <w:rPr>
          <w:rFonts w:hint="eastAsia" w:ascii="仿宋" w:hAnsi="仿宋" w:eastAsia="仿宋" w:cs="仿宋"/>
          <w:color w:val="auto"/>
          <w:kern w:val="2"/>
          <w:sz w:val="30"/>
          <w:szCs w:val="30"/>
          <w:lang w:val="en-US" w:eastAsia="zh-CN" w:bidi="ar-SA"/>
        </w:rPr>
        <w:t>我中心对家庭医生签约服务团队进行了优化整合，成立了由40名业务骨干组成的10个家庭医生签约服务团队，每个团队有两名1名临床医生、2名执业护师、1名公卫人员，团队服务能力更强、更专业、更有延续性。对辖区进行了责任分包，通过开展大型义诊、巡诊、入户、电话随访、健康咨询、健康指导等多种方式进行签约履约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2"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4、坚定信心，科学布局疫情防控。</w:t>
      </w:r>
      <w:r>
        <w:rPr>
          <w:rFonts w:hint="eastAsia" w:ascii="仿宋" w:hAnsi="仿宋" w:eastAsia="仿宋" w:cs="仿宋"/>
          <w:color w:val="auto"/>
          <w:kern w:val="2"/>
          <w:sz w:val="30"/>
          <w:szCs w:val="30"/>
          <w:lang w:val="en-US" w:eastAsia="zh-CN" w:bidi="ar-SA"/>
        </w:rPr>
        <w:t>2020年新冠肺炎疫情发生以来，中心在区卫健局的正确领导下，以党建为统领，全体干职工积极投身疫情防控工作。第一时间设立预检分诊、发热门诊，24小时轮班值守，严格执行发热病人接待筛查流程，认真落实发热病人登记报告制度。为所有到院患者及家属免费发放口罩、发放消毒液等；积极参加汉庭酒店集中隔离医学观察点的疫情防控，圆满完成上级赋予的使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四、存在的问题及原因分析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预算安排不够准确，预算编制欠精准,年初预算控制数与单位实际需求有差距，部分经费需通过年中追加方式解决，由于年初未列入预算而年中追加预算指标，在一定程度上影响项目建设进度及资金支付进度，导致项目管理精确度欠佳，影响预算执行的科学性和合理性。</w:t>
      </w:r>
    </w:p>
    <w:p>
      <w:pPr>
        <w:keepNext w:val="0"/>
        <w:keepLines w:val="0"/>
        <w:pageBreakBefore w:val="0"/>
        <w:widowControl w:val="0"/>
        <w:numPr>
          <w:ilvl w:val="0"/>
          <w:numId w:val="3"/>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ascii="黑体" w:hAnsi="黑体" w:eastAsia="黑体" w:cs="黑体"/>
          <w:color w:val="000000"/>
          <w:kern w:val="0"/>
          <w:sz w:val="30"/>
          <w:szCs w:val="30"/>
          <w:shd w:val="clear" w:color="auto" w:fill="FFFFFF"/>
          <w:lang w:bidi="ar"/>
        </w:rPr>
      </w:pPr>
      <w:r>
        <w:rPr>
          <w:rFonts w:hint="eastAsia" w:ascii="黑体" w:hAnsi="黑体" w:eastAsia="黑体" w:cs="黑体"/>
          <w:color w:val="000000"/>
          <w:kern w:val="0"/>
          <w:sz w:val="30"/>
          <w:szCs w:val="30"/>
          <w:shd w:val="clear" w:color="auto" w:fill="FFFFFF"/>
          <w:lang w:bidi="ar"/>
        </w:rPr>
        <w:t>下一步改进措施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right="0" w:rightChars="0" w:firstLine="600" w:firstLineChars="200"/>
        <w:textAlignment w:val="auto"/>
        <w:outlineLvl w:val="9"/>
        <w:rPr>
          <w:rFonts w:hint="eastAsia"/>
        </w:rPr>
      </w:pPr>
      <w:r>
        <w:rPr>
          <w:rFonts w:hint="eastAsia" w:ascii="仿宋" w:hAnsi="仿宋" w:eastAsia="仿宋" w:cs="仿宋"/>
          <w:color w:val="auto"/>
          <w:kern w:val="2"/>
          <w:sz w:val="30"/>
          <w:szCs w:val="30"/>
          <w:lang w:val="en-US" w:eastAsia="zh-CN" w:bidi="ar-SA"/>
        </w:rPr>
        <w:t>提升预算编制科学化、规范化和精细化水平。在部门预算编制前，进行必要的可行性研究、科学论证和充分的调研，根据本年度实际情况确定预算内容和支出内容， 结合具体专项绩效总目标和年度阶段性目标（本年度的工作任务）匹配预算支出投资额或资金量，将预算的执行和调整情况与绩效挂钩，提升预算编制科学化、规范化和精细化水平，从而加强预算管理和预算监督，为科学编制预算提供保障，确保预算执行的有效性，维护预算的严肃性。</w:t>
      </w:r>
    </w:p>
    <w:p>
      <w:pPr>
        <w:shd w:val="clear" w:color="auto" w:fill="FFFFFF"/>
        <w:spacing w:line="600" w:lineRule="exact"/>
        <w:ind w:firstLine="600" w:firstLineChars="200"/>
        <w:jc w:val="left"/>
        <w:rPr>
          <w:rFonts w:hint="eastAsia" w:ascii="仿宋" w:hAnsi="仿宋" w:eastAsia="仿宋" w:cs="仿宋"/>
          <w:color w:val="333333"/>
          <w:kern w:val="0"/>
          <w:sz w:val="30"/>
          <w:szCs w:val="30"/>
          <w:shd w:val="clear" w:color="auto" w:fill="FFFFFF"/>
          <w:lang w:bidi="ar"/>
        </w:rPr>
      </w:pPr>
      <w:r>
        <w:rPr>
          <w:rFonts w:hint="eastAsia" w:ascii="仿宋" w:hAnsi="仿宋" w:eastAsia="仿宋" w:cs="仿宋"/>
          <w:color w:val="333333"/>
          <w:kern w:val="0"/>
          <w:sz w:val="30"/>
          <w:szCs w:val="30"/>
          <w:shd w:val="clear" w:color="auto" w:fill="FFFFFF"/>
          <w:lang w:bidi="ar"/>
        </w:rPr>
        <w:t>附件：2021年度部门整体支出绩效自评指标计分表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黑体" w:hAnsi="黑体" w:eastAsia="黑体" w:cs="黑体"/>
          <w:sz w:val="36"/>
          <w:szCs w:val="36"/>
          <w:lang w:val="en-US" w:eastAsia="zh-CN"/>
        </w:rPr>
      </w:pPr>
    </w:p>
    <w:p>
      <w:pPr>
        <w:pStyle w:val="3"/>
        <w:keepNext w:val="0"/>
        <w:keepLines w:val="0"/>
        <w:pageBreakBefore w:val="0"/>
        <w:widowControl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b w:val="0"/>
          <w:bCs w:val="0"/>
          <w:sz w:val="30"/>
          <w:szCs w:val="30"/>
          <w:lang w:val="en-US" w:eastAsia="zh-CN"/>
        </w:rPr>
      </w:pPr>
    </w:p>
    <w:p>
      <w:pPr>
        <w:pStyle w:val="3"/>
        <w:keepNext w:val="0"/>
        <w:keepLines w:val="0"/>
        <w:pageBreakBefore w:val="0"/>
        <w:widowControl w:val="0"/>
        <w:kinsoku/>
        <w:wordWrap/>
        <w:overflowPunct/>
        <w:topLinePunct w:val="0"/>
        <w:autoSpaceDE/>
        <w:autoSpaceDN/>
        <w:bidi w:val="0"/>
        <w:adjustRightInd/>
        <w:spacing w:line="600" w:lineRule="exact"/>
        <w:ind w:firstLine="600" w:firstLineChars="200"/>
        <w:textAlignment w:val="auto"/>
        <w:rPr>
          <w:rFonts w:hint="eastAsia" w:ascii="仿宋" w:hAnsi="仿宋" w:eastAsia="仿宋" w:cs="仿宋"/>
          <w:b w:val="0"/>
          <w:bCs w:val="0"/>
          <w:sz w:val="30"/>
          <w:szCs w:val="30"/>
          <w:lang w:val="en-US" w:eastAsia="zh-CN"/>
        </w:rPr>
      </w:pPr>
    </w:p>
    <w:p>
      <w:pPr>
        <w:keepNext w:val="0"/>
        <w:keepLines w:val="0"/>
        <w:pageBreakBefore w:val="0"/>
        <w:widowControl w:val="0"/>
        <w:kinsoku/>
        <w:wordWrap/>
        <w:overflowPunct/>
        <w:topLinePunct w:val="0"/>
        <w:autoSpaceDE/>
        <w:autoSpaceDN/>
        <w:bidi w:val="0"/>
        <w:adjustRightInd/>
        <w:spacing w:afterLines="50" w:line="600" w:lineRule="exact"/>
        <w:ind w:firstLine="600" w:firstLineChars="200"/>
        <w:jc w:val="center"/>
        <w:textAlignment w:val="auto"/>
        <w:rPr>
          <w:rFonts w:hint="eastAsia" w:ascii="黑体" w:hAnsi="黑体" w:eastAsia="黑体" w:cs="黑体"/>
          <w:sz w:val="30"/>
          <w:szCs w:val="30"/>
        </w:rPr>
      </w:pPr>
      <w:r>
        <w:rPr>
          <w:rFonts w:hint="eastAsia" w:ascii="黑体" w:hAnsi="黑体" w:eastAsia="黑体" w:cs="黑体"/>
          <w:sz w:val="30"/>
          <w:szCs w:val="30"/>
        </w:rPr>
        <w:t>项目支出绩效自评指标计分表</w:t>
      </w:r>
    </w:p>
    <w:tbl>
      <w:tblPr>
        <w:tblStyle w:val="4"/>
        <w:tblW w:w="51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63"/>
        <w:gridCol w:w="471"/>
        <w:gridCol w:w="866"/>
        <w:gridCol w:w="561"/>
        <w:gridCol w:w="2723"/>
        <w:gridCol w:w="4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295" w:type="pct"/>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一级</w:t>
            </w:r>
            <w:r>
              <w:rPr>
                <w:rFonts w:ascii="宋体"/>
                <w:b/>
                <w:bCs/>
              </w:rPr>
              <w:br w:type="textWrapping"/>
            </w:r>
            <w:r>
              <w:rPr>
                <w:rFonts w:hint="eastAsia" w:ascii="宋体" w:hAnsi="宋体" w:cs="宋体"/>
                <w:b/>
                <w:bCs/>
              </w:rPr>
              <w:t>指标</w:t>
            </w:r>
          </w:p>
        </w:tc>
        <w:tc>
          <w:tcPr>
            <w:tcW w:w="247" w:type="pct"/>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二级</w:t>
            </w:r>
            <w:r>
              <w:rPr>
                <w:rFonts w:ascii="宋体"/>
                <w:b/>
                <w:bCs/>
              </w:rPr>
              <w:br w:type="textWrapping"/>
            </w:r>
            <w:r>
              <w:rPr>
                <w:rFonts w:hint="eastAsia" w:ascii="宋体" w:hAnsi="宋体" w:cs="宋体"/>
                <w:b/>
                <w:bCs/>
              </w:rPr>
              <w:t>指标</w:t>
            </w:r>
          </w:p>
        </w:tc>
        <w:tc>
          <w:tcPr>
            <w:tcW w:w="454" w:type="pct"/>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三级指标</w:t>
            </w:r>
          </w:p>
        </w:tc>
        <w:tc>
          <w:tcPr>
            <w:tcW w:w="294" w:type="pct"/>
            <w:noWrap w:val="0"/>
            <w:vAlign w:val="top"/>
          </w:tcPr>
          <w:p>
            <w:pPr>
              <w:spacing w:line="240" w:lineRule="exact"/>
              <w:jc w:val="center"/>
              <w:rPr>
                <w:rFonts w:ascii="宋体"/>
                <w:b/>
                <w:bCs/>
              </w:rPr>
            </w:pPr>
            <w:r>
              <w:rPr>
                <w:rFonts w:hint="eastAsia" w:ascii="宋体" w:hAnsi="宋体" w:cs="宋体"/>
                <w:b/>
                <w:bCs/>
              </w:rPr>
              <w:t>自评分</w:t>
            </w:r>
          </w:p>
        </w:tc>
        <w:tc>
          <w:tcPr>
            <w:tcW w:w="1428" w:type="pct"/>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指标解释</w:t>
            </w:r>
          </w:p>
        </w:tc>
        <w:tc>
          <w:tcPr>
            <w:tcW w:w="2282" w:type="pct"/>
            <w:noWrap w:val="0"/>
            <w:tcMar>
              <w:top w:w="10" w:type="dxa"/>
              <w:left w:w="10" w:type="dxa"/>
              <w:bottom w:w="0" w:type="dxa"/>
              <w:right w:w="10" w:type="dxa"/>
            </w:tcMar>
            <w:vAlign w:val="center"/>
          </w:tcPr>
          <w:p>
            <w:pPr>
              <w:spacing w:line="240" w:lineRule="exact"/>
              <w:jc w:val="center"/>
              <w:rPr>
                <w:rFonts w:ascii="宋体"/>
                <w:b/>
                <w:bCs/>
              </w:rPr>
            </w:pPr>
            <w:r>
              <w:rPr>
                <w:rFonts w:hint="eastAsia" w:ascii="宋体" w:hAnsi="宋体" w:cs="宋体"/>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决</w:t>
            </w:r>
            <w:r>
              <w:rPr>
                <w:rFonts w:ascii="宋体" w:hAnsi="宋体" w:cs="宋体"/>
              </w:rPr>
              <w:t xml:space="preserve">  </w:t>
            </w:r>
            <w:r>
              <w:rPr>
                <w:rFonts w:hint="eastAsia" w:ascii="宋体" w:hAnsi="宋体" w:cs="宋体"/>
              </w:rPr>
              <w:t>策（</w:t>
            </w:r>
            <w:r>
              <w:rPr>
                <w:rFonts w:ascii="宋体" w:hAnsi="宋体" w:cs="宋体"/>
              </w:rPr>
              <w:t>20</w:t>
            </w:r>
            <w:r>
              <w:rPr>
                <w:rFonts w:hint="eastAsia" w:ascii="宋体" w:hAnsi="宋体" w:cs="宋体"/>
              </w:rPr>
              <w:t>分）</w:t>
            </w:r>
          </w:p>
        </w:tc>
        <w:tc>
          <w:tcPr>
            <w:tcW w:w="247" w:type="pct"/>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预算支出决策</w:t>
            </w:r>
          </w:p>
          <w:p>
            <w:pPr>
              <w:spacing w:line="240" w:lineRule="exact"/>
              <w:jc w:val="center"/>
              <w:rPr>
                <w:rFonts w:ascii="宋体"/>
              </w:rPr>
            </w:pPr>
            <w:r>
              <w:rPr>
                <w:rFonts w:hint="eastAsia" w:ascii="宋体" w:hAnsi="宋体" w:cs="宋体"/>
              </w:rPr>
              <w:t>（项目立项）（</w:t>
            </w:r>
            <w:r>
              <w:rPr>
                <w:rFonts w:ascii="宋体" w:hAnsi="宋体" w:cs="宋体"/>
              </w:rPr>
              <w:t>8</w:t>
            </w:r>
            <w:r>
              <w:rPr>
                <w:rFonts w:hint="eastAsia" w:ascii="宋体" w:hAnsi="宋体" w:cs="宋体"/>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预算支出决策（项目立项）依据</w:t>
            </w:r>
          </w:p>
          <w:p>
            <w:pPr>
              <w:spacing w:line="240" w:lineRule="exact"/>
              <w:ind w:left="105" w:leftChars="50" w:right="105" w:rightChars="50"/>
              <w:jc w:val="center"/>
              <w:rPr>
                <w:rFonts w:ascii="宋体"/>
              </w:rPr>
            </w:pPr>
            <w:r>
              <w:rPr>
                <w:rFonts w:hint="eastAsia" w:ascii="宋体" w:hAnsi="宋体" w:cs="宋体"/>
              </w:rPr>
              <w:t>充分性（</w:t>
            </w:r>
            <w:r>
              <w:rPr>
                <w:rFonts w:ascii="宋体" w:hAnsi="宋体" w:cs="宋体"/>
              </w:rPr>
              <w:t>4</w:t>
            </w:r>
            <w:r>
              <w:rPr>
                <w:rFonts w:hint="eastAsia" w:ascii="宋体" w:hAnsi="宋体" w:cs="宋体"/>
              </w:rPr>
              <w:t>分）</w:t>
            </w:r>
          </w:p>
        </w:tc>
        <w:tc>
          <w:tcPr>
            <w:tcW w:w="294"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预算支出决策（项目立项）是否符合法律法规、相关政策、发展规划以及部门职责，用以反映和考核决策（立项）的依据情况。</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①决策（立项）是否符合国家相关法律法规、国民经济发展规划和相关政策；</w:t>
            </w:r>
            <w:r>
              <w:rPr>
                <w:rFonts w:ascii="宋体"/>
              </w:rPr>
              <w:br w:type="textWrapping"/>
            </w:r>
            <w:r>
              <w:rPr>
                <w:rFonts w:hint="eastAsia" w:ascii="宋体" w:hAnsi="宋体" w:cs="宋体"/>
              </w:rPr>
              <w:t>②决策（立项）是否符合行业发展规划和政策要求；</w:t>
            </w:r>
            <w:r>
              <w:rPr>
                <w:rFonts w:ascii="宋体"/>
              </w:rPr>
              <w:br w:type="textWrapping"/>
            </w:r>
            <w:r>
              <w:rPr>
                <w:rFonts w:hint="eastAsia" w:ascii="宋体" w:hAnsi="宋体" w:cs="宋体"/>
              </w:rPr>
              <w:t>③决策（立项）是否与部门职责范围相符，属于部门履职所需；</w:t>
            </w:r>
            <w:r>
              <w:rPr>
                <w:rFonts w:ascii="宋体"/>
              </w:rPr>
              <w:br w:type="textWrapping"/>
            </w:r>
            <w:r>
              <w:rPr>
                <w:rFonts w:hint="eastAsia" w:ascii="宋体" w:hAnsi="宋体" w:cs="宋体"/>
              </w:rPr>
              <w:t>④预算支出是否属于公共财政支持范围，是否符合中央、地方事权支出责任划分原则；</w:t>
            </w:r>
          </w:p>
          <w:p>
            <w:pPr>
              <w:spacing w:line="240" w:lineRule="exact"/>
              <w:ind w:left="105" w:leftChars="50" w:right="105" w:rightChars="50"/>
              <w:rPr>
                <w:rFonts w:ascii="宋体"/>
              </w:rPr>
            </w:pPr>
            <w:r>
              <w:rPr>
                <w:rFonts w:hint="eastAsia" w:ascii="宋体" w:hAnsi="宋体" w:cs="宋体"/>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0"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vMerge w:val="continue"/>
            <w:noWrap w:val="0"/>
            <w:tcMar>
              <w:top w:w="10" w:type="dxa"/>
              <w:left w:w="10" w:type="dxa"/>
              <w:bottom w:w="0" w:type="dxa"/>
              <w:right w:w="10" w:type="dxa"/>
            </w:tcMar>
            <w:vAlign w:val="center"/>
          </w:tcPr>
          <w:p>
            <w:pPr>
              <w:spacing w:line="240" w:lineRule="exact"/>
              <w:jc w:val="center"/>
              <w:rPr>
                <w:rFonts w:ascii="宋体"/>
              </w:rPr>
            </w:pP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决策(立项）程序规范性(</w:t>
            </w:r>
            <w:r>
              <w:rPr>
                <w:rFonts w:ascii="宋体" w:hAnsi="宋体" w:cs="宋体"/>
              </w:rPr>
              <w:t>4</w:t>
            </w:r>
            <w:r>
              <w:rPr>
                <w:rFonts w:hint="eastAsia" w:ascii="宋体" w:hAnsi="宋体" w:cs="宋体"/>
              </w:rPr>
              <w:t>分)</w:t>
            </w:r>
          </w:p>
        </w:tc>
        <w:tc>
          <w:tcPr>
            <w:tcW w:w="294"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预算支出申请、设立过程是否符合相关要求，用以反映和考核决策（立项）的规范情况。</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Pr>
                <w:rFonts w:ascii="宋体"/>
              </w:rPr>
            </w:pPr>
            <w:r>
              <w:rPr>
                <w:rFonts w:hint="eastAsia" w:ascii="宋体" w:hAnsi="宋体" w:cs="宋体"/>
              </w:rPr>
              <w:t>①预算支出是否按照规定的程序申请设立；</w:t>
            </w:r>
          </w:p>
          <w:p>
            <w:pPr>
              <w:spacing w:line="240" w:lineRule="exact"/>
              <w:ind w:left="105" w:leftChars="50"/>
              <w:rPr>
                <w:rFonts w:ascii="宋体"/>
              </w:rPr>
            </w:pPr>
            <w:r>
              <w:rPr>
                <w:rFonts w:hint="eastAsia" w:ascii="宋体" w:hAnsi="宋体" w:cs="宋体"/>
              </w:rPr>
              <w:t>②审批文件、材料是否符合相关要求；</w:t>
            </w:r>
          </w:p>
          <w:p>
            <w:pPr>
              <w:spacing w:line="240" w:lineRule="exact"/>
              <w:ind w:left="105" w:leftChars="50"/>
              <w:rPr>
                <w:rFonts w:ascii="宋体"/>
              </w:rPr>
            </w:pPr>
            <w:r>
              <w:rPr>
                <w:rFonts w:hint="eastAsia" w:ascii="宋体" w:hAnsi="宋体" w:cs="宋体"/>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295" w:type="pct"/>
            <w:vMerge w:val="continue"/>
            <w:noWrap w:val="0"/>
            <w:vAlign w:val="center"/>
          </w:tcPr>
          <w:p>
            <w:pPr>
              <w:spacing w:line="240" w:lineRule="exact"/>
              <w:rPr>
                <w:rFonts w:ascii="宋体"/>
              </w:rPr>
            </w:pPr>
          </w:p>
        </w:tc>
        <w:tc>
          <w:tcPr>
            <w:tcW w:w="247" w:type="pct"/>
            <w:vMerge w:val="restart"/>
            <w:noWrap w:val="0"/>
            <w:vAlign w:val="center"/>
          </w:tcPr>
          <w:p>
            <w:pPr>
              <w:spacing w:line="240" w:lineRule="exact"/>
              <w:jc w:val="center"/>
              <w:rPr>
                <w:rFonts w:ascii="宋体"/>
              </w:rPr>
            </w:pPr>
            <w:r>
              <w:rPr>
                <w:rFonts w:hint="eastAsia" w:ascii="宋体" w:hAnsi="宋体" w:cs="宋体"/>
              </w:rPr>
              <w:t>绩效</w:t>
            </w:r>
          </w:p>
          <w:p>
            <w:pPr>
              <w:spacing w:line="240" w:lineRule="exact"/>
              <w:jc w:val="center"/>
              <w:rPr>
                <w:rFonts w:ascii="宋体"/>
              </w:rPr>
            </w:pPr>
            <w:r>
              <w:rPr>
                <w:rFonts w:hint="eastAsia" w:ascii="宋体" w:hAnsi="宋体" w:cs="宋体"/>
              </w:rPr>
              <w:t>目标（</w:t>
            </w:r>
            <w:r>
              <w:rPr>
                <w:rFonts w:ascii="宋体" w:hAnsi="宋体" w:cs="宋体"/>
              </w:rPr>
              <w:t>6</w:t>
            </w:r>
            <w:r>
              <w:rPr>
                <w:rFonts w:hint="eastAsia" w:ascii="宋体" w:hAnsi="宋体" w:cs="宋体"/>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绩效目标</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94" w:type="pct"/>
            <w:noWrap w:val="0"/>
            <w:vAlign w:val="top"/>
          </w:tcPr>
          <w:p>
            <w:pPr>
              <w:spacing w:line="240" w:lineRule="exact"/>
              <w:ind w:left="105" w:leftChars="50" w:right="105" w:rightChars="50"/>
              <w:rPr>
                <w:rFonts w:hint="default" w:ascii="宋体" w:eastAsia="宋体"/>
                <w:lang w:val="en-US" w:eastAsia="zh-CN"/>
              </w:rPr>
            </w:pPr>
            <w:r>
              <w:rPr>
                <w:rFonts w:hint="eastAsia" w:ascii="宋体" w:eastAsia="宋体"/>
                <w:lang w:val="en-US" w:eastAsia="zh-CN"/>
              </w:rPr>
              <w:t>2</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预算支出所设定的绩效目标是否依据充分，是否符合客观实际，用以反映和考核预算支出绩效目标与预算支出实施的相符情况。</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（如未设定预算绩效目标，也可考核其他工作任务目标）</w:t>
            </w:r>
          </w:p>
          <w:p>
            <w:pPr>
              <w:spacing w:line="240" w:lineRule="exact"/>
              <w:ind w:left="105" w:leftChars="50" w:right="105" w:rightChars="50"/>
              <w:rPr>
                <w:rFonts w:ascii="宋体"/>
              </w:rPr>
            </w:pPr>
            <w:r>
              <w:rPr>
                <w:rFonts w:hint="eastAsia" w:ascii="宋体" w:hAnsi="宋体" w:cs="宋体"/>
              </w:rPr>
              <w:t>①预算支出是否有绩效目标；</w:t>
            </w:r>
          </w:p>
          <w:p>
            <w:pPr>
              <w:spacing w:line="240" w:lineRule="exact"/>
              <w:ind w:left="105" w:leftChars="50" w:right="105" w:rightChars="50"/>
              <w:rPr>
                <w:rFonts w:ascii="宋体"/>
              </w:rPr>
            </w:pPr>
            <w:r>
              <w:rPr>
                <w:rFonts w:hint="eastAsia" w:ascii="宋体" w:hAnsi="宋体" w:cs="宋体"/>
              </w:rPr>
              <w:t>②预算支出绩效目标与实际工作内容是否具有相关性；</w:t>
            </w:r>
          </w:p>
          <w:p>
            <w:pPr>
              <w:spacing w:line="240" w:lineRule="exact"/>
              <w:ind w:left="105" w:leftChars="50" w:right="105" w:rightChars="50"/>
              <w:rPr>
                <w:rFonts w:ascii="宋体"/>
              </w:rPr>
            </w:pPr>
            <w:r>
              <w:rPr>
                <w:rFonts w:hint="eastAsia" w:ascii="宋体" w:hAnsi="宋体" w:cs="宋体"/>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rPr>
                <w:rFonts w:ascii="宋体"/>
              </w:rPr>
            </w:pPr>
          </w:p>
        </w:tc>
        <w:tc>
          <w:tcPr>
            <w:tcW w:w="247" w:type="pct"/>
            <w:vMerge w:val="continue"/>
            <w:noWrap w:val="0"/>
            <w:vAlign w:val="center"/>
          </w:tcPr>
          <w:p>
            <w:pPr>
              <w:spacing w:line="240" w:lineRule="exact"/>
              <w:jc w:val="center"/>
              <w:rPr>
                <w:rFonts w:ascii="宋体"/>
              </w:rPr>
            </w:pP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绩效指标</w:t>
            </w:r>
          </w:p>
          <w:p>
            <w:pPr>
              <w:spacing w:line="240" w:lineRule="exact"/>
              <w:ind w:left="105" w:leftChars="50" w:right="105" w:rightChars="50"/>
              <w:jc w:val="center"/>
              <w:rPr>
                <w:rFonts w:ascii="宋体"/>
              </w:rPr>
            </w:pPr>
            <w:r>
              <w:rPr>
                <w:rFonts w:hint="eastAsia" w:ascii="宋体" w:hAnsi="宋体" w:cs="宋体"/>
              </w:rPr>
              <w:t>明确性（</w:t>
            </w:r>
            <w:r>
              <w:rPr>
                <w:rFonts w:ascii="宋体" w:hAnsi="宋体" w:cs="宋体"/>
              </w:rPr>
              <w:t>3</w:t>
            </w:r>
            <w:r>
              <w:rPr>
                <w:rFonts w:hint="eastAsia" w:ascii="宋体" w:hAnsi="宋体" w:cs="宋体"/>
              </w:rPr>
              <w:t>分）</w:t>
            </w:r>
          </w:p>
        </w:tc>
        <w:tc>
          <w:tcPr>
            <w:tcW w:w="294"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依据绩效目标设定的绩效指标是否清晰、细化、可衡量等，用以反映和考核预算支出绩效目标的明细化情况。</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①是否将预算支出绩效目标细化分解为具体的绩效指标；</w:t>
            </w:r>
            <w:r>
              <w:rPr>
                <w:rFonts w:ascii="宋体"/>
              </w:rPr>
              <w:br w:type="textWrapping"/>
            </w:r>
            <w:r>
              <w:rPr>
                <w:rFonts w:hint="eastAsia" w:ascii="宋体" w:hAnsi="宋体" w:cs="宋体"/>
              </w:rPr>
              <w:t>②是否通过清晰、可衡量的指标值予以体现；</w:t>
            </w:r>
            <w:r>
              <w:rPr>
                <w:rFonts w:ascii="宋体"/>
              </w:rPr>
              <w:br w:type="textWrapping"/>
            </w:r>
            <w:r>
              <w:rPr>
                <w:rFonts w:hint="eastAsia" w:ascii="宋体" w:hAnsi="宋体" w:cs="宋体"/>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295" w:type="pct"/>
            <w:vMerge w:val="continue"/>
            <w:noWrap w:val="0"/>
            <w:vAlign w:val="center"/>
          </w:tcPr>
          <w:p>
            <w:pPr>
              <w:spacing w:line="240" w:lineRule="exact"/>
              <w:rPr>
                <w:rFonts w:ascii="宋体"/>
              </w:rPr>
            </w:pPr>
          </w:p>
        </w:tc>
        <w:tc>
          <w:tcPr>
            <w:tcW w:w="247" w:type="pct"/>
            <w:vMerge w:val="restart"/>
            <w:noWrap w:val="0"/>
            <w:vAlign w:val="center"/>
          </w:tcPr>
          <w:p>
            <w:pPr>
              <w:spacing w:line="240" w:lineRule="exact"/>
              <w:jc w:val="center"/>
              <w:rPr>
                <w:rFonts w:ascii="宋体"/>
              </w:rPr>
            </w:pPr>
            <w:r>
              <w:rPr>
                <w:rFonts w:hint="eastAsia" w:ascii="宋体" w:hAnsi="宋体" w:cs="宋体"/>
              </w:rPr>
              <w:t>资金</w:t>
            </w:r>
          </w:p>
          <w:p>
            <w:pPr>
              <w:spacing w:line="240" w:lineRule="exact"/>
              <w:jc w:val="center"/>
              <w:rPr>
                <w:rFonts w:ascii="宋体"/>
              </w:rPr>
            </w:pPr>
            <w:r>
              <w:rPr>
                <w:rFonts w:hint="eastAsia" w:ascii="宋体" w:hAnsi="宋体" w:cs="宋体"/>
              </w:rPr>
              <w:t>投入（</w:t>
            </w:r>
            <w:r>
              <w:rPr>
                <w:rFonts w:ascii="宋体" w:hAnsi="宋体" w:cs="宋体"/>
              </w:rPr>
              <w:t>6</w:t>
            </w:r>
            <w:r>
              <w:rPr>
                <w:rFonts w:hint="eastAsia" w:ascii="宋体" w:hAnsi="宋体" w:cs="宋体"/>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预算编制</w:t>
            </w:r>
          </w:p>
          <w:p>
            <w:pPr>
              <w:spacing w:line="240" w:lineRule="exact"/>
              <w:ind w:left="105" w:leftChars="50" w:right="105" w:rightChars="50"/>
              <w:jc w:val="center"/>
              <w:rPr>
                <w:rFonts w:ascii="宋体"/>
              </w:rPr>
            </w:pPr>
            <w:r>
              <w:rPr>
                <w:rFonts w:hint="eastAsia" w:ascii="宋体" w:hAnsi="宋体" w:cs="宋体"/>
              </w:rPr>
              <w:t>科学性（</w:t>
            </w:r>
            <w:r>
              <w:rPr>
                <w:rFonts w:ascii="宋体" w:hAnsi="宋体" w:cs="宋体"/>
              </w:rPr>
              <w:t>3</w:t>
            </w:r>
            <w:r>
              <w:rPr>
                <w:rFonts w:hint="eastAsia" w:ascii="宋体" w:hAnsi="宋体" w:cs="宋体"/>
              </w:rPr>
              <w:t>分）</w:t>
            </w:r>
          </w:p>
        </w:tc>
        <w:tc>
          <w:tcPr>
            <w:tcW w:w="294" w:type="pct"/>
            <w:noWrap w:val="0"/>
            <w:vAlign w:val="top"/>
          </w:tcPr>
          <w:p>
            <w:pPr>
              <w:spacing w:line="240" w:lineRule="exact"/>
              <w:ind w:left="105" w:leftChars="50" w:right="105" w:rightChars="50"/>
              <w:rPr>
                <w:rFonts w:hint="default" w:ascii="宋体" w:eastAsia="宋体"/>
                <w:lang w:val="en-US" w:eastAsia="zh-CN"/>
              </w:rPr>
            </w:pPr>
            <w:r>
              <w:rPr>
                <w:rFonts w:hint="eastAsia" w:ascii="宋体" w:eastAsia="宋体"/>
                <w:lang w:val="en-US" w:eastAsia="zh-CN"/>
              </w:rPr>
              <w:t>2</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预算编制是否经过科学论证、有明确标准，资金额度与年度目标是否相适应，用以反映和考核预算支出预算编制的科学性、合理性情况。</w:t>
            </w:r>
          </w:p>
        </w:tc>
        <w:tc>
          <w:tcPr>
            <w:tcW w:w="2282" w:type="pct"/>
            <w:noWrap w:val="0"/>
            <w:tcMar>
              <w:top w:w="10" w:type="dxa"/>
              <w:left w:w="10" w:type="dxa"/>
              <w:bottom w:w="0" w:type="dxa"/>
              <w:right w:w="10" w:type="dxa"/>
            </w:tcMar>
            <w:vAlign w:val="center"/>
          </w:tcPr>
          <w:p>
            <w:pPr>
              <w:spacing w:line="220" w:lineRule="exact"/>
              <w:ind w:left="105" w:leftChars="50" w:right="105" w:rightChars="50"/>
              <w:rPr>
                <w:rFonts w:ascii="宋体"/>
              </w:rPr>
            </w:pPr>
            <w:r>
              <w:rPr>
                <w:rFonts w:hint="eastAsia" w:ascii="宋体" w:hAnsi="宋体" w:cs="宋体"/>
              </w:rPr>
              <w:t>评价要点：</w:t>
            </w:r>
          </w:p>
          <w:p>
            <w:pPr>
              <w:spacing w:line="220" w:lineRule="exact"/>
              <w:ind w:left="105" w:leftChars="50" w:right="105" w:rightChars="50"/>
              <w:rPr>
                <w:rFonts w:ascii="宋体"/>
              </w:rPr>
            </w:pPr>
            <w:r>
              <w:rPr>
                <w:rFonts w:hint="eastAsia" w:ascii="宋体" w:hAnsi="宋体" w:cs="宋体"/>
              </w:rPr>
              <w:t>①预算编制是否经过科学论证；</w:t>
            </w:r>
          </w:p>
          <w:p>
            <w:pPr>
              <w:spacing w:line="220" w:lineRule="exact"/>
              <w:ind w:left="105" w:leftChars="50" w:right="105" w:rightChars="50"/>
              <w:rPr>
                <w:rFonts w:ascii="宋体"/>
              </w:rPr>
            </w:pPr>
            <w:r>
              <w:rPr>
                <w:rFonts w:hint="eastAsia" w:ascii="宋体" w:hAnsi="宋体" w:cs="宋体"/>
              </w:rPr>
              <w:t>②预算内容与支出内容是否匹配；</w:t>
            </w:r>
          </w:p>
          <w:p>
            <w:pPr>
              <w:spacing w:line="220" w:lineRule="exact"/>
              <w:ind w:left="105" w:leftChars="50" w:right="105" w:rightChars="50"/>
              <w:rPr>
                <w:rFonts w:ascii="宋体"/>
              </w:rPr>
            </w:pPr>
            <w:r>
              <w:rPr>
                <w:rFonts w:hint="eastAsia" w:ascii="宋体" w:hAnsi="宋体" w:cs="宋体"/>
              </w:rPr>
              <w:t>③预算额度测算依据是否充分，是否按照标准编制；</w:t>
            </w:r>
          </w:p>
          <w:p>
            <w:pPr>
              <w:spacing w:line="220" w:lineRule="exact"/>
              <w:ind w:left="105" w:leftChars="50" w:right="105" w:rightChars="50"/>
              <w:rPr>
                <w:rFonts w:ascii="宋体"/>
              </w:rPr>
            </w:pPr>
            <w:r>
              <w:rPr>
                <w:rFonts w:hint="eastAsia" w:ascii="宋体" w:hAnsi="宋体" w:cs="宋体"/>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rPr>
                <w:rFonts w:ascii="宋体"/>
              </w:rPr>
            </w:pPr>
          </w:p>
        </w:tc>
        <w:tc>
          <w:tcPr>
            <w:tcW w:w="247" w:type="pct"/>
            <w:vMerge w:val="continue"/>
            <w:noWrap w:val="0"/>
            <w:vAlign w:val="center"/>
          </w:tcPr>
          <w:p>
            <w:pPr>
              <w:spacing w:line="240" w:lineRule="exact"/>
              <w:jc w:val="center"/>
              <w:rPr>
                <w:rFonts w:ascii="宋体"/>
              </w:rPr>
            </w:pP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资金分配</w:t>
            </w:r>
          </w:p>
          <w:p>
            <w:pPr>
              <w:spacing w:line="240" w:lineRule="exact"/>
              <w:ind w:left="105" w:leftChars="50" w:right="105" w:rightChars="50"/>
              <w:jc w:val="center"/>
              <w:rPr>
                <w:rFonts w:ascii="宋体"/>
              </w:rPr>
            </w:pPr>
            <w:r>
              <w:rPr>
                <w:rFonts w:hint="eastAsia" w:ascii="宋体" w:hAnsi="宋体" w:cs="宋体"/>
              </w:rPr>
              <w:t>合理性（</w:t>
            </w:r>
            <w:r>
              <w:rPr>
                <w:rFonts w:ascii="宋体" w:hAnsi="宋体" w:cs="宋体"/>
              </w:rPr>
              <w:t>3</w:t>
            </w:r>
            <w:r>
              <w:rPr>
                <w:rFonts w:hint="eastAsia" w:ascii="宋体" w:hAnsi="宋体" w:cs="宋体"/>
              </w:rPr>
              <w:t>分）</w:t>
            </w:r>
          </w:p>
        </w:tc>
        <w:tc>
          <w:tcPr>
            <w:tcW w:w="294"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3</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预算资金分配是否有测算依据，与补助单位或地方实际是否相适应，用以反映和考核预算支出预算资金分配的科学性、合理性情况。</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right="105" w:rightChars="50" w:firstLine="105" w:firstLineChars="50"/>
              <w:rPr>
                <w:rFonts w:ascii="宋体"/>
              </w:rPr>
            </w:pPr>
            <w:r>
              <w:rPr>
                <w:rFonts w:hint="eastAsia" w:ascii="宋体" w:hAnsi="宋体" w:cs="宋体"/>
              </w:rPr>
              <w:t>①预算资金分配依据是否充分；</w:t>
            </w:r>
          </w:p>
          <w:p>
            <w:pPr>
              <w:spacing w:line="240" w:lineRule="exact"/>
              <w:ind w:left="105" w:leftChars="50" w:right="105" w:rightChars="50"/>
              <w:rPr>
                <w:rFonts w:ascii="宋体"/>
              </w:rPr>
            </w:pPr>
            <w:r>
              <w:rPr>
                <w:rFonts w:hint="eastAsia" w:ascii="宋体" w:hAnsi="宋体" w:cs="宋体"/>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295" w:type="pct"/>
            <w:vMerge w:val="restart"/>
            <w:noWrap w:val="0"/>
            <w:vAlign w:val="center"/>
          </w:tcPr>
          <w:p>
            <w:pPr>
              <w:spacing w:line="240" w:lineRule="exact"/>
              <w:jc w:val="center"/>
              <w:rPr>
                <w:rFonts w:ascii="宋体"/>
              </w:rPr>
            </w:pPr>
            <w:r>
              <w:rPr>
                <w:rFonts w:hint="eastAsia" w:ascii="宋体" w:hAnsi="宋体" w:cs="宋体"/>
              </w:rPr>
              <w:t>过</w:t>
            </w:r>
          </w:p>
          <w:p>
            <w:pPr>
              <w:spacing w:line="240" w:lineRule="exact"/>
              <w:jc w:val="center"/>
              <w:rPr>
                <w:rFonts w:ascii="宋体"/>
              </w:rPr>
            </w:pPr>
          </w:p>
          <w:p>
            <w:pPr>
              <w:spacing w:line="240" w:lineRule="exact"/>
              <w:jc w:val="center"/>
              <w:rPr>
                <w:rFonts w:ascii="宋体"/>
              </w:rPr>
            </w:pPr>
          </w:p>
          <w:p>
            <w:pPr>
              <w:spacing w:line="240" w:lineRule="exact"/>
              <w:jc w:val="center"/>
              <w:rPr>
                <w:rFonts w:ascii="宋体"/>
              </w:rPr>
            </w:pPr>
            <w:r>
              <w:rPr>
                <w:rFonts w:hint="eastAsia" w:ascii="宋体" w:hAnsi="宋体" w:cs="宋体"/>
              </w:rPr>
              <w:t>程（</w:t>
            </w:r>
            <w:r>
              <w:rPr>
                <w:rFonts w:ascii="宋体" w:hAnsi="宋体" w:cs="宋体"/>
              </w:rPr>
              <w:t>20</w:t>
            </w:r>
            <w:r>
              <w:rPr>
                <w:rFonts w:hint="eastAsia" w:ascii="宋体" w:hAnsi="宋体" w:cs="宋体"/>
              </w:rPr>
              <w:t>分）</w:t>
            </w:r>
          </w:p>
        </w:tc>
        <w:tc>
          <w:tcPr>
            <w:tcW w:w="247" w:type="pct"/>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资金</w:t>
            </w:r>
            <w:r>
              <w:rPr>
                <w:rFonts w:ascii="宋体"/>
              </w:rPr>
              <w:br w:type="textWrapping"/>
            </w:r>
            <w:r>
              <w:rPr>
                <w:rFonts w:hint="eastAsia" w:ascii="宋体" w:hAnsi="宋体" w:cs="宋体"/>
              </w:rPr>
              <w:t>管理（</w:t>
            </w:r>
            <w:r>
              <w:rPr>
                <w:rFonts w:ascii="宋体" w:hAnsi="宋体" w:cs="宋体"/>
              </w:rPr>
              <w:t>12</w:t>
            </w:r>
            <w:r>
              <w:rPr>
                <w:rFonts w:hint="eastAsia" w:ascii="宋体" w:hAnsi="宋体" w:cs="宋体"/>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w:t>
            </w:r>
          </w:p>
          <w:p>
            <w:pPr>
              <w:spacing w:line="240" w:lineRule="exact"/>
              <w:ind w:left="105" w:leftChars="50" w:right="105" w:rightChars="50"/>
              <w:jc w:val="center"/>
              <w:rPr>
                <w:rFonts w:ascii="宋体"/>
              </w:rPr>
            </w:pPr>
            <w:r>
              <w:rPr>
                <w:rFonts w:hint="eastAsia" w:ascii="宋体" w:hAnsi="宋体" w:cs="宋体"/>
              </w:rPr>
              <w:t>到位率（</w:t>
            </w:r>
            <w:r>
              <w:rPr>
                <w:rFonts w:ascii="宋体" w:hAnsi="宋体" w:cs="宋体"/>
              </w:rPr>
              <w:t>4</w:t>
            </w:r>
            <w:r>
              <w:rPr>
                <w:rFonts w:hint="eastAsia" w:ascii="宋体" w:hAnsi="宋体" w:cs="宋体"/>
              </w:rPr>
              <w:t>分）</w:t>
            </w:r>
          </w:p>
        </w:tc>
        <w:tc>
          <w:tcPr>
            <w:tcW w:w="294"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实际到位资金与预算资金的比率，用以反映和考核资金落实情况对预算支出实施的总体保障程度。</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资金到位率</w:t>
            </w:r>
            <w:r>
              <w:rPr>
                <w:rFonts w:ascii="宋体" w:hAnsi="宋体" w:cs="宋体"/>
              </w:rPr>
              <w:t>=</w:t>
            </w:r>
            <w:r>
              <w:rPr>
                <w:rFonts w:hint="eastAsia" w:ascii="宋体" w:hAnsi="宋体" w:cs="宋体"/>
              </w:rPr>
              <w:t>（实际到位资金</w:t>
            </w:r>
            <w:r>
              <w:rPr>
                <w:rFonts w:ascii="宋体" w:hAnsi="宋体" w:cs="宋体"/>
              </w:rPr>
              <w:t>/</w:t>
            </w:r>
            <w:r>
              <w:rPr>
                <w:rFonts w:hint="eastAsia" w:ascii="宋体" w:hAnsi="宋体" w:cs="宋体"/>
              </w:rPr>
              <w:t>预算资金）×</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实际到位资金：一定时期（本年度或预算支出期）内落实到具体预算支出的资金。</w:t>
            </w:r>
            <w:r>
              <w:rPr>
                <w:rFonts w:ascii="宋体"/>
              </w:rPr>
              <w:br w:type="textWrapping"/>
            </w:r>
            <w:r>
              <w:rPr>
                <w:rFonts w:hint="eastAsia" w:ascii="宋体" w:hAnsi="宋体" w:cs="宋体"/>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295" w:type="pct"/>
            <w:vMerge w:val="continue"/>
            <w:noWrap w:val="0"/>
            <w:vAlign w:val="center"/>
          </w:tcPr>
          <w:p>
            <w:pPr>
              <w:spacing w:line="240" w:lineRule="exact"/>
              <w:jc w:val="center"/>
              <w:rPr>
                <w:rFonts w:ascii="宋体"/>
              </w:rPr>
            </w:pPr>
          </w:p>
        </w:tc>
        <w:tc>
          <w:tcPr>
            <w:tcW w:w="247" w:type="pct"/>
            <w:vMerge w:val="continue"/>
            <w:noWrap w:val="0"/>
            <w:tcMar>
              <w:top w:w="10" w:type="dxa"/>
              <w:left w:w="10" w:type="dxa"/>
              <w:bottom w:w="0" w:type="dxa"/>
              <w:right w:w="10" w:type="dxa"/>
            </w:tcMar>
            <w:vAlign w:val="center"/>
          </w:tcPr>
          <w:p>
            <w:pPr>
              <w:spacing w:line="240" w:lineRule="exact"/>
              <w:jc w:val="center"/>
              <w:rPr>
                <w:rFonts w:ascii="宋体"/>
              </w:rPr>
            </w:pP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预算</w:t>
            </w:r>
          </w:p>
          <w:p>
            <w:pPr>
              <w:spacing w:line="240" w:lineRule="exact"/>
              <w:ind w:left="105" w:leftChars="50" w:right="105" w:rightChars="50"/>
              <w:jc w:val="center"/>
              <w:rPr>
                <w:rFonts w:ascii="宋体"/>
              </w:rPr>
            </w:pPr>
            <w:r>
              <w:rPr>
                <w:rFonts w:hint="eastAsia" w:ascii="宋体" w:hAnsi="宋体" w:cs="宋体"/>
              </w:rPr>
              <w:t>执行率（</w:t>
            </w:r>
            <w:r>
              <w:rPr>
                <w:rFonts w:ascii="宋体" w:hAnsi="宋体" w:cs="宋体"/>
              </w:rPr>
              <w:t>4</w:t>
            </w:r>
            <w:r>
              <w:rPr>
                <w:rFonts w:hint="eastAsia" w:ascii="宋体" w:hAnsi="宋体" w:cs="宋体"/>
              </w:rPr>
              <w:t>分）</w:t>
            </w:r>
          </w:p>
        </w:tc>
        <w:tc>
          <w:tcPr>
            <w:tcW w:w="294"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预算资金是否按照计划执行，用以反映或考核预算支出预算执行情况。</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预算执行率</w:t>
            </w:r>
            <w:r>
              <w:rPr>
                <w:rFonts w:ascii="宋体" w:hAnsi="宋体" w:cs="宋体"/>
              </w:rPr>
              <w:t>=</w:t>
            </w:r>
            <w:r>
              <w:rPr>
                <w:rFonts w:hint="eastAsia" w:ascii="宋体" w:hAnsi="宋体" w:cs="宋体"/>
              </w:rPr>
              <w:t>（实际支出资金</w:t>
            </w:r>
            <w:r>
              <w:rPr>
                <w:rFonts w:ascii="宋体" w:hAnsi="宋体" w:cs="宋体"/>
              </w:rPr>
              <w:t>/</w:t>
            </w:r>
            <w:r>
              <w:rPr>
                <w:rFonts w:hint="eastAsia" w:ascii="宋体" w:hAnsi="宋体" w:cs="宋体"/>
              </w:rPr>
              <w:t>实际到位资金）×</w:t>
            </w:r>
            <w:r>
              <w:rPr>
                <w:rFonts w:ascii="宋体" w:hAnsi="宋体" w:cs="宋体"/>
              </w:rPr>
              <w:t>100%</w:t>
            </w:r>
            <w:r>
              <w:rPr>
                <w:rFonts w:hint="eastAsia" w:ascii="宋体" w:hAnsi="宋体" w:cs="宋体"/>
              </w:rPr>
              <w:t>。</w:t>
            </w:r>
          </w:p>
          <w:p>
            <w:pPr>
              <w:spacing w:line="240" w:lineRule="exact"/>
              <w:ind w:left="105" w:leftChars="50" w:right="105" w:rightChars="50"/>
              <w:rPr>
                <w:rFonts w:ascii="宋体"/>
              </w:rPr>
            </w:pPr>
            <w:r>
              <w:rPr>
                <w:rFonts w:hint="eastAsia" w:ascii="宋体" w:hAnsi="宋体" w:cs="宋体"/>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jc w:val="center"/>
              <w:rPr>
                <w:rFonts w:ascii="宋体"/>
              </w:rPr>
            </w:pPr>
          </w:p>
        </w:tc>
        <w:tc>
          <w:tcPr>
            <w:tcW w:w="247" w:type="pct"/>
            <w:vMerge w:val="continue"/>
            <w:noWrap w:val="0"/>
            <w:vAlign w:val="center"/>
          </w:tcPr>
          <w:p>
            <w:pPr>
              <w:spacing w:line="240" w:lineRule="exact"/>
              <w:rPr>
                <w:rFonts w:ascii="宋体"/>
              </w:rPr>
            </w:pP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资金使用</w:t>
            </w:r>
          </w:p>
          <w:p>
            <w:pPr>
              <w:spacing w:line="240" w:lineRule="exact"/>
              <w:ind w:left="105" w:leftChars="50" w:right="105" w:rightChars="50"/>
              <w:jc w:val="center"/>
              <w:rPr>
                <w:rFonts w:ascii="宋体"/>
              </w:rPr>
            </w:pPr>
            <w:r>
              <w:rPr>
                <w:rFonts w:hint="eastAsia" w:ascii="宋体" w:hAnsi="宋体" w:cs="宋体"/>
              </w:rPr>
              <w:t>合规性（</w:t>
            </w:r>
            <w:r>
              <w:rPr>
                <w:rFonts w:ascii="宋体" w:hAnsi="宋体" w:cs="宋体"/>
              </w:rPr>
              <w:t>4</w:t>
            </w:r>
            <w:r>
              <w:rPr>
                <w:rFonts w:hint="eastAsia" w:ascii="宋体" w:hAnsi="宋体" w:cs="宋体"/>
              </w:rPr>
              <w:t>分）</w:t>
            </w:r>
          </w:p>
        </w:tc>
        <w:tc>
          <w:tcPr>
            <w:tcW w:w="294"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预算资金使用是否符合相关的财务管理制度规定，用以反映和考核预算资金的规范运行情况。</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p>
          <w:p>
            <w:pPr>
              <w:spacing w:line="240" w:lineRule="exact"/>
              <w:ind w:left="105" w:leftChars="50" w:right="105" w:rightChars="50"/>
              <w:rPr>
                <w:rFonts w:ascii="宋体"/>
              </w:rPr>
            </w:pPr>
            <w:r>
              <w:rPr>
                <w:rFonts w:hint="eastAsia" w:ascii="宋体" w:hAnsi="宋体" w:cs="宋体"/>
              </w:rPr>
              <w:t>①是否符合国家财经法规和财务管理制度以及有关专项资金管理办法的规定；</w:t>
            </w:r>
          </w:p>
          <w:p>
            <w:pPr>
              <w:spacing w:line="240" w:lineRule="exact"/>
              <w:ind w:right="105" w:rightChars="50" w:firstLine="105" w:firstLineChars="50"/>
              <w:rPr>
                <w:rFonts w:ascii="宋体"/>
              </w:rPr>
            </w:pPr>
            <w:r>
              <w:rPr>
                <w:rFonts w:hint="eastAsia" w:ascii="宋体" w:hAnsi="宋体" w:cs="宋体"/>
              </w:rPr>
              <w:t>②资金的拨付是否有完整的审批程序和手续；</w:t>
            </w:r>
          </w:p>
          <w:p>
            <w:pPr>
              <w:spacing w:line="240" w:lineRule="exact"/>
              <w:ind w:right="105" w:rightChars="50" w:firstLine="105" w:firstLineChars="50"/>
              <w:rPr>
                <w:rFonts w:ascii="宋体"/>
              </w:rPr>
            </w:pPr>
            <w:r>
              <w:rPr>
                <w:rFonts w:hint="eastAsia" w:ascii="宋体" w:hAnsi="宋体" w:cs="宋体"/>
              </w:rPr>
              <w:t>③是否符合预算支出预算批复或合同规定的用途；</w:t>
            </w:r>
          </w:p>
          <w:p>
            <w:pPr>
              <w:spacing w:line="240" w:lineRule="exact"/>
              <w:ind w:left="105" w:leftChars="50" w:right="105" w:rightChars="50"/>
              <w:rPr>
                <w:rFonts w:ascii="宋体"/>
              </w:rPr>
            </w:pPr>
            <w:r>
              <w:rPr>
                <w:rFonts w:hint="eastAsia" w:ascii="宋体" w:hAnsi="宋体" w:cs="宋体"/>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组织</w:t>
            </w:r>
          </w:p>
          <w:p>
            <w:pPr>
              <w:spacing w:line="240" w:lineRule="exact"/>
              <w:jc w:val="center"/>
              <w:rPr>
                <w:rFonts w:ascii="宋体"/>
              </w:rPr>
            </w:pPr>
            <w:r>
              <w:rPr>
                <w:rFonts w:hint="eastAsia" w:ascii="宋体" w:hAnsi="宋体" w:cs="宋体"/>
              </w:rPr>
              <w:t>实施（</w:t>
            </w:r>
            <w:r>
              <w:rPr>
                <w:rFonts w:ascii="宋体" w:hAnsi="宋体" w:cs="宋体"/>
              </w:rPr>
              <w:t>8</w:t>
            </w:r>
            <w:r>
              <w:rPr>
                <w:rFonts w:hint="eastAsia" w:ascii="宋体" w:hAnsi="宋体" w:cs="宋体"/>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管理制度</w:t>
            </w:r>
          </w:p>
          <w:p>
            <w:pPr>
              <w:spacing w:line="240" w:lineRule="exact"/>
              <w:ind w:left="105" w:leftChars="50" w:right="105" w:rightChars="50"/>
              <w:jc w:val="center"/>
              <w:rPr>
                <w:rFonts w:ascii="宋体"/>
              </w:rPr>
            </w:pPr>
            <w:r>
              <w:rPr>
                <w:rFonts w:hint="eastAsia" w:ascii="宋体" w:hAnsi="宋体" w:cs="宋体"/>
              </w:rPr>
              <w:t>健全性（</w:t>
            </w:r>
            <w:r>
              <w:rPr>
                <w:rFonts w:ascii="宋体" w:hAnsi="宋体" w:cs="宋体"/>
              </w:rPr>
              <w:t>4</w:t>
            </w:r>
            <w:r>
              <w:rPr>
                <w:rFonts w:hint="eastAsia" w:ascii="宋体" w:hAnsi="宋体" w:cs="宋体"/>
              </w:rPr>
              <w:t>分）</w:t>
            </w:r>
          </w:p>
        </w:tc>
        <w:tc>
          <w:tcPr>
            <w:tcW w:w="294"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预算支出实施单位的财务和业务管理制度是否健全，用以反映和考核财务和业务管理制度对预算支出顺利实施的保障情况。</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①是否已制定或具有相应的业务管理制度；</w:t>
            </w:r>
            <w:r>
              <w:rPr>
                <w:rFonts w:ascii="宋体"/>
              </w:rPr>
              <w:br w:type="textWrapping"/>
            </w:r>
            <w:r>
              <w:rPr>
                <w:rFonts w:hint="eastAsia" w:ascii="宋体" w:hAnsi="宋体" w:cs="宋体"/>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rPr>
                <w:rFonts w:ascii="宋体"/>
              </w:rPr>
            </w:pPr>
          </w:p>
        </w:tc>
        <w:tc>
          <w:tcPr>
            <w:tcW w:w="247" w:type="pct"/>
            <w:vMerge w:val="continue"/>
            <w:noWrap w:val="0"/>
            <w:vAlign w:val="center"/>
          </w:tcPr>
          <w:p>
            <w:pPr>
              <w:spacing w:line="240" w:lineRule="exact"/>
              <w:rPr>
                <w:rFonts w:ascii="宋体"/>
              </w:rPr>
            </w:pP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制度执行</w:t>
            </w:r>
          </w:p>
          <w:p>
            <w:pPr>
              <w:spacing w:line="240" w:lineRule="exact"/>
              <w:ind w:left="105" w:leftChars="50" w:right="105" w:rightChars="50"/>
              <w:jc w:val="center"/>
              <w:rPr>
                <w:rFonts w:ascii="宋体"/>
              </w:rPr>
            </w:pPr>
            <w:r>
              <w:rPr>
                <w:rFonts w:hint="eastAsia" w:ascii="宋体" w:hAnsi="宋体" w:cs="宋体"/>
              </w:rPr>
              <w:t>有效性（</w:t>
            </w:r>
            <w:r>
              <w:rPr>
                <w:rFonts w:ascii="宋体" w:hAnsi="宋体" w:cs="宋体"/>
              </w:rPr>
              <w:t>4</w:t>
            </w:r>
            <w:r>
              <w:rPr>
                <w:rFonts w:hint="eastAsia" w:ascii="宋体" w:hAnsi="宋体" w:cs="宋体"/>
              </w:rPr>
              <w:t>分）</w:t>
            </w:r>
          </w:p>
        </w:tc>
        <w:tc>
          <w:tcPr>
            <w:tcW w:w="294" w:type="pct"/>
            <w:noWrap w:val="0"/>
            <w:vAlign w:val="top"/>
          </w:tcPr>
          <w:p>
            <w:pPr>
              <w:spacing w:line="240" w:lineRule="exact"/>
              <w:ind w:left="105" w:leftChars="50" w:right="105" w:rightChars="50"/>
              <w:rPr>
                <w:rFonts w:hint="eastAsia" w:ascii="宋体" w:eastAsia="宋体"/>
                <w:lang w:val="en-US" w:eastAsia="zh-CN"/>
              </w:rPr>
            </w:pPr>
            <w:r>
              <w:rPr>
                <w:rFonts w:hint="eastAsia" w:ascii="宋体"/>
                <w:lang w:val="en-US" w:eastAsia="zh-CN"/>
              </w:rPr>
              <w:t>4</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预算支出实施是否符合相关业务管理规定，用以反映和考核业务管理制度的有效执行情况。</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评价要点：</w:t>
            </w:r>
            <w:r>
              <w:rPr>
                <w:rFonts w:ascii="宋体"/>
              </w:rPr>
              <w:br w:type="textWrapping"/>
            </w:r>
            <w:r>
              <w:rPr>
                <w:rFonts w:hint="eastAsia" w:ascii="宋体" w:hAnsi="宋体" w:cs="宋体"/>
              </w:rPr>
              <w:t>①是否遵守相关法律法规和相关管理规定；</w:t>
            </w:r>
            <w:r>
              <w:rPr>
                <w:rFonts w:ascii="宋体"/>
              </w:rPr>
              <w:br w:type="textWrapping"/>
            </w:r>
            <w:r>
              <w:rPr>
                <w:rFonts w:hint="eastAsia" w:ascii="宋体" w:hAnsi="宋体" w:cs="宋体"/>
              </w:rPr>
              <w:t>②预算支出调整及支出调整手续是否完备；</w:t>
            </w:r>
            <w:r>
              <w:rPr>
                <w:rFonts w:ascii="宋体"/>
              </w:rPr>
              <w:br w:type="textWrapping"/>
            </w:r>
            <w:r>
              <w:rPr>
                <w:rFonts w:hint="eastAsia" w:ascii="宋体" w:hAnsi="宋体" w:cs="宋体"/>
              </w:rPr>
              <w:t>③预算支出合同书、验收报告、技术鉴定等资料是否齐全并及时归档；</w:t>
            </w:r>
            <w:r>
              <w:rPr>
                <w:rFonts w:ascii="宋体"/>
              </w:rPr>
              <w:br w:type="textWrapping"/>
            </w:r>
            <w:r>
              <w:rPr>
                <w:rFonts w:hint="eastAsia" w:ascii="宋体" w:hAnsi="宋体" w:cs="宋体"/>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47" w:type="pc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数量（</w:t>
            </w:r>
            <w:r>
              <w:rPr>
                <w:rFonts w:ascii="宋体" w:hAnsi="宋体" w:cs="宋体"/>
              </w:rPr>
              <w:t>10</w:t>
            </w:r>
            <w:r>
              <w:rPr>
                <w:rFonts w:hint="eastAsia" w:ascii="宋体" w:hAnsi="宋体" w:cs="宋体"/>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实际</w:t>
            </w:r>
          </w:p>
          <w:p>
            <w:pPr>
              <w:spacing w:line="240" w:lineRule="exact"/>
              <w:ind w:left="105" w:leftChars="50" w:right="105" w:rightChars="50"/>
              <w:jc w:val="center"/>
              <w:rPr>
                <w:rFonts w:ascii="宋体"/>
              </w:rPr>
            </w:pPr>
            <w:r>
              <w:rPr>
                <w:rFonts w:hint="eastAsia" w:ascii="宋体" w:hAnsi="宋体" w:cs="宋体"/>
              </w:rPr>
              <w:t>完成率（</w:t>
            </w:r>
            <w:r>
              <w:rPr>
                <w:rFonts w:ascii="宋体" w:hAnsi="宋体" w:cs="宋体"/>
              </w:rPr>
              <w:t>10</w:t>
            </w:r>
            <w:r>
              <w:rPr>
                <w:rFonts w:hint="eastAsia" w:ascii="宋体" w:hAnsi="宋体" w:cs="宋体"/>
              </w:rPr>
              <w:t>分）</w:t>
            </w:r>
          </w:p>
        </w:tc>
        <w:tc>
          <w:tcPr>
            <w:tcW w:w="294" w:type="pct"/>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预算支出实施的实际产出数与计划产出数的比率，用以反映和考核预算支出产出数量目标的实现程度。</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实际完成率</w:t>
            </w:r>
            <w:r>
              <w:rPr>
                <w:rFonts w:ascii="宋体" w:hAnsi="宋体" w:cs="宋体"/>
              </w:rPr>
              <w:t>=</w:t>
            </w:r>
            <w:r>
              <w:rPr>
                <w:rFonts w:hint="eastAsia" w:ascii="宋体" w:hAnsi="宋体" w:cs="宋体"/>
              </w:rPr>
              <w:t>（实际产出数</w:t>
            </w:r>
            <w:r>
              <w:rPr>
                <w:rFonts w:ascii="宋体" w:hAnsi="宋体" w:cs="宋体"/>
              </w:rPr>
              <w:t>/</w:t>
            </w:r>
            <w:r>
              <w:rPr>
                <w:rFonts w:hint="eastAsia" w:ascii="宋体" w:hAnsi="宋体" w:cs="宋体"/>
              </w:rPr>
              <w:t>计划产出数）×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实际产出数：一定时期（本年度或预算支出期）内预算支出实际产出的产品或提供的服务数量。</w:t>
            </w:r>
            <w:r>
              <w:rPr>
                <w:rFonts w:ascii="宋体"/>
              </w:rPr>
              <w:br w:type="textWrapping"/>
            </w:r>
            <w:r>
              <w:rPr>
                <w:rFonts w:hint="eastAsia" w:ascii="宋体" w:hAnsi="宋体" w:cs="宋体"/>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295" w:type="pct"/>
            <w:vMerge w:val="continue"/>
            <w:noWrap/>
            <w:tcMar>
              <w:top w:w="10" w:type="dxa"/>
              <w:left w:w="10" w:type="dxa"/>
              <w:bottom w:w="0" w:type="dxa"/>
              <w:right w:w="10" w:type="dxa"/>
            </w:tcMar>
            <w:textDirection w:val="tbRlV"/>
            <w:vAlign w:val="center"/>
          </w:tcPr>
          <w:p>
            <w:pPr>
              <w:spacing w:line="240" w:lineRule="exact"/>
              <w:jc w:val="center"/>
              <w:rPr>
                <w:rFonts w:ascii="宋体"/>
              </w:rPr>
            </w:pPr>
          </w:p>
        </w:tc>
        <w:tc>
          <w:tcPr>
            <w:tcW w:w="247" w:type="pc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质量（</w:t>
            </w:r>
            <w:r>
              <w:rPr>
                <w:rFonts w:ascii="宋体" w:hAnsi="宋体" w:cs="宋体"/>
              </w:rPr>
              <w:t>10</w:t>
            </w:r>
            <w:r>
              <w:rPr>
                <w:rFonts w:hint="eastAsia" w:ascii="宋体" w:hAnsi="宋体" w:cs="宋体"/>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质量</w:t>
            </w:r>
          </w:p>
          <w:p>
            <w:pPr>
              <w:spacing w:line="240" w:lineRule="exact"/>
              <w:ind w:left="105" w:leftChars="50" w:right="105" w:rightChars="50"/>
              <w:jc w:val="center"/>
              <w:rPr>
                <w:rFonts w:ascii="宋体"/>
              </w:rPr>
            </w:pPr>
            <w:r>
              <w:rPr>
                <w:rFonts w:hint="eastAsia" w:ascii="宋体" w:hAnsi="宋体" w:cs="宋体"/>
              </w:rPr>
              <w:t>达标率（</w:t>
            </w:r>
            <w:r>
              <w:rPr>
                <w:rFonts w:ascii="宋体" w:hAnsi="宋体" w:cs="宋体"/>
              </w:rPr>
              <w:t>10</w:t>
            </w:r>
            <w:r>
              <w:rPr>
                <w:rFonts w:hint="eastAsia" w:ascii="宋体" w:hAnsi="宋体" w:cs="宋体"/>
              </w:rPr>
              <w:t>分）</w:t>
            </w:r>
          </w:p>
        </w:tc>
        <w:tc>
          <w:tcPr>
            <w:tcW w:w="294" w:type="pct"/>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预算支出完成的质量达标产出数与实际产出数的比率，用以反映和考核预算支出产出质量目标的实现程度。</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质量达标率</w:t>
            </w:r>
            <w:r>
              <w:rPr>
                <w:rFonts w:ascii="宋体" w:hAnsi="宋体" w:cs="宋体"/>
              </w:rPr>
              <w:t>=</w:t>
            </w:r>
            <w:r>
              <w:rPr>
                <w:rFonts w:hint="eastAsia" w:ascii="宋体" w:hAnsi="宋体" w:cs="宋体"/>
              </w:rPr>
              <w:t>（质量达标产出数</w:t>
            </w:r>
            <w:r>
              <w:rPr>
                <w:rFonts w:ascii="宋体" w:hAnsi="宋体" w:cs="宋体"/>
              </w:rPr>
              <w:t>/</w:t>
            </w:r>
            <w:r>
              <w:rPr>
                <w:rFonts w:hint="eastAsia" w:ascii="宋体" w:hAnsi="宋体" w:cs="宋体"/>
              </w:rPr>
              <w:t>实际产出数）×</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5" w:hRule="atLeast"/>
          <w:jc w:val="center"/>
        </w:trPr>
        <w:tc>
          <w:tcPr>
            <w:tcW w:w="295" w:type="pct"/>
            <w:vMerge w:val="restart"/>
            <w:noWrap w:val="0"/>
            <w:vAlign w:val="center"/>
          </w:tcPr>
          <w:p>
            <w:pPr>
              <w:spacing w:line="240" w:lineRule="exact"/>
              <w:ind w:left="113"/>
              <w:rPr>
                <w:rFonts w:ascii="宋体"/>
              </w:rPr>
            </w:pPr>
            <w:r>
              <w:rPr>
                <w:rFonts w:hint="eastAsia" w:ascii="宋体" w:hAnsi="宋体" w:cs="宋体"/>
              </w:rPr>
              <w:t>产</w:t>
            </w:r>
            <w:r>
              <w:rPr>
                <w:rFonts w:ascii="宋体" w:hAnsi="宋体" w:cs="宋体"/>
              </w:rPr>
              <w:t xml:space="preserve">   </w:t>
            </w:r>
            <w:r>
              <w:rPr>
                <w:rFonts w:hint="eastAsia" w:ascii="宋体" w:hAnsi="宋体" w:cs="宋体"/>
              </w:rPr>
              <w:t>出（</w:t>
            </w:r>
            <w:r>
              <w:rPr>
                <w:rFonts w:ascii="宋体" w:hAnsi="宋体" w:cs="宋体"/>
              </w:rPr>
              <w:t>40</w:t>
            </w:r>
            <w:r>
              <w:rPr>
                <w:rFonts w:hint="eastAsia" w:ascii="宋体" w:hAnsi="宋体" w:cs="宋体"/>
              </w:rPr>
              <w:t>分）</w:t>
            </w:r>
          </w:p>
        </w:tc>
        <w:tc>
          <w:tcPr>
            <w:tcW w:w="247" w:type="pct"/>
            <w:noWrap w:val="0"/>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时效（</w:t>
            </w:r>
            <w:r>
              <w:rPr>
                <w:rFonts w:ascii="宋体" w:hAnsi="宋体" w:cs="宋体"/>
              </w:rPr>
              <w:t>10</w:t>
            </w:r>
            <w:r>
              <w:rPr>
                <w:rFonts w:hint="eastAsia" w:ascii="宋体" w:hAnsi="宋体" w:cs="宋体"/>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完成</w:t>
            </w:r>
          </w:p>
          <w:p>
            <w:pPr>
              <w:spacing w:line="240" w:lineRule="exact"/>
              <w:ind w:left="105" w:leftChars="50" w:right="105" w:rightChars="50"/>
              <w:jc w:val="center"/>
              <w:rPr>
                <w:rFonts w:ascii="宋体"/>
              </w:rPr>
            </w:pPr>
            <w:r>
              <w:rPr>
                <w:rFonts w:hint="eastAsia" w:ascii="宋体" w:hAnsi="宋体" w:cs="宋体"/>
              </w:rPr>
              <w:t>及时性（</w:t>
            </w:r>
            <w:r>
              <w:rPr>
                <w:rFonts w:ascii="宋体" w:hAnsi="宋体" w:cs="宋体"/>
              </w:rPr>
              <w:t>10</w:t>
            </w:r>
            <w:r>
              <w:rPr>
                <w:rFonts w:hint="eastAsia" w:ascii="宋体" w:hAnsi="宋体" w:cs="宋体"/>
              </w:rPr>
              <w:t>分）</w:t>
            </w:r>
          </w:p>
        </w:tc>
        <w:tc>
          <w:tcPr>
            <w:tcW w:w="294" w:type="pct"/>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预算支出实际完成时间与计划完成时间的比较，用以反映和考核预算支出产出时效目标的实现程度。</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实际完成时间：预算支出实施单位完成该预算支出实际所耗用的时间。</w:t>
            </w:r>
            <w:r>
              <w:rPr>
                <w:rFonts w:ascii="宋体"/>
              </w:rPr>
              <w:br w:type="textWrapping"/>
            </w:r>
            <w:r>
              <w:rPr>
                <w:rFonts w:hint="eastAsia" w:ascii="宋体" w:hAnsi="宋体" w:cs="宋体"/>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ind w:left="113"/>
              <w:rPr>
                <w:rFonts w:ascii="宋体"/>
              </w:rPr>
            </w:pPr>
          </w:p>
        </w:tc>
        <w:tc>
          <w:tcPr>
            <w:tcW w:w="247" w:type="pct"/>
            <w:noWrap w:val="0"/>
            <w:vAlign w:val="center"/>
          </w:tcPr>
          <w:p>
            <w:pPr>
              <w:spacing w:line="240" w:lineRule="exact"/>
              <w:jc w:val="center"/>
              <w:rPr>
                <w:rFonts w:ascii="宋体"/>
              </w:rPr>
            </w:pPr>
            <w:r>
              <w:rPr>
                <w:rFonts w:hint="eastAsia" w:ascii="宋体" w:hAnsi="宋体" w:cs="宋体"/>
              </w:rPr>
              <w:t>产出</w:t>
            </w:r>
          </w:p>
          <w:p>
            <w:pPr>
              <w:spacing w:line="240" w:lineRule="exact"/>
              <w:jc w:val="center"/>
              <w:rPr>
                <w:rFonts w:ascii="宋体"/>
              </w:rPr>
            </w:pPr>
            <w:r>
              <w:rPr>
                <w:rFonts w:hint="eastAsia" w:ascii="宋体" w:hAnsi="宋体" w:cs="宋体"/>
              </w:rPr>
              <w:t>成本（</w:t>
            </w:r>
            <w:r>
              <w:rPr>
                <w:rFonts w:ascii="宋体" w:hAnsi="宋体" w:cs="宋体"/>
              </w:rPr>
              <w:t>10</w:t>
            </w:r>
            <w:r>
              <w:rPr>
                <w:rFonts w:hint="eastAsia" w:ascii="宋体" w:hAnsi="宋体" w:cs="宋体"/>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成本</w:t>
            </w:r>
          </w:p>
          <w:p>
            <w:pPr>
              <w:spacing w:line="240" w:lineRule="exact"/>
              <w:ind w:left="105" w:leftChars="50" w:right="105" w:rightChars="50"/>
              <w:jc w:val="center"/>
              <w:rPr>
                <w:rFonts w:ascii="宋体"/>
              </w:rPr>
            </w:pPr>
            <w:r>
              <w:rPr>
                <w:rFonts w:hint="eastAsia" w:ascii="宋体" w:hAnsi="宋体" w:cs="宋体"/>
              </w:rPr>
              <w:t>节约率（</w:t>
            </w:r>
            <w:r>
              <w:rPr>
                <w:rFonts w:ascii="宋体" w:hAnsi="宋体" w:cs="宋体"/>
              </w:rPr>
              <w:t>10</w:t>
            </w:r>
            <w:r>
              <w:rPr>
                <w:rFonts w:hint="eastAsia" w:ascii="宋体" w:hAnsi="宋体" w:cs="宋体"/>
              </w:rPr>
              <w:t>分）</w:t>
            </w:r>
          </w:p>
        </w:tc>
        <w:tc>
          <w:tcPr>
            <w:tcW w:w="294" w:type="pct"/>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完成预算支出计划工作目标的实际节约成本与计划成本的比率，用以反映和考核预算支出的成本节约程度。</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成本节约率</w:t>
            </w:r>
            <w:r>
              <w:rPr>
                <w:rFonts w:ascii="宋体" w:hAnsi="宋体" w:cs="宋体"/>
              </w:rPr>
              <w:t>=[</w:t>
            </w:r>
            <w:r>
              <w:rPr>
                <w:rFonts w:hint="eastAsia" w:ascii="宋体" w:hAnsi="宋体" w:cs="宋体"/>
              </w:rPr>
              <w:t>（计划成本</w:t>
            </w:r>
            <w:r>
              <w:rPr>
                <w:rFonts w:ascii="宋体" w:cs="宋体"/>
              </w:rPr>
              <w:t>-</w:t>
            </w:r>
            <w:r>
              <w:rPr>
                <w:rFonts w:hint="eastAsia" w:ascii="宋体" w:hAnsi="宋体" w:cs="宋体"/>
              </w:rPr>
              <w:t>实际成本）</w:t>
            </w:r>
            <w:r>
              <w:rPr>
                <w:rFonts w:ascii="宋体" w:hAnsi="宋体" w:cs="宋体"/>
              </w:rPr>
              <w:t>/</w:t>
            </w:r>
            <w:r>
              <w:rPr>
                <w:rFonts w:hint="eastAsia" w:ascii="宋体" w:hAnsi="宋体" w:cs="宋体"/>
              </w:rPr>
              <w:t>计划成本</w:t>
            </w:r>
            <w:r>
              <w:rPr>
                <w:rFonts w:ascii="宋体" w:hAnsi="宋体" w:cs="宋体"/>
              </w:rPr>
              <w:t>]</w:t>
            </w:r>
            <w:r>
              <w:rPr>
                <w:rFonts w:hint="eastAsia" w:ascii="宋体" w:hAnsi="宋体" w:cs="宋体"/>
              </w:rPr>
              <w:t>×</w:t>
            </w:r>
            <w:r>
              <w:rPr>
                <w:rFonts w:ascii="宋体" w:hAnsi="宋体" w:cs="宋体"/>
              </w:rPr>
              <w:t>100%</w:t>
            </w:r>
            <w:r>
              <w:rPr>
                <w:rFonts w:hint="eastAsia" w:ascii="宋体" w:hAnsi="宋体" w:cs="宋体"/>
              </w:rPr>
              <w:t>。</w:t>
            </w:r>
            <w:r>
              <w:rPr>
                <w:rFonts w:ascii="宋体"/>
              </w:rPr>
              <w:br w:type="textWrapping"/>
            </w:r>
            <w:r>
              <w:rPr>
                <w:rFonts w:hint="eastAsia" w:ascii="宋体" w:hAnsi="宋体" w:cs="宋体"/>
              </w:rPr>
              <w:t>实际成本：预算支出实施单位如期、保质、保量完成既定工作目标实际所耗费的支出。</w:t>
            </w:r>
            <w:r>
              <w:rPr>
                <w:rFonts w:ascii="宋体"/>
              </w:rPr>
              <w:br w:type="textWrapping"/>
            </w:r>
            <w:r>
              <w:rPr>
                <w:rFonts w:hint="eastAsia" w:ascii="宋体" w:hAnsi="宋体" w:cs="宋体"/>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restart"/>
            <w:noWrap/>
            <w:tcMar>
              <w:top w:w="10" w:type="dxa"/>
              <w:left w:w="10" w:type="dxa"/>
              <w:bottom w:w="0" w:type="dxa"/>
              <w:right w:w="10" w:type="dxa"/>
            </w:tcMar>
            <w:textDirection w:val="tbRlV"/>
            <w:vAlign w:val="center"/>
          </w:tcPr>
          <w:p>
            <w:pPr>
              <w:spacing w:line="240" w:lineRule="exact"/>
              <w:jc w:val="center"/>
              <w:rPr>
                <w:rFonts w:ascii="宋体"/>
              </w:rPr>
            </w:pPr>
            <w:r>
              <w:rPr>
                <w:rFonts w:hint="eastAsia" w:ascii="宋体" w:hAnsi="宋体" w:cs="宋体"/>
              </w:rPr>
              <w:t>效</w:t>
            </w:r>
            <w:r>
              <w:rPr>
                <w:rFonts w:ascii="宋体" w:hAnsi="宋体" w:cs="宋体"/>
              </w:rPr>
              <w:t xml:space="preserve">   </w:t>
            </w:r>
            <w:r>
              <w:rPr>
                <w:rFonts w:hint="eastAsia" w:ascii="宋体" w:hAnsi="宋体" w:cs="宋体"/>
              </w:rPr>
              <w:t>益（</w:t>
            </w:r>
            <w:r>
              <w:rPr>
                <w:rFonts w:ascii="宋体" w:hAnsi="宋体" w:cs="宋体"/>
              </w:rPr>
              <w:t>20</w:t>
            </w:r>
            <w:r>
              <w:rPr>
                <w:rFonts w:hint="eastAsia" w:ascii="宋体" w:hAnsi="宋体" w:cs="宋体"/>
              </w:rPr>
              <w:t>分）</w:t>
            </w:r>
          </w:p>
        </w:tc>
        <w:tc>
          <w:tcPr>
            <w:tcW w:w="247" w:type="pct"/>
            <w:vMerge w:val="restart"/>
            <w:noWrap w:val="0"/>
            <w:tcMar>
              <w:top w:w="10" w:type="dxa"/>
              <w:left w:w="10" w:type="dxa"/>
              <w:bottom w:w="0" w:type="dxa"/>
              <w:right w:w="10" w:type="dxa"/>
            </w:tcMar>
            <w:vAlign w:val="center"/>
          </w:tcPr>
          <w:p>
            <w:pPr>
              <w:spacing w:line="240" w:lineRule="exact"/>
              <w:jc w:val="center"/>
              <w:rPr>
                <w:rFonts w:ascii="宋体"/>
              </w:rPr>
            </w:pPr>
            <w:r>
              <w:rPr>
                <w:rFonts w:hint="eastAsia" w:ascii="宋体" w:hAnsi="宋体" w:cs="宋体"/>
              </w:rPr>
              <w:t>预算支出</w:t>
            </w:r>
            <w:r>
              <w:rPr>
                <w:rFonts w:ascii="宋体"/>
              </w:rPr>
              <w:br w:type="textWrapping"/>
            </w:r>
            <w:r>
              <w:rPr>
                <w:rFonts w:hint="eastAsia" w:ascii="宋体" w:hAnsi="宋体" w:cs="宋体"/>
              </w:rPr>
              <w:t>效益（</w:t>
            </w:r>
            <w:r>
              <w:rPr>
                <w:rFonts w:ascii="宋体" w:hAnsi="宋体" w:cs="宋体"/>
              </w:rPr>
              <w:t>20</w:t>
            </w:r>
            <w:r>
              <w:rPr>
                <w:rFonts w:hint="eastAsia" w:ascii="宋体" w:hAnsi="宋体" w:cs="宋体"/>
              </w:rPr>
              <w:t>分）</w:t>
            </w: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实施效益（</w:t>
            </w:r>
            <w:r>
              <w:rPr>
                <w:rFonts w:ascii="宋体" w:hAnsi="宋体" w:cs="宋体"/>
              </w:rPr>
              <w:t>10</w:t>
            </w:r>
            <w:r>
              <w:rPr>
                <w:rFonts w:hint="eastAsia" w:ascii="宋体" w:hAnsi="宋体" w:cs="宋体"/>
              </w:rPr>
              <w:t>分）</w:t>
            </w:r>
          </w:p>
        </w:tc>
        <w:tc>
          <w:tcPr>
            <w:tcW w:w="294" w:type="pct"/>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预算支出实施所产生的效益。</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vMerge w:val="continue"/>
            <w:noWrap w:val="0"/>
            <w:vAlign w:val="center"/>
          </w:tcPr>
          <w:p>
            <w:pPr>
              <w:spacing w:line="240" w:lineRule="exact"/>
              <w:rPr>
                <w:rFonts w:ascii="宋体"/>
              </w:rPr>
            </w:pPr>
          </w:p>
        </w:tc>
        <w:tc>
          <w:tcPr>
            <w:tcW w:w="247" w:type="pct"/>
            <w:vMerge w:val="continue"/>
            <w:noWrap w:val="0"/>
            <w:vAlign w:val="center"/>
          </w:tcPr>
          <w:p>
            <w:pPr>
              <w:spacing w:line="240" w:lineRule="exact"/>
              <w:rPr>
                <w:rFonts w:ascii="宋体"/>
              </w:rPr>
            </w:pP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r>
              <w:rPr>
                <w:rFonts w:hint="eastAsia" w:ascii="宋体" w:hAnsi="宋体" w:cs="宋体"/>
              </w:rPr>
              <w:t>社会公众</w:t>
            </w:r>
          </w:p>
          <w:p>
            <w:pPr>
              <w:spacing w:line="240" w:lineRule="exact"/>
              <w:ind w:left="105" w:leftChars="50" w:right="105" w:rightChars="50"/>
              <w:jc w:val="center"/>
              <w:rPr>
                <w:rFonts w:ascii="宋体"/>
              </w:rPr>
            </w:pPr>
            <w:r>
              <w:rPr>
                <w:rFonts w:hint="eastAsia" w:ascii="宋体" w:hAnsi="宋体" w:cs="宋体"/>
              </w:rPr>
              <w:t>或服务（</w:t>
            </w:r>
            <w:r>
              <w:rPr>
                <w:rFonts w:ascii="宋体" w:hAnsi="宋体" w:cs="宋体"/>
              </w:rPr>
              <w:t>10</w:t>
            </w:r>
            <w:r>
              <w:rPr>
                <w:rFonts w:hint="eastAsia" w:ascii="宋体" w:hAnsi="宋体" w:cs="宋体"/>
              </w:rPr>
              <w:t>分）对</w:t>
            </w:r>
          </w:p>
          <w:p>
            <w:pPr>
              <w:spacing w:line="240" w:lineRule="exact"/>
              <w:ind w:left="105" w:leftChars="50" w:right="105" w:rightChars="50"/>
              <w:jc w:val="center"/>
              <w:rPr>
                <w:rFonts w:ascii="宋体"/>
              </w:rPr>
            </w:pPr>
            <w:r>
              <w:rPr>
                <w:rFonts w:hint="eastAsia" w:ascii="宋体" w:hAnsi="宋体" w:cs="宋体"/>
              </w:rPr>
              <w:t>象满意度</w:t>
            </w:r>
          </w:p>
        </w:tc>
        <w:tc>
          <w:tcPr>
            <w:tcW w:w="294" w:type="pct"/>
            <w:noWrap w:val="0"/>
            <w:vAlign w:val="top"/>
          </w:tcPr>
          <w:p>
            <w:pPr>
              <w:spacing w:line="240" w:lineRule="exact"/>
              <w:ind w:left="105" w:leftChars="50" w:right="105" w:rightChars="50"/>
              <w:rPr>
                <w:rFonts w:hint="default" w:ascii="宋体" w:eastAsia="宋体"/>
                <w:lang w:val="en-US" w:eastAsia="zh-CN"/>
              </w:rPr>
            </w:pPr>
            <w:r>
              <w:rPr>
                <w:rFonts w:hint="eastAsia" w:ascii="宋体"/>
                <w:lang w:val="en-US" w:eastAsia="zh-CN"/>
              </w:rPr>
              <w:t>10</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社会公众或服务对象对预算支出实施效果的满意程度。</w:t>
            </w: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r>
              <w:rPr>
                <w:rFonts w:hint="eastAsia" w:ascii="宋体" w:hAnsi="宋体" w:cs="宋体"/>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295" w:type="pct"/>
            <w:noWrap w:val="0"/>
            <w:vAlign w:val="center"/>
          </w:tcPr>
          <w:p>
            <w:pPr>
              <w:spacing w:line="240" w:lineRule="exact"/>
              <w:rPr>
                <w:rFonts w:ascii="宋体"/>
              </w:rPr>
            </w:pPr>
            <w:r>
              <w:rPr>
                <w:rFonts w:hint="eastAsia" w:ascii="宋体" w:hAnsi="宋体" w:cs="宋体"/>
              </w:rPr>
              <w:t>总分</w:t>
            </w:r>
          </w:p>
        </w:tc>
        <w:tc>
          <w:tcPr>
            <w:tcW w:w="247" w:type="pct"/>
            <w:noWrap w:val="0"/>
            <w:vAlign w:val="center"/>
          </w:tcPr>
          <w:p>
            <w:pPr>
              <w:spacing w:line="240" w:lineRule="exact"/>
              <w:rPr>
                <w:rFonts w:ascii="宋体"/>
              </w:rPr>
            </w:pPr>
          </w:p>
        </w:tc>
        <w:tc>
          <w:tcPr>
            <w:tcW w:w="454" w:type="pct"/>
            <w:noWrap w:val="0"/>
            <w:tcMar>
              <w:top w:w="10" w:type="dxa"/>
              <w:left w:w="10" w:type="dxa"/>
              <w:bottom w:w="0" w:type="dxa"/>
              <w:right w:w="10" w:type="dxa"/>
            </w:tcMar>
            <w:vAlign w:val="center"/>
          </w:tcPr>
          <w:p>
            <w:pPr>
              <w:spacing w:line="240" w:lineRule="exact"/>
              <w:ind w:left="105" w:leftChars="50" w:right="105" w:rightChars="50"/>
              <w:jc w:val="center"/>
              <w:rPr>
                <w:rFonts w:ascii="宋体"/>
              </w:rPr>
            </w:pPr>
          </w:p>
        </w:tc>
        <w:tc>
          <w:tcPr>
            <w:tcW w:w="294" w:type="pct"/>
            <w:noWrap w:val="0"/>
            <w:vAlign w:val="top"/>
          </w:tcPr>
          <w:p>
            <w:pPr>
              <w:spacing w:line="240" w:lineRule="exact"/>
              <w:ind w:left="105" w:leftChars="50" w:right="105" w:rightChars="50"/>
              <w:rPr>
                <w:rFonts w:hint="default" w:ascii="宋体" w:eastAsia="宋体"/>
                <w:lang w:val="en-US" w:eastAsia="zh-CN"/>
              </w:rPr>
            </w:pPr>
            <w:r>
              <w:rPr>
                <w:rFonts w:hint="eastAsia" w:ascii="宋体" w:eastAsia="宋体"/>
                <w:lang w:val="en-US" w:eastAsia="zh-CN"/>
              </w:rPr>
              <w:t>98</w:t>
            </w:r>
          </w:p>
        </w:tc>
        <w:tc>
          <w:tcPr>
            <w:tcW w:w="1428" w:type="pct"/>
            <w:noWrap w:val="0"/>
            <w:tcMar>
              <w:top w:w="10" w:type="dxa"/>
              <w:left w:w="10" w:type="dxa"/>
              <w:bottom w:w="0" w:type="dxa"/>
              <w:right w:w="10" w:type="dxa"/>
            </w:tcMar>
            <w:vAlign w:val="center"/>
          </w:tcPr>
          <w:p>
            <w:pPr>
              <w:spacing w:line="240" w:lineRule="exact"/>
              <w:ind w:left="105" w:leftChars="50" w:right="105" w:rightChars="50"/>
              <w:rPr>
                <w:rFonts w:ascii="宋体"/>
              </w:rPr>
            </w:pPr>
          </w:p>
        </w:tc>
        <w:tc>
          <w:tcPr>
            <w:tcW w:w="2282" w:type="pct"/>
            <w:noWrap w:val="0"/>
            <w:tcMar>
              <w:top w:w="10" w:type="dxa"/>
              <w:left w:w="10" w:type="dxa"/>
              <w:bottom w:w="0" w:type="dxa"/>
              <w:right w:w="10" w:type="dxa"/>
            </w:tcMar>
            <w:vAlign w:val="center"/>
          </w:tcPr>
          <w:p>
            <w:pPr>
              <w:spacing w:line="240" w:lineRule="exact"/>
              <w:ind w:left="105" w:leftChars="50" w:right="105" w:rightChars="50"/>
              <w:rPr>
                <w:rFonts w:ascii="宋体"/>
              </w:rPr>
            </w:pPr>
          </w:p>
        </w:tc>
      </w:tr>
    </w:tbl>
    <w:p>
      <w:pPr>
        <w:pStyle w:val="3"/>
        <w:rPr>
          <w:rFonts w:hint="eastAsia" w:ascii="仿宋_GB2312" w:hAnsi="仿宋_GB2312" w:eastAsia="仿宋_GB2312" w:cs="仿宋_GB2312"/>
          <w:b w:val="0"/>
          <w:bCs w:val="0"/>
          <w:sz w:val="32"/>
          <w:szCs w:val="32"/>
          <w:lang w:val="en-US" w:eastAsia="zh-CN"/>
        </w:rPr>
      </w:pPr>
    </w:p>
    <w:p>
      <w:pPr>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sz w:val="30"/>
          <w:szCs w:val="30"/>
          <w:highlight w:val="yellow"/>
        </w:rPr>
      </w:pPr>
    </w:p>
    <w:p/>
    <w:sectPr>
      <w:pgSz w:w="12240" w:h="15840"/>
      <w:pgMar w:top="1134" w:right="1531" w:bottom="1134" w:left="1531" w:header="720" w:footer="1701" w:gutter="0"/>
      <w:lnNumType w:countBy="0" w:distance="360"/>
      <w:pgNumType w:fmt="numberInDash"/>
      <w:cols w:space="72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DC35F0"/>
    <w:multiLevelType w:val="singleLevel"/>
    <w:tmpl w:val="48DC35F0"/>
    <w:lvl w:ilvl="0" w:tentative="0">
      <w:start w:val="5"/>
      <w:numFmt w:val="chineseCounting"/>
      <w:suff w:val="nothing"/>
      <w:lvlText w:val="%1、"/>
      <w:lvlJc w:val="left"/>
      <w:rPr>
        <w:rFonts w:hint="eastAsia"/>
      </w:rPr>
    </w:lvl>
  </w:abstractNum>
  <w:abstractNum w:abstractNumId="1">
    <w:nsid w:val="66EA510C"/>
    <w:multiLevelType w:val="singleLevel"/>
    <w:tmpl w:val="66EA510C"/>
    <w:lvl w:ilvl="0" w:tentative="0">
      <w:start w:val="2"/>
      <w:numFmt w:val="chineseCounting"/>
      <w:suff w:val="nothing"/>
      <w:lvlText w:val="（%1）"/>
      <w:lvlJc w:val="left"/>
      <w:rPr>
        <w:rFonts w:hint="eastAsia"/>
      </w:rPr>
    </w:lvl>
  </w:abstractNum>
  <w:abstractNum w:abstractNumId="2">
    <w:nsid w:val="77D0BAC8"/>
    <w:multiLevelType w:val="singleLevel"/>
    <w:tmpl w:val="77D0BAC8"/>
    <w:lvl w:ilvl="0" w:tentative="0">
      <w:start w:val="3"/>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2NzY5N2NmZWRiMTM2MWY1ZjNmMzA5NGJjMWI2MWIifQ=="/>
  </w:docVars>
  <w:rsids>
    <w:rsidRoot w:val="70614464"/>
    <w:rsid w:val="70614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oc 1"/>
    <w:basedOn w:val="1"/>
    <w:next w:val="1"/>
    <w:unhideWhenUsed/>
    <w:qFormat/>
    <w:uiPriority w:val="39"/>
    <w:pPr>
      <w:spacing w:beforeLines="0" w:afterLines="0" w:line="600" w:lineRule="exact"/>
      <w:ind w:firstLine="640" w:firstLineChars="200"/>
    </w:pPr>
    <w:rPr>
      <w:rFonts w:hint="eastAsia" w:ascii="仿宋_GB2312" w:hAnsi="Times New Roman" w:eastAsia="仿宋_GB2312"/>
      <w:sz w:val="32"/>
      <w:szCs w:val="24"/>
    </w:rPr>
  </w:style>
  <w:style w:type="paragraph" w:styleId="3">
    <w:name w:val="endnote text"/>
    <w:basedOn w:val="1"/>
    <w:qFormat/>
    <w:uiPriority w:val="0"/>
    <w:pPr>
      <w:snapToGrid w:val="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2023-07-06T03:49:00Z</dcterms:created>
  <dc:creator>一一</dc:creator>
  <cp:lastModifiedBy>一一</cp:lastModifiedBy>
  <dcterms:modified xsi:type="dcterms:W3CDTF">2023-07-06T03:50:17Z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420546A84B48491180825DB51EFC38F8_11</vt:lpwstr>
  </property>
</Properties>
</file>