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left"/>
        <w:rPr>
          <w:rFonts w:hint="eastAsia" w:ascii="仿宋" w:hAnsi="仿宋" w:eastAsia="仿宋" w:cs="仿宋"/>
          <w:sz w:val="30"/>
          <w:szCs w:val="30"/>
        </w:rPr>
      </w:pPr>
      <w:r>
        <w:rPr>
          <w:rFonts w:hint="eastAsia" w:ascii="仿宋" w:hAnsi="仿宋" w:eastAsia="仿宋" w:cs="仿宋"/>
          <w:color w:val="333333"/>
          <w:kern w:val="0"/>
          <w:sz w:val="30"/>
          <w:szCs w:val="30"/>
          <w:shd w:val="clear" w:color="auto" w:fill="FFFFFF"/>
          <w:lang w:bidi="ar"/>
        </w:rPr>
        <w:t>附件一：</w:t>
      </w:r>
    </w:p>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color w:val="333333"/>
          <w:kern w:val="0"/>
          <w:sz w:val="36"/>
          <w:szCs w:val="36"/>
          <w:shd w:val="clear" w:color="auto" w:fill="FFFFFF"/>
          <w:lang w:bidi="ar"/>
        </w:rPr>
        <w:t>益阳市赫山区</w:t>
      </w:r>
      <w:r>
        <w:rPr>
          <w:rFonts w:hint="eastAsia" w:ascii="黑体" w:hAnsi="黑体" w:eastAsia="黑体" w:cs="黑体"/>
          <w:color w:val="333333"/>
          <w:kern w:val="0"/>
          <w:sz w:val="36"/>
          <w:szCs w:val="36"/>
          <w:shd w:val="clear" w:color="auto" w:fill="FFFFFF"/>
          <w:lang w:eastAsia="zh-CN" w:bidi="ar"/>
        </w:rPr>
        <w:t>沧水铺镇中心卫生院</w:t>
      </w:r>
      <w:r>
        <w:rPr>
          <w:rFonts w:hint="eastAsia" w:ascii="黑体" w:hAnsi="黑体" w:eastAsia="黑体" w:cs="黑体"/>
          <w:color w:val="333333"/>
          <w:kern w:val="0"/>
          <w:sz w:val="36"/>
          <w:szCs w:val="36"/>
          <w:shd w:val="clear" w:color="auto" w:fill="FFFFFF"/>
          <w:lang w:bidi="ar"/>
        </w:rPr>
        <w:t>2021年度部门</w:t>
      </w:r>
    </w:p>
    <w:p>
      <w:pPr>
        <w:shd w:val="clear" w:color="auto" w:fill="FFFFFF"/>
        <w:spacing w:line="600" w:lineRule="exact"/>
        <w:jc w:val="center"/>
        <w:rPr>
          <w:rFonts w:hint="eastAsia" w:ascii="黑体" w:hAnsi="黑体" w:eastAsia="黑体" w:cs="黑体"/>
          <w:color w:val="333333"/>
          <w:sz w:val="36"/>
          <w:szCs w:val="36"/>
        </w:rPr>
      </w:pPr>
      <w:bookmarkStart w:id="0" w:name="_GoBack"/>
      <w:r>
        <w:rPr>
          <w:rFonts w:hint="eastAsia" w:ascii="黑体" w:hAnsi="黑体" w:eastAsia="黑体" w:cs="黑体"/>
          <w:color w:val="333333"/>
          <w:kern w:val="0"/>
          <w:sz w:val="36"/>
          <w:szCs w:val="36"/>
          <w:shd w:val="clear" w:color="auto" w:fill="FFFFFF"/>
          <w:lang w:bidi="ar"/>
        </w:rPr>
        <w:t>整体支出绩效评价报告</w:t>
      </w:r>
    </w:p>
    <w:bookmarkEnd w:id="0"/>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val="en-US" w:eastAsia="zh-CN" w:bidi="ar"/>
        </w:rPr>
        <w:t>沧水铺镇中心卫生院</w:t>
      </w:r>
      <w:r>
        <w:rPr>
          <w:rFonts w:hint="eastAsia" w:ascii="仿宋" w:hAnsi="仿宋" w:eastAsia="仿宋" w:cs="仿宋"/>
          <w:color w:val="333333"/>
          <w:kern w:val="0"/>
          <w:sz w:val="30"/>
          <w:szCs w:val="30"/>
          <w:shd w:val="clear" w:color="auto" w:fill="FFFFFF"/>
          <w:lang w:bidi="ar"/>
        </w:rPr>
        <w:t>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负责本辖区的卫生工作、法律法规、政策的贯彻，卫生事业发展规划和工作计划的制定，为辖区居民提供13类基本公共卫生服务;</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为辖区提供基本医疗服务，组织实施医改、农合、妇幼等相关工作</w:t>
      </w:r>
      <w:r>
        <w:rPr>
          <w:rFonts w:hint="eastAsia" w:ascii="仿宋" w:hAnsi="仿宋" w:eastAsia="仿宋" w:cs="仿宋"/>
          <w:sz w:val="30"/>
          <w:szCs w:val="30"/>
          <w:lang w:val="en-US"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2"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仿宋_GB2312" w:eastAsia="仿宋_GB2312"/>
          <w:sz w:val="30"/>
          <w:szCs w:val="30"/>
        </w:rPr>
      </w:pPr>
      <w:r>
        <w:rPr>
          <w:rFonts w:hint="eastAsia" w:ascii="仿宋_GB2312" w:eastAsia="仿宋_GB2312"/>
          <w:sz w:val="30"/>
          <w:szCs w:val="30"/>
        </w:rPr>
        <w:t xml:space="preserve">开设有20余个临床、医技辅助和公卫科室，设有全科医疗科、内科、外骨科、妇产科、儿科、中医康复科、口腔科、眼耳鼻喉科、重症肌无力专科、麻醉科、手术室、检验科、放射科、心超室、胃肠镜室、公共卫生服务中心、120急救中心等。配备有螺旋CT、DR、彩超、胃肠镜、12导联心电图机、全自动生化分析仪、全自动五分类血球分析仪、全自动酶标分析仪、全自动凝血分析仪、电子阴道镜、麻醉机、高频电刀、新生儿抢救台、三维颈腰椎治疗牵引床、电脑中频电疗仪、中医定向透药治疗仪、电磁波谱治疗器、电子针灸仪等医疗设备。医院各病区统一配置了中心供氧、负压吸引、每个病房带有卫生间，配备电视机、饮水机、空调。 </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color="auto"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1159.17</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color="auto" w:fill="FFFFFF"/>
          <w:lang w:val="en-US" w:eastAsia="zh-CN" w:bidi="ar"/>
        </w:rPr>
        <w:t>较上年增加58.22万元，增加5.29%，其中人员经费支出697.06万元，占基本支出的60.13 %，较上年增加171.17万元，主要是由于:疫情防控，增加了人员经费；公用经费支出462.11万元,占基本支出的39.87%,较上年减少112.95 万元，主要原因是由于疫情防控，业务收入下降，印刷费、专用材料费减少了。</w:t>
      </w:r>
    </w:p>
    <w:p>
      <w:pPr>
        <w:pStyle w:val="2"/>
        <w:rPr>
          <w:rFonts w:hint="default"/>
          <w:lang w:val="en-US"/>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color="auto"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jc w:val="both"/>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42162人次，住院人次6069人次，床位使用率90.17%。经济指标完成情况：全年完成经济收入3134.64万元，其中门诊收入597.64万元，住院收入1377.83万元。全年支出3134.64万元，结余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2、做好“点面”工作，提升服务能力。</w:t>
      </w:r>
      <w:r>
        <w:rPr>
          <w:rFonts w:hint="eastAsia" w:ascii="仿宋" w:hAnsi="仿宋" w:eastAsia="仿宋" w:cs="仿宋"/>
          <w:color w:val="auto"/>
          <w:kern w:val="2"/>
          <w:sz w:val="30"/>
          <w:szCs w:val="30"/>
          <w:lang w:val="en-US" w:eastAsia="zh-CN" w:bidi="ar-SA"/>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spacing w:line="560" w:lineRule="exact"/>
        <w:ind w:firstLine="602"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3、做实基本公卫，促进医疗服务提升。</w:t>
      </w:r>
      <w:r>
        <w:rPr>
          <w:rFonts w:hint="eastAsia" w:ascii="仿宋" w:hAnsi="仿宋" w:eastAsia="仿宋" w:cs="仿宋"/>
          <w:color w:val="auto"/>
          <w:kern w:val="2"/>
          <w:sz w:val="30"/>
          <w:szCs w:val="30"/>
          <w:lang w:val="en-US" w:eastAsia="zh-CN" w:bidi="ar-SA"/>
        </w:rPr>
        <w:t>我中心对家庭医生签约服务团队进行了优化整合，成立了由40名业务骨干组成的10个家庭医生签约服务团队，每个团队有两名1名临床医生、2名执业护师、1名公卫人员，团队服务能力更强、更专业、更有延续性。对辖区进行了责任分包，通过开展大型义诊、巡诊、入户、电话随访、健康咨询、健康指导等多种方式进行签约履约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r>
        <w:rPr>
          <w:rFonts w:hint="eastAsia" w:ascii="仿宋" w:hAnsi="仿宋" w:eastAsia="仿宋" w:cs="仿宋"/>
          <w:color w:val="auto"/>
          <w:kern w:val="2"/>
          <w:sz w:val="30"/>
          <w:szCs w:val="30"/>
          <w:lang w:val="en-US" w:eastAsia="zh-CN" w:bidi="ar-SA"/>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6"/>
          <w:szCs w:val="36"/>
          <w:lang w:val="en-US" w:eastAsia="zh-CN"/>
        </w:rPr>
      </w:pPr>
    </w:p>
    <w:p>
      <w:pPr>
        <w:pStyle w:val="3"/>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b w:val="0"/>
          <w:bCs w:val="0"/>
          <w:sz w:val="30"/>
          <w:szCs w:val="30"/>
          <w:lang w:val="en-US" w:eastAsia="zh-CN"/>
        </w:rPr>
      </w:pPr>
    </w:p>
    <w:p>
      <w:pPr>
        <w:pStyle w:val="3"/>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pacing w:afterLines="50" w:line="600" w:lineRule="exact"/>
        <w:ind w:firstLine="600" w:firstLineChars="200"/>
        <w:jc w:val="center"/>
        <w:textAlignment w:val="auto"/>
        <w:rPr>
          <w:rFonts w:hint="eastAsia" w:ascii="黑体" w:hAnsi="黑体" w:eastAsia="黑体" w:cs="黑体"/>
          <w:sz w:val="30"/>
          <w:szCs w:val="30"/>
        </w:rPr>
      </w:pPr>
      <w:r>
        <w:rPr>
          <w:rFonts w:hint="eastAsia" w:ascii="黑体" w:hAnsi="黑体" w:eastAsia="黑体" w:cs="黑体"/>
          <w:sz w:val="30"/>
          <w:szCs w:val="30"/>
        </w:rPr>
        <w:t>项目支出绩效自评指标计分表</w:t>
      </w:r>
    </w:p>
    <w:tbl>
      <w:tblPr>
        <w:tblStyle w:val="4"/>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471"/>
        <w:gridCol w:w="866"/>
        <w:gridCol w:w="561"/>
        <w:gridCol w:w="2723"/>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47"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54"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noWrap w:val="0"/>
            <w:vAlign w:val="top"/>
          </w:tcPr>
          <w:p>
            <w:pPr>
              <w:spacing w:line="240" w:lineRule="exact"/>
              <w:jc w:val="center"/>
              <w:rPr>
                <w:rFonts w:ascii="宋体"/>
                <w:b/>
                <w:bCs/>
              </w:rPr>
            </w:pPr>
            <w:r>
              <w:rPr>
                <w:rFonts w:hint="eastAsia" w:ascii="宋体" w:hAnsi="宋体" w:cs="宋体"/>
                <w:b/>
                <w:bCs/>
              </w:rPr>
              <w:t>自评分</w:t>
            </w:r>
          </w:p>
        </w:tc>
        <w:tc>
          <w:tcPr>
            <w:tcW w:w="1428"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noWrap w:val="0"/>
            <w:tcMar>
              <w:top w:w="10" w:type="dxa"/>
              <w:left w:w="10" w:type="dxa"/>
              <w:bottom w:w="0" w:type="dxa"/>
              <w:right w:w="10" w:type="dxa"/>
            </w:tcMar>
            <w:vAlign w:val="center"/>
          </w:tcPr>
          <w:p>
            <w:pPr>
              <w:spacing w:line="240" w:lineRule="exact"/>
              <w:jc w:val="center"/>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noWrap w:val="0"/>
            <w:vAlign w:val="center"/>
          </w:tcPr>
          <w:p>
            <w:pPr>
              <w:spacing w:line="240" w:lineRule="exact"/>
              <w:rPr>
                <w:rFonts w:ascii="宋体"/>
              </w:rPr>
            </w:pPr>
          </w:p>
        </w:tc>
        <w:tc>
          <w:tcPr>
            <w:tcW w:w="247" w:type="pct"/>
            <w:vMerge w:val="restart"/>
            <w:noWrap w:val="0"/>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eastAsia="宋体"/>
                <w:lang w:val="en-US" w:eastAsia="zh-CN"/>
              </w:rPr>
              <w:t>2</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rPr>
                <w:rFonts w:ascii="宋体"/>
              </w:rPr>
            </w:pPr>
          </w:p>
        </w:tc>
        <w:tc>
          <w:tcPr>
            <w:tcW w:w="247" w:type="pct"/>
            <w:vMerge w:val="continue"/>
            <w:noWrap w:val="0"/>
            <w:vAlign w:val="center"/>
          </w:tcPr>
          <w:p>
            <w:pPr>
              <w:spacing w:line="240" w:lineRule="exact"/>
              <w:jc w:val="center"/>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noWrap w:val="0"/>
            <w:vAlign w:val="center"/>
          </w:tcPr>
          <w:p>
            <w:pPr>
              <w:spacing w:line="240" w:lineRule="exact"/>
              <w:rPr>
                <w:rFonts w:ascii="宋体"/>
              </w:rPr>
            </w:pPr>
          </w:p>
        </w:tc>
        <w:tc>
          <w:tcPr>
            <w:tcW w:w="247" w:type="pct"/>
            <w:vMerge w:val="restart"/>
            <w:noWrap w:val="0"/>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eastAsia="宋体"/>
                <w:lang w:val="en-US" w:eastAsia="zh-CN"/>
              </w:rPr>
              <w:t>2</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noWrap w:val="0"/>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rPr>
                <w:rFonts w:ascii="宋体"/>
              </w:rPr>
            </w:pPr>
          </w:p>
        </w:tc>
        <w:tc>
          <w:tcPr>
            <w:tcW w:w="247" w:type="pct"/>
            <w:vMerge w:val="continue"/>
            <w:noWrap w:val="0"/>
            <w:vAlign w:val="center"/>
          </w:tcPr>
          <w:p>
            <w:pPr>
              <w:spacing w:line="240" w:lineRule="exact"/>
              <w:jc w:val="center"/>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noWrap w:val="0"/>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noWrap w:val="0"/>
            <w:vAlign w:val="center"/>
          </w:tcPr>
          <w:p>
            <w:pPr>
              <w:spacing w:line="240" w:lineRule="exact"/>
              <w:jc w:val="center"/>
              <w:rPr>
                <w:rFonts w:ascii="宋体"/>
              </w:rPr>
            </w:pPr>
          </w:p>
        </w:tc>
        <w:tc>
          <w:tcPr>
            <w:tcW w:w="247" w:type="pct"/>
            <w:vMerge w:val="continue"/>
            <w:noWrap w:val="0"/>
            <w:tcMar>
              <w:top w:w="10" w:type="dxa"/>
              <w:left w:w="10" w:type="dxa"/>
              <w:bottom w:w="0" w:type="dxa"/>
              <w:right w:w="10" w:type="dxa"/>
            </w:tcMar>
            <w:vAlign w:val="center"/>
          </w:tcPr>
          <w:p>
            <w:pPr>
              <w:spacing w:line="240" w:lineRule="exact"/>
              <w:jc w:val="center"/>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jc w:val="center"/>
              <w:rPr>
                <w:rFonts w:ascii="宋体"/>
              </w:rPr>
            </w:pPr>
          </w:p>
        </w:tc>
        <w:tc>
          <w:tcPr>
            <w:tcW w:w="247" w:type="pct"/>
            <w:vMerge w:val="continue"/>
            <w:noWrap w:val="0"/>
            <w:vAlign w:val="center"/>
          </w:tcPr>
          <w:p>
            <w:pPr>
              <w:spacing w:line="240" w:lineRule="exact"/>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rPr>
                <w:rFonts w:ascii="宋体"/>
              </w:rPr>
            </w:pPr>
          </w:p>
        </w:tc>
        <w:tc>
          <w:tcPr>
            <w:tcW w:w="247" w:type="pct"/>
            <w:vMerge w:val="continue"/>
            <w:noWrap w:val="0"/>
            <w:vAlign w:val="center"/>
          </w:tcPr>
          <w:p>
            <w:pPr>
              <w:spacing w:line="240" w:lineRule="exact"/>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noWrap w:val="0"/>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ind w:left="113"/>
              <w:rPr>
                <w:rFonts w:ascii="宋体"/>
              </w:rPr>
            </w:pPr>
          </w:p>
        </w:tc>
        <w:tc>
          <w:tcPr>
            <w:tcW w:w="247" w:type="pct"/>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rPr>
                <w:rFonts w:ascii="宋体"/>
              </w:rPr>
            </w:pPr>
          </w:p>
        </w:tc>
        <w:tc>
          <w:tcPr>
            <w:tcW w:w="247" w:type="pct"/>
            <w:vMerge w:val="continue"/>
            <w:noWrap w:val="0"/>
            <w:vAlign w:val="center"/>
          </w:tcPr>
          <w:p>
            <w:pPr>
              <w:spacing w:line="240" w:lineRule="exact"/>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spacing w:line="240" w:lineRule="exact"/>
              <w:rPr>
                <w:rFonts w:ascii="宋体"/>
              </w:rPr>
            </w:pPr>
            <w:r>
              <w:rPr>
                <w:rFonts w:hint="eastAsia" w:ascii="宋体" w:hAnsi="宋体" w:cs="宋体"/>
              </w:rPr>
              <w:t>总分</w:t>
            </w:r>
          </w:p>
        </w:tc>
        <w:tc>
          <w:tcPr>
            <w:tcW w:w="247" w:type="pct"/>
            <w:noWrap w:val="0"/>
            <w:vAlign w:val="center"/>
          </w:tcPr>
          <w:p>
            <w:pPr>
              <w:spacing w:line="240" w:lineRule="exact"/>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eastAsia="宋体"/>
                <w:lang w:val="en-US" w:eastAsia="zh-CN"/>
              </w:rPr>
              <w:t>98</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p>
        </w:tc>
      </w:tr>
    </w:tbl>
    <w:p>
      <w:pPr>
        <w:pStyle w:val="3"/>
        <w:rPr>
          <w:rFonts w:hint="eastAsia" w:ascii="仿宋_GB2312" w:hAnsi="仿宋_GB2312" w:eastAsia="仿宋_GB2312" w:cs="仿宋_GB2312"/>
          <w:b w:val="0"/>
          <w:bCs w:val="0"/>
          <w:sz w:val="32"/>
          <w:szCs w:val="32"/>
          <w:lang w:val="en-US" w:eastAsia="zh-CN"/>
        </w:rPr>
      </w:pPr>
    </w:p>
    <w:p>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highlight w:val="yellow"/>
        </w:rPr>
      </w:pPr>
    </w:p>
    <w:p/>
    <w:sectPr>
      <w:pgSz w:w="12240" w:h="15840"/>
      <w:pgMar w:top="1134" w:right="1531" w:bottom="1134" w:left="1531" w:header="720" w:footer="1701" w:gutter="0"/>
      <w:lnNumType w:countBy="0" w:distance="360"/>
      <w:pgNumType w:fmt="numberInDash"/>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zY5N2NmZWRiMTM2MWY1ZjNmMzA5NGJjMWI2MWIifQ=="/>
  </w:docVars>
  <w:rsids>
    <w:rsidRoot w:val="70614464"/>
    <w:rsid w:val="7061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 w:type="paragraph" w:styleId="3">
    <w:name w:val="endnote text"/>
    <w:basedOn w:val="1"/>
    <w:qFormat/>
    <w:uiPriority w:val="0"/>
    <w:pPr>
      <w:snapToGrid w:val="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2023-07-06T03:49:00Z</dcterms:created>
  <dc:creator>一一</dc:creator>
  <cp:lastModifiedBy>一一</cp:lastModifiedBy>
  <dcterms:modified xsi:type="dcterms:W3CDTF">2023-07-06T03:50:17Z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420546A84B48491180825DB51EFC38F8_11</vt:lpwstr>
  </property>
</Properties>
</file>