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09"/>
          <w:tab w:val="center" w:pos="4649"/>
        </w:tabs>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highlight w:val="none"/>
          <w:lang w:val="en-US" w:eastAsia="zh-CN"/>
        </w:rPr>
      </w:pPr>
      <w:r>
        <w:rPr>
          <w:rFonts w:hint="eastAsia" w:ascii="黑体" w:hAnsi="黑体" w:eastAsia="黑体" w:cs="黑体"/>
          <w:sz w:val="72"/>
          <w:szCs w:val="72"/>
          <w:highlight w:val="none"/>
          <w:lang w:eastAsia="zh-CN"/>
        </w:rPr>
        <w:tab/>
      </w:r>
    </w:p>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bookmarkStart w:id="0" w:name="_GoBack"/>
      <w:bookmarkEnd w:id="0"/>
      <w:r>
        <w:rPr>
          <w:rFonts w:hint="eastAsia" w:ascii="黑体" w:hAnsi="黑体" w:eastAsia="黑体" w:cs="黑体"/>
          <w:color w:val="333333"/>
          <w:kern w:val="0"/>
          <w:sz w:val="36"/>
          <w:szCs w:val="36"/>
          <w:shd w:val="clear" w:color="auto" w:fill="FFFFFF"/>
          <w:lang w:bidi="ar"/>
        </w:rPr>
        <w:t>益阳市赫山区泉交河血吸虫病防治站2021年度部门</w:t>
      </w:r>
    </w:p>
    <w:p>
      <w:pPr>
        <w:shd w:val="clear" w:color="auto" w:fill="FFFFFF"/>
        <w:spacing w:line="600" w:lineRule="exact"/>
        <w:jc w:val="center"/>
        <w:rPr>
          <w:rFonts w:hint="eastAsia"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lang w:bidi="ar"/>
        </w:rPr>
        <w:t>整体支出绩效评价报告</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w:t>
      </w:r>
      <w:r>
        <w:rPr>
          <w:rFonts w:hint="eastAsia" w:ascii="仿宋" w:hAnsi="仿宋" w:eastAsia="仿宋" w:cs="仿宋"/>
          <w:color w:val="333333"/>
          <w:kern w:val="0"/>
          <w:sz w:val="30"/>
          <w:szCs w:val="30"/>
          <w:shd w:val="clear" w:color="auto" w:fill="FFFFFF"/>
          <w:lang w:eastAsia="zh-CN" w:bidi="ar"/>
        </w:rPr>
        <w:t>泉交河血吸病虫防治站在</w:t>
      </w:r>
      <w:r>
        <w:rPr>
          <w:rFonts w:hint="eastAsia" w:ascii="仿宋" w:hAnsi="仿宋" w:eastAsia="仿宋" w:cs="仿宋"/>
          <w:color w:val="333333"/>
          <w:kern w:val="0"/>
          <w:sz w:val="30"/>
          <w:szCs w:val="30"/>
          <w:shd w:val="clear" w:color="auto" w:fill="FFFFFF"/>
          <w:lang w:bidi="ar"/>
        </w:rPr>
        <w:t>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部门职责</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负责本辖区内血吸虫病防治工作；贯彻执行国民健康政策及国家卫生健康法律法规，大力开展《血吸虫病防治条例》的宣传工作、消灭血吸虫病传染源。</w:t>
      </w:r>
    </w:p>
    <w:p>
      <w:pPr>
        <w:keepNext w:val="0"/>
        <w:keepLines w:val="0"/>
        <w:pageBreakBefore w:val="0"/>
        <w:widowControl w:val="0"/>
        <w:tabs>
          <w:tab w:val="left" w:pos="857"/>
        </w:tabs>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保质保量完成查、灭螺</w:t>
      </w:r>
      <w:r>
        <w:rPr>
          <w:rFonts w:hint="eastAsia" w:ascii="仿宋" w:hAnsi="仿宋" w:eastAsia="仿宋" w:cs="仿宋"/>
          <w:sz w:val="30"/>
          <w:szCs w:val="30"/>
          <w:lang w:eastAsia="zh-CN"/>
        </w:rPr>
        <w:t>及查病</w:t>
      </w:r>
      <w:r>
        <w:rPr>
          <w:rFonts w:hint="eastAsia" w:ascii="仿宋" w:hAnsi="仿宋" w:eastAsia="仿宋" w:cs="仿宋"/>
          <w:sz w:val="30"/>
          <w:szCs w:val="30"/>
        </w:rPr>
        <w:t>工作。</w:t>
      </w:r>
    </w:p>
    <w:p>
      <w:pPr>
        <w:keepNext w:val="0"/>
        <w:keepLines w:val="0"/>
        <w:pageBreakBefore w:val="0"/>
        <w:widowControl w:val="0"/>
        <w:tabs>
          <w:tab w:val="left" w:pos="857"/>
        </w:tabs>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宣传血防知识，进行防治工作技术指导和培训工作。</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完成上级卫生行政部门及政府交办的其他事项。</w:t>
      </w:r>
    </w:p>
    <w:p>
      <w:pPr>
        <w:spacing w:line="560" w:lineRule="exact"/>
        <w:ind w:firstLine="602" w:firstLineChars="200"/>
        <w:rPr>
          <w:rFonts w:hint="default" w:ascii="仿宋_GB2312" w:eastAsia="仿宋_GB2312"/>
          <w:b/>
          <w:bCs/>
          <w:sz w:val="30"/>
          <w:szCs w:val="30"/>
          <w:lang w:val="en-US" w:eastAsia="zh-CN"/>
        </w:rPr>
      </w:pPr>
      <w:r>
        <w:rPr>
          <w:rFonts w:hint="eastAsia" w:ascii="仿宋_GB2312" w:eastAsia="仿宋_GB2312"/>
          <w:b/>
          <w:bCs/>
          <w:sz w:val="30"/>
          <w:szCs w:val="30"/>
        </w:rPr>
        <w:t>（二）机构设置</w:t>
      </w:r>
      <w:r>
        <w:rPr>
          <w:rFonts w:hint="eastAsia" w:ascii="仿宋_GB2312" w:eastAsia="仿宋_GB2312"/>
          <w:b/>
          <w:bCs/>
          <w:sz w:val="30"/>
          <w:szCs w:val="30"/>
          <w:lang w:val="en-US" w:eastAsia="zh-CN"/>
        </w:rPr>
        <w:t>及人员编制情况</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default" w:ascii="仿宋" w:hAnsi="仿宋" w:eastAsia="仿宋" w:cs="仿宋"/>
          <w:color w:val="000000"/>
          <w:sz w:val="30"/>
          <w:szCs w:val="30"/>
          <w:lang w:val="en-US" w:eastAsia="zh-CN"/>
        </w:rPr>
      </w:pPr>
      <w:r>
        <w:rPr>
          <w:rFonts w:hint="eastAsia" w:ascii="仿宋" w:hAnsi="仿宋" w:eastAsia="仿宋" w:cs="仿宋"/>
          <w:sz w:val="30"/>
          <w:szCs w:val="30"/>
        </w:rPr>
        <w:t>根据上述职责，赫山区泉交河血防站设</w:t>
      </w:r>
      <w:r>
        <w:rPr>
          <w:rFonts w:hint="eastAsia" w:ascii="仿宋" w:hAnsi="仿宋" w:eastAsia="仿宋" w:cs="仿宋"/>
          <w:color w:val="000000"/>
          <w:sz w:val="30"/>
          <w:szCs w:val="30"/>
        </w:rPr>
        <w:t>4个内设科室：办公室、财务室、信息室、网络实验室。</w:t>
      </w:r>
      <w:r>
        <w:rPr>
          <w:rFonts w:hint="eastAsia" w:ascii="仿宋" w:hAnsi="仿宋" w:eastAsia="仿宋" w:cs="仿宋"/>
          <w:color w:val="000000"/>
          <w:sz w:val="30"/>
          <w:szCs w:val="30"/>
          <w:lang w:eastAsia="zh-CN"/>
        </w:rPr>
        <w:t>人员编制人数</w:t>
      </w:r>
      <w:r>
        <w:rPr>
          <w:rFonts w:hint="eastAsia" w:ascii="仿宋" w:hAnsi="仿宋" w:eastAsia="仿宋" w:cs="仿宋"/>
          <w:color w:val="000000"/>
          <w:sz w:val="30"/>
          <w:szCs w:val="30"/>
          <w:lang w:val="en-US" w:eastAsia="zh-CN"/>
        </w:rPr>
        <w:t>19人，其中专业技术人员16人。</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（一）基本支出</w:t>
      </w:r>
      <w:r>
        <w:rPr>
          <w:rFonts w:hint="eastAsia" w:ascii="仿宋" w:hAnsi="仿宋" w:eastAsia="仿宋" w:cs="仿宋"/>
          <w:b/>
          <w:bCs/>
          <w:sz w:val="30"/>
          <w:szCs w:val="30"/>
          <w:lang w:val="en-US" w:eastAsia="zh-CN"/>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caps w:val="0"/>
          <w:color w:val="333333"/>
          <w:spacing w:val="0"/>
          <w:sz w:val="30"/>
          <w:szCs w:val="30"/>
          <w:lang w:val="en-US"/>
        </w:rPr>
      </w:pPr>
      <w:r>
        <w:rPr>
          <w:rFonts w:hint="eastAsia" w:ascii="仿宋" w:hAnsi="仿宋" w:eastAsia="仿宋" w:cs="仿宋"/>
          <w:b w:val="0"/>
          <w:bCs w:val="0"/>
          <w:sz w:val="30"/>
          <w:szCs w:val="30"/>
          <w:lang w:val="en-US" w:eastAsia="zh-CN"/>
        </w:rPr>
        <w:t>基本支出</w:t>
      </w:r>
      <w:r>
        <w:rPr>
          <w:rFonts w:hint="eastAsia" w:ascii="仿宋" w:hAnsi="仿宋" w:eastAsia="仿宋" w:cs="仿宋"/>
          <w:i w:val="0"/>
          <w:caps w:val="0"/>
          <w:color w:val="333333"/>
          <w:spacing w:val="0"/>
          <w:kern w:val="0"/>
          <w:sz w:val="30"/>
          <w:szCs w:val="30"/>
          <w:shd w:val="clear" w:color="auto"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w:t>
      </w:r>
      <w:r>
        <w:rPr>
          <w:rFonts w:hint="eastAsia" w:ascii="仿宋" w:hAnsi="仿宋" w:eastAsia="仿宋" w:cs="仿宋"/>
          <w:sz w:val="30"/>
          <w:szCs w:val="30"/>
          <w:lang w:eastAsia="zh-CN"/>
        </w:rPr>
        <w:t>为</w:t>
      </w:r>
      <w:r>
        <w:rPr>
          <w:rFonts w:hint="eastAsia" w:ascii="仿宋" w:hAnsi="仿宋" w:eastAsia="仿宋" w:cs="仿宋"/>
          <w:sz w:val="30"/>
          <w:szCs w:val="30"/>
        </w:rPr>
        <w:t>316.56万元，与上年相比，减少100.31万元，减少24.06%。</w:t>
      </w:r>
      <w:r>
        <w:rPr>
          <w:rFonts w:hint="eastAsia" w:ascii="仿宋" w:hAnsi="仿宋" w:eastAsia="仿宋" w:cs="仿宋"/>
          <w:sz w:val="30"/>
          <w:szCs w:val="30"/>
          <w:lang w:val="en-US" w:eastAsia="zh-CN"/>
        </w:rPr>
        <w:t>基本</w:t>
      </w:r>
      <w:r>
        <w:rPr>
          <w:rFonts w:hint="eastAsia" w:ascii="仿宋" w:hAnsi="仿宋" w:eastAsia="仿宋" w:cs="仿宋"/>
          <w:sz w:val="30"/>
          <w:szCs w:val="30"/>
        </w:rPr>
        <w:t>支出支出减少主要是因为原慢性血吸虫病治疗工作职能划转至区血防医院。</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color="auto" w:fill="FFFFFF"/>
          <w:lang w:val="en-US" w:eastAsia="zh-CN" w:bidi="ar"/>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hint="eastAsia"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keepNext w:val="0"/>
        <w:keepLines w:val="0"/>
        <w:pageBreakBefore w:val="0"/>
        <w:widowControl w:val="0"/>
        <w:numPr>
          <w:ilvl w:val="0"/>
          <w:numId w:val="0"/>
        </w:numPr>
        <w:kinsoku/>
        <w:wordWrap/>
        <w:overflowPunct/>
        <w:topLinePunct w:val="0"/>
        <w:bidi w:val="0"/>
        <w:snapToGrid/>
        <w:spacing w:line="600" w:lineRule="exact"/>
        <w:ind w:firstLine="600" w:firstLineChars="200"/>
        <w:textAlignment w:val="auto"/>
        <w:rPr>
          <w:rFonts w:hint="eastAsia" w:ascii="仿宋" w:hAnsi="仿宋" w:eastAsia="仿宋" w:cs="仿宋"/>
          <w:kern w:val="1"/>
          <w:sz w:val="30"/>
          <w:szCs w:val="30"/>
          <w:lang w:eastAsia="zh-CN"/>
        </w:rPr>
      </w:pPr>
      <w:r>
        <w:rPr>
          <w:rFonts w:hint="eastAsia" w:ascii="仿宋" w:hAnsi="仿宋" w:eastAsia="仿宋" w:cs="仿宋"/>
          <w:sz w:val="30"/>
          <w:szCs w:val="30"/>
        </w:rPr>
        <w:t>根据年初设定的绩效目标，项目绩效自评得分为</w:t>
      </w:r>
      <w:r>
        <w:rPr>
          <w:rFonts w:hint="eastAsia" w:ascii="仿宋" w:hAnsi="仿宋" w:eastAsia="仿宋" w:cs="仿宋"/>
          <w:sz w:val="30"/>
          <w:szCs w:val="30"/>
          <w:lang w:val="en-US" w:eastAsia="zh-CN"/>
        </w:rPr>
        <w:t>96</w:t>
      </w:r>
      <w:r>
        <w:rPr>
          <w:rFonts w:hint="eastAsia" w:ascii="仿宋" w:hAnsi="仿宋" w:eastAsia="仿宋" w:cs="仿宋"/>
          <w:sz w:val="30"/>
          <w:szCs w:val="30"/>
        </w:rPr>
        <w:t xml:space="preserve"> 分。项目全年预算数为</w:t>
      </w:r>
      <w:r>
        <w:rPr>
          <w:rFonts w:hint="eastAsia" w:ascii="仿宋" w:hAnsi="仿宋" w:eastAsia="仿宋" w:cs="仿宋"/>
          <w:sz w:val="30"/>
          <w:szCs w:val="30"/>
          <w:lang w:val="en-US" w:eastAsia="zh-CN"/>
        </w:rPr>
        <w:t>0</w:t>
      </w:r>
      <w:r>
        <w:rPr>
          <w:rFonts w:hint="eastAsia" w:ascii="仿宋" w:hAnsi="仿宋" w:eastAsia="仿宋" w:cs="仿宋"/>
          <w:sz w:val="30"/>
          <w:szCs w:val="30"/>
        </w:rPr>
        <w:t>万元，执行数为</w:t>
      </w:r>
      <w:r>
        <w:rPr>
          <w:rFonts w:hint="eastAsia" w:ascii="仿宋" w:hAnsi="仿宋" w:eastAsia="仿宋" w:cs="仿宋"/>
          <w:sz w:val="30"/>
          <w:szCs w:val="30"/>
          <w:lang w:val="en-US" w:eastAsia="zh-CN"/>
        </w:rPr>
        <w:t>151.61</w:t>
      </w:r>
      <w:r>
        <w:rPr>
          <w:rFonts w:hint="eastAsia" w:ascii="仿宋" w:hAnsi="仿宋" w:eastAsia="仿宋" w:cs="仿宋"/>
          <w:sz w:val="30"/>
          <w:szCs w:val="30"/>
        </w:rPr>
        <w:t xml:space="preserve"> 万元。项目绩效目标完成情况：</w:t>
      </w:r>
      <w:r>
        <w:rPr>
          <w:rFonts w:hint="eastAsia" w:ascii="仿宋" w:hAnsi="仿宋" w:eastAsia="仿宋" w:cs="仿宋"/>
          <w:sz w:val="30"/>
          <w:szCs w:val="30"/>
          <w:lang w:val="en-US" w:eastAsia="zh-CN"/>
        </w:rPr>
        <w:t>一是保质保量，开展查螺、灭螺工作：查螺区域为14个流行村、笔架山乡的11个五类村和水灾区域的谭家桥和高平村等。到目前为止，全年共计投入查螺工日1150 个。全年完成查螺面积3077.82万平方米，完成任务数的107 %；从3月下旬和10月中旬开始，我站组织专业灭螺队，用了1台灭螺机、3台喷雾器对本辖区垸内有螺区域及人群易于接触疫水的地段进行药物灭螺工作，药物灭螺采用喷洒法和浸</w:t>
      </w:r>
      <w:r>
        <w:rPr>
          <w:rFonts w:hint="eastAsia" w:ascii="仿宋" w:hAnsi="仿宋" w:eastAsia="仿宋" w:cs="仿宋"/>
          <w:kern w:val="2"/>
          <w:sz w:val="30"/>
          <w:szCs w:val="30"/>
          <w:lang w:val="en-US" w:eastAsia="zh-CN" w:bidi="ar-SA"/>
        </w:rPr>
        <w:t>泡法。共计投入1528个工日，完成灭螺面积331.29万平方米，完成任务数的103%。二是积极主动，做好查病工作：为更好的取得血吸虫病普查工作实效，本站利用查、灭螺前后空闲时间，双休日照常下乡，已经完成对14个流行村、笔架山乡的11个五类村以及水灾区域的谭家桥和高平村的查病工作，累计到目前，共计查病77156人，完成了全年计划任务的113.54%；完成化疗902人，完成计划任务的103%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rPr>
      </w:pPr>
      <w:r>
        <w:rPr>
          <w:rFonts w:hint="eastAsia" w:ascii="仿宋" w:hAnsi="仿宋" w:eastAsia="仿宋" w:cs="仿宋"/>
          <w:color w:val="auto"/>
          <w:kern w:val="2"/>
          <w:sz w:val="30"/>
          <w:szCs w:val="30"/>
          <w:lang w:val="en-US" w:eastAsia="zh-CN" w:bidi="ar-SA"/>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附件：2021年度部门整体支出绩效自评指标计分表</w:t>
      </w: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spacing w:before="120" w:beforeLines="50" w:after="120" w:afterLines="50" w:line="600" w:lineRule="exact"/>
        <w:jc w:val="both"/>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w:t>
            </w:r>
            <w:r>
              <w:rPr>
                <w:rFonts w:hint="eastAsia" w:ascii="宋体" w:hAnsi="宋体" w:cs="宋体"/>
                <w:lang w:eastAsia="zh-CN"/>
              </w:rPr>
              <w:t>本单位</w:t>
            </w:r>
            <w:r>
              <w:rPr>
                <w:rFonts w:hint="eastAsia" w:ascii="宋体" w:hAnsi="宋体" w:cs="宋体"/>
              </w:rPr>
              <w:t>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hAns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eastAsia="zh-CN"/>
              </w:rPr>
            </w:pPr>
            <w:r>
              <w:rPr>
                <w:rFonts w:hint="eastAsia" w:ascii="宋体" w:cs="宋体"/>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p>
    <w:p>
      <w:pPr>
        <w:pStyle w:val="2"/>
        <w:rPr>
          <w:rFonts w:hint="eastAsia"/>
        </w:rPr>
      </w:pPr>
    </w:p>
    <w:p/>
    <w:sectPr>
      <w:pgSz w:w="12240" w:h="15840"/>
      <w:pgMar w:top="1134" w:right="1531" w:bottom="1134" w:left="1531" w:header="720" w:footer="1701" w:gutter="0"/>
      <w:lnNumType w:countBy="0" w:distance="36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4B4B6696"/>
    <w:rsid w:val="347E22E2"/>
    <w:rsid w:val="4B4B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line="600" w:lineRule="exact"/>
      <w:ind w:firstLine="640" w:firstLineChars="200"/>
    </w:pPr>
    <w:rPr>
      <w:rFonts w:hint="eastAsia" w:ascii="仿宋_GB2312" w:hAnsi="Times New Roman" w:eastAsia="仿宋_GB2312"/>
      <w:sz w:val="32"/>
      <w:szCs w:val="24"/>
    </w:rPr>
  </w:style>
  <w:style w:type="paragraph" w:customStyle="1" w:styleId="5">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5053</Words>
  <Characters>5208</Characters>
  <Lines>0</Lines>
  <Paragraphs>0</Paragraphs>
  <TotalTime>3</TotalTime>
  <ScaleCrop>false</ScaleCrop>
  <LinksUpToDate>false</LinksUpToDate>
  <CharactersWithSpaces>5242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2023-07-06T03:13:00Z</dcterms:created>
  <dc:creator>一一</dc:creator>
  <cp:lastModifiedBy>admin-3</cp:lastModifiedBy>
  <dcterms:modified xsi:type="dcterms:W3CDTF">2023-07-07T07:38:53Z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11F9BAA9E4364B1295F119CA0D6543DD_11</vt:lpwstr>
  </property>
</Properties>
</file>