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rPr>
      </w:pPr>
    </w:p>
    <w:p>
      <w:pPr>
        <w:shd w:val="clear" w:color="auto" w:fill="FFFFFF"/>
        <w:spacing w:line="600" w:lineRule="exact"/>
        <w:jc w:val="center"/>
        <w:rPr>
          <w:rFonts w:hint="eastAsia" w:ascii="黑体" w:hAnsi="黑体" w:eastAsia="黑体" w:cs="黑体"/>
          <w:color w:val="333333"/>
          <w:kern w:val="0"/>
          <w:sz w:val="36"/>
          <w:szCs w:val="36"/>
          <w:shd w:val="clear" w:color="auto" w:fill="FFFFFF"/>
        </w:rPr>
      </w:pPr>
      <w:bookmarkStart w:id="0" w:name="_GoBack"/>
      <w:bookmarkEnd w:id="0"/>
      <w:r>
        <w:rPr>
          <w:rFonts w:hint="eastAsia" w:ascii="黑体" w:hAnsi="黑体" w:eastAsia="黑体" w:cs="黑体"/>
          <w:color w:val="333333"/>
          <w:kern w:val="0"/>
          <w:sz w:val="36"/>
          <w:szCs w:val="36"/>
          <w:shd w:val="clear" w:color="auto" w:fill="FFFFFF"/>
        </w:rPr>
        <w:t>益阳市赫山区桃花仑街道社区卫生服务中心2021年度</w:t>
      </w:r>
    </w:p>
    <w:p>
      <w:pPr>
        <w:shd w:val="clear" w:color="auto" w:fill="FFFFFF"/>
        <w:spacing w:line="600" w:lineRule="exact"/>
        <w:jc w:val="center"/>
        <w:rPr>
          <w:rFonts w:hint="eastAsia"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部门整体支出绩效评价报告</w:t>
      </w:r>
    </w:p>
    <w:p>
      <w:pPr>
        <w:shd w:val="clear" w:color="auto" w:fill="FFFFFF"/>
        <w:spacing w:line="600" w:lineRule="exact"/>
        <w:jc w:val="center"/>
        <w:rPr>
          <w:rFonts w:ascii="黑体" w:hAnsi="黑体" w:eastAsia="黑体" w:cs="黑体"/>
          <w:color w:val="333333"/>
          <w:sz w:val="36"/>
          <w:szCs w:val="36"/>
        </w:rPr>
      </w:pP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2021年，桃花仑街道社区卫生服务中心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rPr>
        <w:t>一、部门基本情况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 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5.负责卫生行政主管部门委托的相关业务或事项，落实上级卫生主管部门下达的其他工作；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6.承办上级主管部门及政府交办的其他事项。</w:t>
      </w:r>
    </w:p>
    <w:p>
      <w:pPr>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（二）机构设置及人员编制情况</w:t>
      </w:r>
    </w:p>
    <w:p>
      <w:pPr>
        <w:shd w:val="clear" w:color="auto" w:fill="FFFFFF"/>
        <w:spacing w:line="600" w:lineRule="exact"/>
        <w:ind w:firstLine="600" w:firstLineChars="200"/>
        <w:jc w:val="left"/>
        <w:rPr>
          <w:rFonts w:ascii="仿宋_GB2312" w:eastAsia="仿宋_GB2312"/>
          <w:sz w:val="30"/>
          <w:szCs w:val="30"/>
        </w:rPr>
      </w:pPr>
      <w:r>
        <w:rPr>
          <w:rFonts w:hint="eastAsia" w:ascii="仿宋_GB2312" w:eastAsia="仿宋_GB2312"/>
          <w:sz w:val="30"/>
          <w:szCs w:val="30"/>
        </w:rPr>
        <w:t>中心现有医疗业务用房2333平方米，拥有干职工83人（其中编制人员45人，临聘人员38人），中级职称29人，副高级职称2人。卫生专业技术人员69人，其中全科医师11人，卫技人员占全院职工的81.2％。</w:t>
      </w:r>
    </w:p>
    <w:p>
      <w:pPr>
        <w:shd w:val="clear" w:color="auto" w:fill="FFFFFF"/>
        <w:spacing w:line="600" w:lineRule="exact"/>
        <w:ind w:firstLine="600" w:firstLineChars="200"/>
        <w:jc w:val="left"/>
        <w:rPr>
          <w:rFonts w:ascii="仿宋_GB2312" w:eastAsia="仿宋_GB2312"/>
          <w:sz w:val="30"/>
          <w:szCs w:val="30"/>
        </w:rPr>
      </w:pPr>
      <w:r>
        <w:rPr>
          <w:rFonts w:hint="eastAsia" w:ascii="仿宋_GB2312" w:eastAsia="仿宋_GB2312"/>
          <w:sz w:val="30"/>
          <w:szCs w:val="30"/>
        </w:rPr>
        <w:t>中心开设全科诊室、中医科、中医理疗科、计划生育工作指导室、预防保健科、儿童保健室、理疗康复室、健康教育室、内外科、妇产科、口腔科、放射科、B超室、心电图室、检验科以及网络信息室、公共卫生服务办公室等科室。拥有DR机、彩色B超、动态血压、动态心电图、全自动生化仪和血液分析仪、心电监护仪、麻醉机、阴道镜、微波治疗仪、全套康复理疗设备，病房设施齐全。</w:t>
      </w:r>
    </w:p>
    <w:p>
      <w:pPr>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包括用于基本工资、津贴补贴等人员经费以及办公费、印刷费、水电费、办公设备购置等日常公用经费。2021年基本支出为719.57万元，</w:t>
      </w:r>
      <w:r>
        <w:rPr>
          <w:rFonts w:hint="eastAsia" w:ascii="仿宋" w:hAnsi="仿宋" w:eastAsia="仿宋" w:cs="仿宋"/>
          <w:color w:val="333333"/>
          <w:kern w:val="0"/>
          <w:sz w:val="30"/>
          <w:szCs w:val="30"/>
          <w:shd w:val="clear" w:color="auto" w:fill="FFFFFF"/>
        </w:rPr>
        <w:t>较上年增加32.80万元，增加4.76 %，其中人员经费支出546.84万元，占基本支出的 76%，较上年减少28.34万元，主要是由于:疫情防控期间，医疗业务下降，人员经费下降；公用经费支出172.73万元,占基本支出的24%,较上年增加61.13万元，主要原因是增强疫情防控力度，疫情防控物资增加。</w:t>
      </w:r>
    </w:p>
    <w:p>
      <w:pPr>
        <w:widowControl w:val="0"/>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项目支出是指单位为完成特定行政工作任务或事业发展目标而发生的支出。2021年项目支出0万元。</w:t>
      </w:r>
    </w:p>
    <w:p>
      <w:pPr>
        <w:widowControl w:val="0"/>
        <w:numPr>
          <w:ilvl w:val="0"/>
          <w:numId w:val="2"/>
        </w:num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部门整体支出绩效情况</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1、业务工作完成情况。</w:t>
      </w:r>
      <w:r>
        <w:rPr>
          <w:rFonts w:hint="eastAsia" w:ascii="仿宋" w:hAnsi="仿宋" w:eastAsia="仿宋" w:cs="仿宋"/>
          <w:sz w:val="30"/>
          <w:szCs w:val="30"/>
        </w:rPr>
        <w:t>2021年度业务指标完成情况：门诊人次26742人次，住院人次2164人次，床位使用率95%。经济指标完成情况：全年完成经济收入1778万元，其中门诊收入387万元，住院收入395万元。全年支出1509万元，结余269万元。</w:t>
      </w:r>
    </w:p>
    <w:p>
      <w:pPr>
        <w:spacing w:line="600" w:lineRule="atLeast"/>
        <w:ind w:firstLine="602" w:firstLineChars="200"/>
        <w:rPr>
          <w:rFonts w:hint="eastAsia" w:ascii="仿宋" w:hAnsi="仿宋" w:eastAsia="仿宋" w:cs="仿宋"/>
          <w:sz w:val="30"/>
          <w:szCs w:val="30"/>
        </w:rPr>
      </w:pPr>
      <w:r>
        <w:rPr>
          <w:rFonts w:hint="eastAsia" w:ascii="仿宋" w:hAnsi="仿宋" w:eastAsia="仿宋" w:cs="仿宋"/>
          <w:b/>
          <w:bCs/>
          <w:sz w:val="30"/>
          <w:szCs w:val="30"/>
        </w:rPr>
        <w:t>2、做实基本公卫，促进医疗服务提升。</w:t>
      </w:r>
      <w:r>
        <w:rPr>
          <w:rFonts w:hint="eastAsia" w:ascii="仿宋" w:hAnsi="仿宋" w:eastAsia="仿宋" w:cs="仿宋"/>
          <w:sz w:val="30"/>
          <w:szCs w:val="30"/>
        </w:rPr>
        <w:t>我中心对家庭医生签约服务团队进行了优化整合，成立了由40名业务骨干组成的8个家庭医生签约服务团队，每个团队有两名1名临床医生、2名执业护师、2名公卫人员，团队服务能力更强、更专业、更有延续性。对辖区进行了责任分包，通过开展大型义诊、巡诊、入户、电话随访、健康咨询、健康指导等多种方式进行签约履约服务。</w:t>
      </w:r>
    </w:p>
    <w:p>
      <w:pPr>
        <w:spacing w:line="60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辖区总人数63586人，建立电子建档58365人，建档率达到92%，查阅率达到60%，新建居民健康档案10435人次。高血压患者健康管理4401人，新建高血压675人，面访率达到98%人。糖尿病患者健康管理1685人，新建糖尿病296人，面访率达到98%。</w:t>
      </w:r>
      <w:r>
        <w:rPr>
          <w:rFonts w:ascii="仿宋" w:hAnsi="仿宋" w:eastAsia="仿宋" w:cs="仿宋"/>
          <w:sz w:val="30"/>
          <w:szCs w:val="30"/>
        </w:rPr>
        <w:t>65</w:t>
      </w:r>
      <w:r>
        <w:rPr>
          <w:rFonts w:hint="eastAsia" w:ascii="仿宋" w:hAnsi="仿宋" w:eastAsia="仿宋" w:cs="仿宋"/>
          <w:sz w:val="30"/>
          <w:szCs w:val="30"/>
        </w:rPr>
        <w:t>岁以上老年人建档7309人，新建488人，今年为老年人体检4421人次。全年活产数：266人，产妇数：257人，早孕建册率：上报率99.25%；产后访视率98%。一二类疫苗合计接种16831人次。</w:t>
      </w:r>
      <w:r>
        <w:rPr>
          <w:rFonts w:ascii="仿宋" w:hAnsi="仿宋" w:eastAsia="仿宋" w:cs="仿宋"/>
          <w:sz w:val="30"/>
          <w:szCs w:val="30"/>
        </w:rPr>
        <w:t>管理肺结核可疑症状者、疑似肺结核患者11人次</w:t>
      </w:r>
      <w:r>
        <w:rPr>
          <w:rFonts w:hint="eastAsia" w:ascii="仿宋" w:hAnsi="仿宋" w:eastAsia="仿宋" w:cs="仿宋"/>
          <w:sz w:val="30"/>
          <w:szCs w:val="30"/>
        </w:rPr>
        <w:t>。成人接种新冠疫苗第一剂次35423 人，第二剂次36801人，第三剂次8111人，12-14周岁接种新冠疫苗第一剂次983 人，接种第二剂次1881人，15-17周岁接种新冠疫苗第一剂次1242人，接种第二剂次848人，3-11周岁接种新冠疫苗第一剂次5287人，接种第二剂次2599人。家庭医生签约共计28312人，签约率44.53%。</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3、做好“点面”工作，提升服务能力。</w:t>
      </w:r>
      <w:r>
        <w:rPr>
          <w:rFonts w:hint="eastAsia" w:ascii="仿宋" w:hAnsi="仿宋" w:eastAsia="仿宋" w:cs="仿宋"/>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4、坚定信心，科学布局疫情防控。</w:t>
      </w:r>
      <w:r>
        <w:rPr>
          <w:rFonts w:hint="eastAsia" w:ascii="仿宋" w:hAnsi="仿宋" w:eastAsia="仿宋" w:cs="仿宋"/>
          <w:sz w:val="30"/>
          <w:szCs w:val="30"/>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四、存在的问题及原因分析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widowControl w:val="0"/>
        <w:numPr>
          <w:ilvl w:val="0"/>
          <w:numId w:val="3"/>
        </w:num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下一步改进措施</w:t>
      </w:r>
    </w:p>
    <w:p>
      <w:pPr>
        <w:spacing w:line="600" w:lineRule="atLeast"/>
        <w:ind w:firstLine="600" w:firstLineChars="200"/>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附件：2021年度部门整体支出绩效自评指标计分表</w:t>
      </w:r>
    </w:p>
    <w:p>
      <w:pPr>
        <w:spacing w:beforeLines="50" w:afterLines="50" w:line="600" w:lineRule="exact"/>
        <w:ind w:firstLine="600" w:firstLineChars="200"/>
        <w:jc w:val="center"/>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pStyle w:val="5"/>
        <w:ind w:firstLine="600"/>
        <w:rPr>
          <w:rFonts w:ascii="黑体" w:hAnsi="黑体" w:eastAsia="黑体" w:cs="黑体"/>
          <w:sz w:val="30"/>
          <w:szCs w:val="30"/>
        </w:rPr>
      </w:pPr>
    </w:p>
    <w:p>
      <w:pPr>
        <w:spacing w:beforeLines="50" w:afterLines="50" w:line="600" w:lineRule="exact"/>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2"/>
        <w:ind w:firstLine="600"/>
        <w:rPr>
          <w:sz w:val="30"/>
          <w:szCs w:val="30"/>
        </w:rPr>
      </w:pPr>
    </w:p>
    <w:p/>
    <w:sectPr>
      <w:pgSz w:w="12240" w:h="15840"/>
      <w:pgMar w:top="1134" w:right="1531" w:bottom="1134" w:left="1531" w:header="720" w:footer="17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3ZDRkNTkxMzRiYWQ3ODFjNjM3YTMzZWRlYjFjZmQifQ=="/>
  </w:docVars>
  <w:rsids>
    <w:rsidRoot w:val="00A05FD8"/>
    <w:rsid w:val="00A05FD8"/>
    <w:rsid w:val="00E9127C"/>
    <w:rsid w:val="4347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pPr>
      <w:spacing w:line="600" w:lineRule="exact"/>
      <w:ind w:firstLine="640" w:firstLineChars="200"/>
    </w:pPr>
    <w:rPr>
      <w:rFonts w:hint="eastAsia" w:ascii="仿宋_GB2312" w:eastAsia="仿宋_GB2312"/>
      <w:sz w:val="32"/>
    </w:rPr>
  </w:style>
  <w:style w:type="paragraph" w:customStyle="1" w:styleId="5">
    <w:name w:val="_Style 5"/>
    <w:basedOn w:val="1"/>
    <w:qFormat/>
    <w:uiPriority w:val="0"/>
    <w:pPr>
      <w:ind w:firstLine="200" w:firstLineChars="200"/>
    </w:pPr>
    <w:rPr>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981</Words>
  <Characters>5594</Characters>
  <Lines>46</Lines>
  <Paragraphs>13</Paragraphs>
  <TotalTime>1</TotalTime>
  <ScaleCrop>false</ScaleCrop>
  <LinksUpToDate>false</LinksUpToDate>
  <CharactersWithSpaces>6562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2023-06-15T07:58:00Z</dcterms:created>
  <dc:creator>紫火鳳凰</dc:creator>
  <cp:lastModifiedBy>admin-3</cp:lastModifiedBy>
  <dcterms:modified xsi:type="dcterms:W3CDTF">2023-07-21T08:11:03Z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DAC3ADE885F542CB9273D60B37B2BA27_12</vt:lpwstr>
  </property>
</Properties>
</file>