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lang w:val="en-US" w:eastAsia="zh-CN"/>
        </w:rPr>
        <w:t>兰溪镇中心卫生院房2021年度屋修缮</w:t>
      </w:r>
      <w:r>
        <w:rPr>
          <w:rFonts w:hint="eastAsia" w:ascii="黑体" w:hAnsi="黑体" w:eastAsia="黑体" w:cs="黑体"/>
          <w:sz w:val="36"/>
          <w:szCs w:val="36"/>
        </w:rPr>
        <w:t>项目支出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绩效评价报告</w:t>
      </w:r>
    </w:p>
    <w:p>
      <w:pPr>
        <w:keepNext w:val="0"/>
        <w:keepLines w:val="0"/>
        <w:pageBreakBefore w:val="0"/>
        <w:widowControl w:val="0"/>
        <w:tabs>
          <w:tab w:val="left" w:pos="3435"/>
        </w:tabs>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ab/>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一、预算支出基本情况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（一）预算支出概况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兰溪镇中心卫生院门诊楼始建于八十年代中期，房屋年久失修，屋顶漏水严重，</w:t>
      </w:r>
      <w:r>
        <w:rPr>
          <w:rFonts w:hint="eastAsia" w:ascii="仿宋" w:hAnsi="仿宋" w:eastAsia="仿宋" w:cs="仿宋"/>
          <w:sz w:val="30"/>
          <w:szCs w:val="30"/>
          <w:lang w:eastAsia="zh-CN"/>
        </w:rPr>
        <w:t>严重</w:t>
      </w:r>
      <w:r>
        <w:rPr>
          <w:rFonts w:hint="eastAsia" w:ascii="仿宋" w:hAnsi="仿宋" w:eastAsia="仿宋" w:cs="仿宋"/>
          <w:sz w:val="30"/>
          <w:szCs w:val="30"/>
        </w:rPr>
        <w:t>影响了医院的业务发展和患者的需求，并存在安全隐患</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消毒供应室位于地下一楼，长期渗水，不符合院感要求，医院无制氧机房。2021年争取省级财政修缮资金72万元整，用于门诊综合楼屋顶修缮，消毒供应室与制氧机房建设。已投入资金80万元。自筹资金8万元整。项目资金使用合法合规，项目资金使用率100%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（二）预算资金使用管理情况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兰溪镇中心卫生院</w:t>
      </w:r>
      <w:r>
        <w:rPr>
          <w:rFonts w:hint="eastAsia" w:ascii="仿宋" w:hAnsi="仿宋" w:eastAsia="仿宋" w:cs="仿宋"/>
          <w:sz w:val="30"/>
          <w:szCs w:val="30"/>
          <w:lang w:eastAsia="zh-CN"/>
        </w:rPr>
        <w:t>为确保</w:t>
      </w:r>
      <w:r>
        <w:rPr>
          <w:rFonts w:hint="eastAsia" w:ascii="仿宋" w:hAnsi="仿宋" w:eastAsia="仿宋" w:cs="仿宋"/>
          <w:sz w:val="30"/>
          <w:szCs w:val="30"/>
          <w:lang w:val="en-US" w:eastAsia="zh-CN"/>
        </w:rPr>
        <w:t>医院门诊综合楼屋顶修缮，消毒供应室与制氧机房项目建设顺利实施，成立业务用房建设工程建设领导小组、监视小组，制定工程实施方案，实行领导负责制，指定一名曹玉青副院长负责项目治理工作，卫生院主要领导不定期到建设工地现场指导，按照要求制定项目建设时序进度，细化工程施工方案，并狠抓落实，随时把握项目建设进度，并及时向区卫健局报告项目建设落实情况，主要汇报内容包括项目进度、资金使用等。均在规定时间完成目标任务，资金使用未超出年初确定的预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（三）预算支出绩效目标完成程度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绩效目标均与项目年度任务相对应，绩效目标完成率100%，年度内资金全额到位，总体评价为优。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二、绩</w:t>
      </w:r>
      <w:r>
        <w:rPr>
          <w:rFonts w:hint="eastAsia" w:ascii="黑体" w:hAnsi="黑体" w:eastAsia="黑体" w:cs="黑体"/>
          <w:b w:val="0"/>
          <w:bCs w:val="0"/>
          <w:sz w:val="30"/>
          <w:szCs w:val="30"/>
        </w:rPr>
        <w:t>效评价指标分析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）项目过程情况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项目资金申报过程中，各项资料准备齐全，严格申报程序，制定了资金使用管理办法，确保资金使用规范，制定了项目的绩效评价标准，严守工作纪律，严把材料审核关，严格项目验收。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）项目</w:t>
      </w:r>
      <w:r>
        <w:rPr>
          <w:rFonts w:hint="eastAsia" w:ascii="仿宋" w:hAnsi="仿宋" w:eastAsia="仿宋" w:cs="仿宋"/>
          <w:b/>
          <w:bCs/>
          <w:sz w:val="30"/>
          <w:szCs w:val="30"/>
          <w:lang w:val="en-US" w:eastAsia="zh-CN"/>
        </w:rPr>
        <w:t>决策情况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lang w:val="en-US"/>
        </w:rPr>
      </w:pPr>
      <w:r>
        <w:rPr>
          <w:rFonts w:hint="eastAsia" w:ascii="仿宋" w:hAnsi="仿宋" w:eastAsia="仿宋" w:cs="仿宋"/>
          <w:sz w:val="30"/>
          <w:szCs w:val="30"/>
        </w:rPr>
        <w:t>门诊综合楼</w:t>
      </w:r>
      <w:r>
        <w:rPr>
          <w:rFonts w:hint="eastAsia" w:ascii="仿宋" w:hAnsi="仿宋" w:eastAsia="仿宋" w:cs="仿宋"/>
          <w:sz w:val="30"/>
          <w:szCs w:val="30"/>
          <w:lang w:eastAsia="zh-CN"/>
        </w:rPr>
        <w:t>屋顶</w:t>
      </w:r>
      <w:r>
        <w:rPr>
          <w:rFonts w:hint="eastAsia" w:ascii="仿宋" w:hAnsi="仿宋" w:eastAsia="仿宋" w:cs="仿宋"/>
          <w:sz w:val="30"/>
          <w:szCs w:val="30"/>
          <w:lang w:val="en-US" w:eastAsia="zh-CN"/>
        </w:rPr>
        <w:t>修缮</w:t>
      </w:r>
      <w:r>
        <w:rPr>
          <w:rFonts w:hint="eastAsia" w:ascii="仿宋" w:hAnsi="仿宋" w:eastAsia="仿宋" w:cs="仿宋"/>
          <w:sz w:val="30"/>
          <w:szCs w:val="30"/>
        </w:rPr>
        <w:t>改造</w:t>
      </w:r>
      <w:r>
        <w:rPr>
          <w:rFonts w:hint="eastAsia" w:ascii="仿宋" w:hAnsi="仿宋" w:eastAsia="仿宋" w:cs="仿宋"/>
          <w:sz w:val="30"/>
          <w:szCs w:val="30"/>
          <w:lang w:eastAsia="zh-CN"/>
        </w:rPr>
        <w:t>、消毒供应室</w:t>
      </w:r>
      <w:r>
        <w:rPr>
          <w:rFonts w:hint="eastAsia" w:ascii="仿宋" w:hAnsi="仿宋" w:eastAsia="仿宋" w:cs="仿宋"/>
          <w:sz w:val="30"/>
          <w:szCs w:val="30"/>
          <w:lang w:val="en-US" w:eastAsia="zh-CN"/>
        </w:rPr>
        <w:t>及</w:t>
      </w:r>
      <w:r>
        <w:rPr>
          <w:rFonts w:hint="eastAsia" w:ascii="仿宋" w:hAnsi="仿宋" w:eastAsia="仿宋" w:cs="仿宋"/>
          <w:sz w:val="30"/>
          <w:szCs w:val="30"/>
          <w:lang w:eastAsia="zh-CN"/>
        </w:rPr>
        <w:t>制氧机房</w:t>
      </w:r>
      <w:r>
        <w:rPr>
          <w:rFonts w:hint="eastAsia" w:ascii="仿宋" w:hAnsi="仿宋" w:eastAsia="仿宋" w:cs="仿宋"/>
          <w:sz w:val="30"/>
          <w:szCs w:val="30"/>
          <w:lang w:val="en-US" w:eastAsia="zh-CN"/>
        </w:rPr>
        <w:t>建设，经项目立项，符合法律法规、相关政策、医院的发展规划；预算支出申请、设立过程符合相关要求；绩效目标合理、指标明确；资金投入使用科学、分配合理。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lang w:eastAsia="zh-CN"/>
        </w:rPr>
        <w:t>）项目</w:t>
      </w:r>
      <w:r>
        <w:rPr>
          <w:rFonts w:hint="eastAsia" w:ascii="仿宋" w:hAnsi="仿宋" w:eastAsia="仿宋" w:cs="仿宋"/>
          <w:b/>
          <w:bCs/>
          <w:sz w:val="30"/>
          <w:szCs w:val="30"/>
          <w:lang w:val="en-US" w:eastAsia="zh-CN"/>
        </w:rPr>
        <w:t>过程</w:t>
      </w:r>
      <w:r>
        <w:rPr>
          <w:rFonts w:hint="eastAsia" w:ascii="仿宋" w:hAnsi="仿宋" w:eastAsia="仿宋" w:cs="仿宋"/>
          <w:b/>
          <w:bCs/>
          <w:sz w:val="30"/>
          <w:szCs w:val="30"/>
          <w:lang w:eastAsia="zh-CN"/>
        </w:rPr>
        <w:t>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该项目实际到位资金72万，预算资金72万，实际到位资金100%；预算资金使用，严格按照省市区相关财务管理制度使用，不存在截留、挤占、挪用及虚列开展等情况；资金的使用有效性100%。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（四）项目产出情况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该项目按照预定完成修缮，预算支出实际完成时间稍晚于计划完成时间。门诊综合楼屋顶由原平面式改为歇山式琉璃瓦结构，并新建消毒供应室与制氧机房，于2021年7月份开始进行项目设计、预算、招投标工作，9月份开工建设，于2022年3月完工。各项数据全面、真实和有效，符合绩效评价工作要求和项目（用款）的实际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val="en-US" w:eastAsia="zh-CN"/>
        </w:rPr>
        <w:t>三</w:t>
      </w:r>
      <w:r>
        <w:rPr>
          <w:rFonts w:hint="eastAsia" w:ascii="黑体" w:hAnsi="黑体" w:eastAsia="黑体" w:cs="黑体"/>
          <w:b w:val="0"/>
          <w:bCs w:val="0"/>
          <w:sz w:val="30"/>
          <w:szCs w:val="30"/>
          <w:lang w:eastAsia="zh-CN"/>
        </w:rPr>
        <w:t>、主要经验及做法、存在的问题及原因分析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1.项目资料分散在各个部门，未经整理汇总，给项目自评工作带来一定的困难。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2.工作人员业务水平有待提升，对绩效评价指标把握不清。</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附件：2021年度兰溪镇中心卫生院房屋修缮项目支出绩效自评指标计分表</w:t>
      </w:r>
    </w:p>
    <w:p>
      <w:pPr>
        <w:pStyle w:val="5"/>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spacing w:afterLines="50" w:line="400" w:lineRule="exact"/>
        <w:jc w:val="center"/>
        <w:rPr>
          <w:rFonts w:hint="eastAsia" w:ascii="黑体" w:hAnsi="黑体" w:eastAsia="黑体" w:cs="黑体"/>
          <w:sz w:val="30"/>
          <w:szCs w:val="30"/>
        </w:rPr>
      </w:pPr>
    </w:p>
    <w:p>
      <w:pPr>
        <w:spacing w:afterLines="50" w:line="400" w:lineRule="exact"/>
        <w:jc w:val="center"/>
        <w:rPr>
          <w:rFonts w:hint="eastAsia" w:ascii="黑体" w:hAnsi="黑体" w:eastAsia="黑体" w:cs="黑体"/>
          <w:sz w:val="30"/>
          <w:szCs w:val="30"/>
        </w:rPr>
      </w:pPr>
    </w:p>
    <w:p>
      <w:pPr>
        <w:spacing w:afterLines="50" w:line="400" w:lineRule="exact"/>
        <w:jc w:val="center"/>
        <w:rPr>
          <w:rFonts w:hint="eastAsia" w:ascii="黑体" w:hAnsi="黑体" w:eastAsia="黑体" w:cs="黑体"/>
          <w:sz w:val="30"/>
          <w:szCs w:val="30"/>
        </w:rPr>
      </w:pPr>
    </w:p>
    <w:p>
      <w:pPr>
        <w:spacing w:afterLines="50" w:line="400" w:lineRule="exact"/>
        <w:jc w:val="center"/>
        <w:rPr>
          <w:rFonts w:hint="eastAsia" w:ascii="黑体" w:hAnsi="黑体" w:eastAsia="黑体" w:cs="黑体"/>
          <w:sz w:val="30"/>
          <w:szCs w:val="30"/>
        </w:rPr>
      </w:pPr>
      <w:r>
        <w:rPr>
          <w:rFonts w:hint="eastAsia" w:ascii="黑体" w:hAnsi="黑体" w:eastAsia="黑体" w:cs="黑体"/>
          <w:sz w:val="30"/>
          <w:szCs w:val="30"/>
        </w:rPr>
        <w:t>2021年度</w:t>
      </w:r>
      <w:r>
        <w:rPr>
          <w:rFonts w:hint="eastAsia" w:ascii="黑体" w:hAnsi="黑体" w:eastAsia="黑体" w:cs="黑体"/>
          <w:sz w:val="30"/>
          <w:szCs w:val="30"/>
          <w:lang w:val="en-US" w:eastAsia="zh-CN"/>
        </w:rPr>
        <w:t>兰溪镇中心卫生院房屋修缮</w:t>
      </w:r>
      <w:r>
        <w:rPr>
          <w:rFonts w:hint="eastAsia" w:ascii="黑体" w:hAnsi="黑体" w:eastAsia="黑体" w:cs="黑体"/>
          <w:sz w:val="30"/>
          <w:szCs w:val="30"/>
        </w:rPr>
        <w:t>项目支出绩效自评指标计分表</w:t>
      </w:r>
    </w:p>
    <w:tbl>
      <w:tblPr>
        <w:tblStyle w:val="3"/>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tcMar>
              <w:top w:w="10" w:type="dxa"/>
              <w:left w:w="10" w:type="dxa"/>
              <w:bottom w:w="0" w:type="dxa"/>
              <w:right w:w="10" w:type="dxa"/>
            </w:tcMar>
            <w:vAlign w:val="center"/>
          </w:tcPr>
          <w:p>
            <w:pPr>
              <w:spacing w:line="240" w:lineRule="exact"/>
              <w:jc w:val="center"/>
              <w:rPr>
                <w:rFonts w:hint="eastAsia" w:ascii="宋体" w:hAnsi="宋体" w:cs="宋体" w:eastAsiaTheme="minorEastAsia"/>
                <w:b/>
                <w:bCs/>
                <w:lang w:eastAsia="zh-CN"/>
              </w:rPr>
            </w:pPr>
            <w:r>
              <w:rPr>
                <w:rFonts w:hint="eastAsia" w:ascii="宋体" w:hAnsi="宋体" w:cs="宋体"/>
                <w:b/>
                <w:bCs/>
              </w:rPr>
              <w:t>一级</w:t>
            </w:r>
          </w:p>
          <w:p>
            <w:pPr>
              <w:spacing w:line="240" w:lineRule="exact"/>
              <w:jc w:val="center"/>
              <w:rPr>
                <w:rFonts w:ascii="宋体"/>
                <w:b/>
                <w:bCs/>
              </w:rPr>
            </w:pPr>
            <w:r>
              <w:rPr>
                <w:rFonts w:hint="eastAsia" w:ascii="宋体" w:hAnsi="宋体" w:cs="宋体"/>
                <w:b/>
                <w:bCs/>
              </w:rPr>
              <w:t>指标</w:t>
            </w:r>
          </w:p>
        </w:tc>
        <w:tc>
          <w:tcPr>
            <w:tcW w:w="247" w:type="pct"/>
            <w:tcMar>
              <w:top w:w="10" w:type="dxa"/>
              <w:left w:w="10" w:type="dxa"/>
              <w:bottom w:w="0" w:type="dxa"/>
              <w:right w:w="10" w:type="dxa"/>
            </w:tcMar>
            <w:vAlign w:val="center"/>
          </w:tcPr>
          <w:p>
            <w:pPr>
              <w:spacing w:line="240" w:lineRule="exact"/>
              <w:jc w:val="center"/>
              <w:rPr>
                <w:rFonts w:hint="eastAsia" w:ascii="宋体" w:hAnsi="宋体" w:cs="宋体" w:eastAsiaTheme="minorEastAsia"/>
                <w:b/>
                <w:bCs/>
                <w:lang w:eastAsia="zh-CN"/>
              </w:rPr>
            </w:pPr>
            <w:r>
              <w:rPr>
                <w:rFonts w:hint="eastAsia" w:ascii="宋体" w:hAnsi="宋体" w:cs="宋体"/>
                <w:b/>
                <w:bCs/>
              </w:rPr>
              <w:t>二级</w:t>
            </w:r>
          </w:p>
          <w:p>
            <w:pPr>
              <w:spacing w:line="240" w:lineRule="exact"/>
              <w:jc w:val="center"/>
              <w:rPr>
                <w:rFonts w:ascii="宋体"/>
                <w:b/>
                <w:bCs/>
              </w:rPr>
            </w:pPr>
            <w:r>
              <w:rPr>
                <w:rFonts w:hint="eastAsia" w:ascii="宋体" w:hAnsi="宋体" w:cs="宋体"/>
                <w:b/>
                <w:bCs/>
              </w:rPr>
              <w:t>指标</w:t>
            </w:r>
          </w:p>
        </w:tc>
        <w:tc>
          <w:tcPr>
            <w:tcW w:w="45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94" w:type="pct"/>
          </w:tcPr>
          <w:p>
            <w:pPr>
              <w:spacing w:line="240" w:lineRule="exact"/>
              <w:jc w:val="center"/>
              <w:rPr>
                <w:rFonts w:ascii="宋体"/>
                <w:b/>
                <w:bCs/>
              </w:rPr>
            </w:pPr>
            <w:r>
              <w:rPr>
                <w:rFonts w:hint="eastAsia" w:ascii="宋体" w:hAnsi="宋体" w:cs="宋体"/>
                <w:b/>
                <w:bCs/>
              </w:rPr>
              <w:t>自评分</w:t>
            </w:r>
          </w:p>
        </w:tc>
        <w:tc>
          <w:tcPr>
            <w:tcW w:w="1428"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82"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评价要点：</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①决策（立项）是否符合国家相关法律法规、国民经济发展规划和相关政策；</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②决策（立项）是否符合行业发展规划和政策要求；</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③决策（立项）是否与部门职责范围相符，属于部门履职所需；</w:t>
            </w:r>
          </w:p>
          <w:p>
            <w:pPr>
              <w:spacing w:line="240" w:lineRule="exact"/>
              <w:ind w:left="105" w:leftChars="50" w:right="105" w:rightChars="50"/>
              <w:rPr>
                <w:rFonts w:ascii="宋体"/>
              </w:rPr>
            </w:pP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评价要点：</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①是否将预算支出绩效目标细化分解为具体的绩效指标；</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②是否通过清晰、可衡量的指标值予以体现；</w:t>
            </w:r>
          </w:p>
          <w:p>
            <w:pPr>
              <w:spacing w:line="240" w:lineRule="exact"/>
              <w:ind w:left="105" w:leftChars="50" w:right="105" w:rightChars="50"/>
              <w:rPr>
                <w:rFonts w:ascii="宋体"/>
              </w:rPr>
            </w:pP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hint="eastAsia" w:ascii="宋体" w:hAnsi="宋体" w:cs="宋体" w:eastAsiaTheme="minorEastAsia"/>
                <w:lang w:eastAsia="zh-CN"/>
              </w:rPr>
            </w:pPr>
            <w:r>
              <w:rPr>
                <w:rFonts w:hint="eastAsia" w:ascii="宋体" w:hAnsi="宋体" w:cs="宋体"/>
              </w:rPr>
              <w:t>资金</w:t>
            </w:r>
          </w:p>
          <w:p>
            <w:pPr>
              <w:spacing w:line="240" w:lineRule="exact"/>
              <w:jc w:val="center"/>
              <w:rPr>
                <w:rFonts w:ascii="宋体"/>
              </w:rPr>
            </w:pPr>
            <w:r>
              <w:rPr>
                <w:rFonts w:hint="eastAsia" w:ascii="宋体" w:hAnsi="宋体" w:cs="宋体"/>
              </w:rPr>
              <w:t>管理（</w:t>
            </w:r>
            <w:r>
              <w:rPr>
                <w:rFonts w:ascii="宋体" w:hAnsi="宋体" w:cs="宋体"/>
              </w:rPr>
              <w:t>12</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实际到位资金：一定时期（本年度或预算支出期）内落实到具体预算支出的资金。</w:t>
            </w:r>
          </w:p>
          <w:p>
            <w:pPr>
              <w:spacing w:line="240" w:lineRule="exact"/>
              <w:ind w:left="105" w:leftChars="50" w:right="105" w:rightChars="50"/>
              <w:rPr>
                <w:rFonts w:ascii="宋体"/>
              </w:rPr>
            </w:pP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jc w:val="center"/>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评价要点：</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①是否已制定或具有相应的业务管理制度；</w:t>
            </w:r>
          </w:p>
          <w:p>
            <w:pPr>
              <w:spacing w:line="240" w:lineRule="exact"/>
              <w:ind w:left="105" w:leftChars="50" w:right="105" w:rightChars="50"/>
              <w:rPr>
                <w:rFonts w:ascii="宋体"/>
              </w:rPr>
            </w:pP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评价要点：</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①是否遵守相关法律法规和相关管理规定；</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②预算支出调整及支出调整手续是否完备；</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③预算支出合同书、验收报告、技术鉴定等资料是否齐全并及时归档；</w:t>
            </w:r>
          </w:p>
          <w:p>
            <w:pPr>
              <w:spacing w:line="240" w:lineRule="exact"/>
              <w:ind w:left="105" w:leftChars="50" w:right="105" w:rightChars="50"/>
              <w:rPr>
                <w:rFonts w:ascii="宋体"/>
              </w:rPr>
            </w:pP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实际产出数：一定时期（本年度或预算支出期）内预算支出实际产出的产品或提供的服务数量。</w:t>
            </w:r>
          </w:p>
          <w:p>
            <w:pPr>
              <w:spacing w:line="240" w:lineRule="exact"/>
              <w:ind w:left="105" w:leftChars="50" w:right="105" w:rightChars="50"/>
              <w:rPr>
                <w:rFonts w:ascii="宋体"/>
              </w:rPr>
            </w:pP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实际完成时间：预算支出实施单位完成该预算支出实际所耗用的时间。</w:t>
            </w:r>
          </w:p>
          <w:p>
            <w:pPr>
              <w:spacing w:line="240" w:lineRule="exact"/>
              <w:ind w:left="105" w:leftChars="50" w:right="105" w:rightChars="50"/>
              <w:rPr>
                <w:rFonts w:ascii="宋体"/>
              </w:rPr>
            </w:pP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left="113"/>
              <w:rPr>
                <w:rFonts w:ascii="宋体"/>
              </w:rPr>
            </w:pP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eastAsiaTheme="minorEastAsia"/>
                <w:lang w:eastAsia="zh-CN"/>
              </w:rPr>
            </w:pPr>
            <w:r>
              <w:rPr>
                <w:rFonts w:hint="eastAsia" w:ascii="宋体" w:hAnsi="宋体" w:cs="宋体"/>
              </w:rPr>
              <w:t>实际成本：预算支出实施单位如期、保质、保量完成既定工作目标实际所耗费的支出。</w:t>
            </w:r>
          </w:p>
          <w:p>
            <w:pPr>
              <w:spacing w:line="240" w:lineRule="exact"/>
              <w:ind w:left="105" w:leftChars="50" w:right="105" w:rightChars="50"/>
              <w:rPr>
                <w:rFonts w:ascii="宋体"/>
              </w:rPr>
            </w:pP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hint="eastAsia" w:ascii="宋体" w:hAnsi="宋体" w:cs="宋体" w:eastAsiaTheme="minorEastAsia"/>
                <w:lang w:eastAsia="zh-CN"/>
              </w:rPr>
            </w:pPr>
            <w:r>
              <w:rPr>
                <w:rFonts w:hint="eastAsia" w:ascii="宋体" w:hAnsi="宋体" w:cs="宋体"/>
              </w:rPr>
              <w:t>预算支出</w:t>
            </w:r>
          </w:p>
          <w:p>
            <w:pPr>
              <w:spacing w:line="240" w:lineRule="exact"/>
              <w:jc w:val="center"/>
              <w:rPr>
                <w:rFonts w:ascii="宋体"/>
              </w:rPr>
            </w:pPr>
            <w:r>
              <w:rPr>
                <w:rFonts w:hint="eastAsia" w:ascii="宋体" w:hAnsi="宋体" w:cs="宋体"/>
              </w:rPr>
              <w:t>效益（</w:t>
            </w:r>
            <w:r>
              <w:rPr>
                <w:rFonts w:ascii="宋体" w:hAnsi="宋体" w:cs="宋体"/>
              </w:rPr>
              <w:t>20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Align w:val="center"/>
          </w:tcPr>
          <w:p>
            <w:pPr>
              <w:spacing w:line="240" w:lineRule="exact"/>
              <w:rPr>
                <w:rFonts w:ascii="宋体"/>
              </w:rPr>
            </w:pPr>
            <w:r>
              <w:rPr>
                <w:rFonts w:hint="eastAsia" w:ascii="宋体" w:hAnsi="宋体" w:cs="宋体"/>
              </w:rPr>
              <w:t>总分</w:t>
            </w:r>
          </w:p>
        </w:tc>
        <w:tc>
          <w:tcPr>
            <w:tcW w:w="247" w:type="pct"/>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99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bookmarkStart w:id="0" w:name="_GoBack"/>
      <w:bookmarkEnd w:id="0"/>
    </w:p>
    <w:sectPr>
      <w:pgSz w:w="11906" w:h="16838"/>
      <w:pgMar w:top="1134" w:right="1531" w:bottom="1134" w:left="1531"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NzY5N2NmZWRiMTM2MWY1ZjNmMzA5NGJjMWI2MWIifQ=="/>
  </w:docVars>
  <w:rsids>
    <w:rsidRoot w:val="44674053"/>
    <w:rsid w:val="4467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line="600" w:lineRule="exact"/>
      <w:ind w:firstLine="640" w:firstLineChars="200"/>
    </w:pPr>
    <w:rPr>
      <w:rFonts w:hint="eastAsia" w:ascii="仿宋_GB2312" w:hAnsi="Times New Roman" w:eastAsia="仿宋_GB2312"/>
      <w:sz w:val="32"/>
      <w:szCs w:val="24"/>
    </w:rPr>
  </w:style>
  <w:style w:type="paragraph" w:customStyle="1" w:styleId="5">
    <w:name w:val="_Style 5"/>
    <w:basedOn w:val="1"/>
    <w:qFormat/>
    <w:uiPriority w:val="0"/>
    <w:pPr>
      <w:ind w:firstLine="200" w:firstLineChars="200"/>
    </w:pPr>
    <w:rPr>
      <w:rFonts w:ascii="Times New Roman" w:eastAsia="宋体"/>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2023-07-06T03:43:00Z</dcterms:created>
  <dc:creator>一一</dc:creator>
  <cp:lastModifiedBy>一一</cp:lastModifiedBy>
  <dcterms:modified xsi:type="dcterms:W3CDTF">2023-07-06T03:47:27Z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B9139F82F965408C958D92FFFC125ACE_11</vt:lpwstr>
  </property>
</Properties>
</file>