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color w:val="333333"/>
          <w:kern w:val="0"/>
          <w:sz w:val="36"/>
          <w:szCs w:val="36"/>
          <w:shd w:val="clear" w:color="auto" w:fill="FFFFFF"/>
          <w:lang w:bidi="ar"/>
        </w:rPr>
        <w:t>益阳市赫山区</w:t>
      </w:r>
      <w:r>
        <w:rPr>
          <w:rFonts w:hint="eastAsia" w:ascii="黑体" w:hAnsi="黑体" w:eastAsia="黑体" w:cs="黑体"/>
          <w:color w:val="333333"/>
          <w:kern w:val="0"/>
          <w:sz w:val="36"/>
          <w:szCs w:val="36"/>
          <w:shd w:val="clear" w:color="auto" w:fill="FFFFFF"/>
          <w:lang w:val="en-US" w:eastAsia="zh-CN" w:bidi="ar"/>
        </w:rPr>
        <w:t>兰溪镇中心卫生院</w:t>
      </w:r>
      <w:r>
        <w:rPr>
          <w:rFonts w:hint="eastAsia" w:ascii="黑体" w:hAnsi="黑体" w:eastAsia="黑体" w:cs="黑体"/>
          <w:color w:val="333333"/>
          <w:kern w:val="0"/>
          <w:sz w:val="36"/>
          <w:szCs w:val="36"/>
          <w:shd w:val="clear" w:color="auto" w:fill="FFFFFF"/>
          <w:lang w:bidi="ar"/>
        </w:rPr>
        <w:t>2021年度部门</w:t>
      </w:r>
    </w:p>
    <w:p>
      <w:pPr>
        <w:shd w:val="clear" w:color="auto" w:fill="FFFFFF"/>
        <w:spacing w:line="600" w:lineRule="exact"/>
        <w:jc w:val="center"/>
        <w:rPr>
          <w:rFonts w:hint="eastAsia"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lang w:bidi="ar"/>
        </w:rPr>
        <w:t>整体支出绩效评价报告</w:t>
      </w:r>
    </w:p>
    <w:p>
      <w:pPr>
        <w:shd w:val="clear" w:color="auto" w:fill="FFFFFF"/>
        <w:spacing w:line="600" w:lineRule="exact"/>
        <w:ind w:firstLine="600" w:firstLineChars="200"/>
        <w:jc w:val="left"/>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w:t>
      </w:r>
      <w:r>
        <w:rPr>
          <w:rFonts w:hint="eastAsia" w:ascii="仿宋" w:hAnsi="仿宋" w:eastAsia="仿宋" w:cs="仿宋"/>
          <w:color w:val="333333"/>
          <w:kern w:val="0"/>
          <w:sz w:val="30"/>
          <w:szCs w:val="30"/>
          <w:shd w:val="clear" w:color="auto" w:fill="FFFFFF"/>
          <w:lang w:val="en-US" w:eastAsia="zh-CN" w:bidi="ar"/>
        </w:rPr>
        <w:t>兰溪镇中心卫生院</w:t>
      </w:r>
      <w:r>
        <w:rPr>
          <w:rFonts w:hint="eastAsia" w:ascii="仿宋" w:hAnsi="仿宋" w:eastAsia="仿宋" w:cs="仿宋"/>
          <w:color w:val="333333"/>
          <w:kern w:val="0"/>
          <w:sz w:val="30"/>
          <w:szCs w:val="30"/>
          <w:shd w:val="clear" w:color="auto" w:fill="FFFFFF"/>
          <w:lang w:bidi="ar"/>
        </w:rPr>
        <w:t>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hint="eastAsia"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0" w:firstLineChars="200"/>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一</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部门职责</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负责本辖区的卫生工作、法律法规、政策的贯彻，卫生事业发展规划和工作计划的制定，为辖区居民提供13类基本公共卫生服务;</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负责辖区突发公共卫生事件的报告，并依据上级部门要求组织实施处置等工作;</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为辖区提供基本医疗服务，组织实施医改、农合、妇幼等相关工作</w:t>
      </w:r>
      <w:r>
        <w:rPr>
          <w:rFonts w:hint="eastAsia" w:ascii="仿宋" w:hAnsi="仿宋" w:eastAsia="仿宋" w:cs="仿宋"/>
          <w:sz w:val="30"/>
          <w:szCs w:val="30"/>
          <w:lang w:val="en-US" w:eastAsia="zh-CN"/>
        </w:rPr>
        <w:t>;</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负责本辖区卫生信息统计、分析、上报；</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负责对辖区村级卫生组织和乡村医生的业务指导培训；</w:t>
      </w:r>
    </w:p>
    <w:p>
      <w:pPr>
        <w:pageBreakBefore w:val="0"/>
        <w:widowControl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负责卫生行政主管部门委托的相关业务或事项，落实上级卫生主管部门下达的其他工作；</w:t>
      </w:r>
    </w:p>
    <w:p>
      <w:pPr>
        <w:pageBreakBefore w:val="0"/>
        <w:widowControl/>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承办上级主管部门及政府交办的其他事项。</w:t>
      </w:r>
    </w:p>
    <w:p>
      <w:pPr>
        <w:spacing w:line="560" w:lineRule="exact"/>
        <w:ind w:firstLine="600" w:firstLineChars="200"/>
        <w:rPr>
          <w:rFonts w:hint="default" w:ascii="仿宋_GB2312" w:eastAsia="仿宋_GB2312"/>
          <w:b/>
          <w:bCs/>
          <w:sz w:val="30"/>
          <w:szCs w:val="30"/>
          <w:lang w:val="en-US" w:eastAsia="zh-CN"/>
        </w:rPr>
      </w:pPr>
      <w:r>
        <w:rPr>
          <w:rFonts w:hint="eastAsia" w:ascii="仿宋_GB2312" w:eastAsia="仿宋_GB2312"/>
          <w:b/>
          <w:bCs/>
          <w:sz w:val="30"/>
          <w:szCs w:val="30"/>
        </w:rPr>
        <w:t>（二）机构设置</w:t>
      </w:r>
      <w:r>
        <w:rPr>
          <w:rFonts w:hint="eastAsia" w:ascii="仿宋_GB2312" w:eastAsia="仿宋_GB2312"/>
          <w:b/>
          <w:bCs/>
          <w:sz w:val="30"/>
          <w:szCs w:val="30"/>
          <w:lang w:val="en-US" w:eastAsia="zh-CN"/>
        </w:rPr>
        <w:t>及人员编制情况</w:t>
      </w:r>
    </w:p>
    <w:p>
      <w:pPr>
        <w:shd w:val="clear" w:color="auto" w:fill="FFFFFF"/>
        <w:spacing w:line="600" w:lineRule="exact"/>
        <w:ind w:firstLine="600" w:firstLineChars="200"/>
        <w:jc w:val="left"/>
        <w:rPr>
          <w:rFonts w:hint="eastAsia" w:ascii="仿宋_GB2312" w:eastAsia="仿宋_GB2312"/>
          <w:sz w:val="30"/>
          <w:szCs w:val="30"/>
        </w:rPr>
      </w:pPr>
      <w:r>
        <w:rPr>
          <w:rFonts w:hint="eastAsia" w:ascii="仿宋_GB2312" w:eastAsia="仿宋_GB2312"/>
          <w:sz w:val="30"/>
          <w:szCs w:val="30"/>
        </w:rPr>
        <w:t>设有全科、内科、外科、妇科、理疗科、检验科、心电图室、B超室、放射科等临床科室，拥有CT机、DR机、彩色B超、动态血压、动态心电图、全自动生化仪和血液分析仪、心电监护仪、麻醉机、经颅多普勒、阴道镜、微波治疗仪、理疗设备，病房设施齐全。干职工</w:t>
      </w:r>
      <w:r>
        <w:rPr>
          <w:rFonts w:hint="eastAsia" w:ascii="仿宋_GB2312" w:eastAsia="仿宋_GB2312"/>
          <w:sz w:val="30"/>
          <w:szCs w:val="30"/>
          <w:lang w:val="en-US" w:eastAsia="zh-CN"/>
        </w:rPr>
        <w:t>142</w:t>
      </w:r>
      <w:r>
        <w:rPr>
          <w:rFonts w:hint="eastAsia" w:ascii="仿宋_GB2312" w:eastAsia="仿宋_GB2312"/>
          <w:sz w:val="30"/>
          <w:szCs w:val="30"/>
        </w:rPr>
        <w:t>人，卫生专业技术人员</w:t>
      </w:r>
      <w:r>
        <w:rPr>
          <w:rFonts w:hint="eastAsia" w:ascii="仿宋_GB2312" w:eastAsia="仿宋_GB2312"/>
          <w:sz w:val="30"/>
          <w:szCs w:val="30"/>
          <w:lang w:val="en-US" w:eastAsia="zh-CN"/>
        </w:rPr>
        <w:t>113</w:t>
      </w:r>
      <w:r>
        <w:rPr>
          <w:rFonts w:hint="eastAsia" w:ascii="仿宋_GB2312" w:eastAsia="仿宋_GB2312"/>
          <w:sz w:val="30"/>
          <w:szCs w:val="30"/>
        </w:rPr>
        <w:t>人，中级职称</w:t>
      </w:r>
      <w:r>
        <w:rPr>
          <w:rFonts w:hint="eastAsia" w:ascii="仿宋_GB2312" w:eastAsia="仿宋_GB2312"/>
          <w:sz w:val="30"/>
          <w:szCs w:val="30"/>
          <w:lang w:val="en-US" w:eastAsia="zh-CN"/>
        </w:rPr>
        <w:t>25</w:t>
      </w:r>
      <w:r>
        <w:rPr>
          <w:rFonts w:hint="eastAsia" w:ascii="仿宋_GB2312" w:eastAsia="仿宋_GB2312"/>
          <w:sz w:val="30"/>
          <w:szCs w:val="30"/>
        </w:rPr>
        <w:t>人，高级职称</w:t>
      </w:r>
      <w:r>
        <w:rPr>
          <w:rFonts w:hint="eastAsia" w:ascii="仿宋_GB2312" w:eastAsia="仿宋_GB2312"/>
          <w:sz w:val="30"/>
          <w:szCs w:val="30"/>
          <w:lang w:val="en-US" w:eastAsia="zh-CN"/>
        </w:rPr>
        <w:t>5</w:t>
      </w:r>
      <w:r>
        <w:rPr>
          <w:rFonts w:hint="eastAsia" w:ascii="仿宋_GB2312" w:eastAsia="仿宋_GB2312"/>
          <w:sz w:val="30"/>
          <w:szCs w:val="30"/>
        </w:rPr>
        <w:t>人，其中全科医师</w:t>
      </w:r>
      <w:r>
        <w:rPr>
          <w:rFonts w:hint="eastAsia" w:ascii="仿宋_GB2312" w:eastAsia="仿宋_GB2312"/>
          <w:sz w:val="30"/>
          <w:szCs w:val="30"/>
          <w:lang w:val="en-US" w:eastAsia="zh-CN"/>
        </w:rPr>
        <w:t>8</w:t>
      </w:r>
      <w:r>
        <w:rPr>
          <w:rFonts w:hint="eastAsia" w:ascii="仿宋_GB2312" w:eastAsia="仿宋_GB2312"/>
          <w:sz w:val="30"/>
          <w:szCs w:val="30"/>
        </w:rPr>
        <w:t>人，卫技人员占全院职工的</w:t>
      </w:r>
      <w:r>
        <w:rPr>
          <w:rFonts w:hint="eastAsia" w:ascii="仿宋_GB2312" w:eastAsia="仿宋_GB2312"/>
          <w:sz w:val="30"/>
          <w:szCs w:val="30"/>
          <w:lang w:val="en-US" w:eastAsia="zh-CN"/>
        </w:rPr>
        <w:t>79.5</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adjustRightInd/>
        <w:snapToGrid/>
        <w:spacing w:line="600" w:lineRule="exact"/>
        <w:ind w:firstLine="900" w:firstLineChars="300"/>
        <w:textAlignment w:val="auto"/>
        <w:rPr>
          <w:rFonts w:hint="eastAsia" w:ascii="黑体" w:hAnsi="黑体" w:eastAsia="黑体" w:cs="黑体"/>
          <w:sz w:val="30"/>
          <w:szCs w:val="30"/>
        </w:rPr>
      </w:pPr>
      <w:r>
        <w:rPr>
          <w:rFonts w:hint="eastAsia" w:ascii="黑体" w:hAnsi="黑体" w:eastAsia="黑体" w:cs="黑体"/>
          <w:sz w:val="30"/>
          <w:szCs w:val="30"/>
        </w:rPr>
        <w:t>二、一般公共预算支出情况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（一）基本支出</w:t>
      </w:r>
      <w:r>
        <w:rPr>
          <w:rFonts w:hint="eastAsia" w:ascii="仿宋" w:hAnsi="仿宋" w:eastAsia="仿宋" w:cs="仿宋"/>
          <w:b/>
          <w:bCs/>
          <w:sz w:val="30"/>
          <w:szCs w:val="30"/>
          <w:lang w:val="en-US" w:eastAsia="zh-CN"/>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default" w:ascii="仿宋" w:hAnsi="仿宋" w:eastAsia="仿宋" w:cs="仿宋"/>
          <w:i w:val="0"/>
          <w:caps w:val="0"/>
          <w:color w:val="333333"/>
          <w:spacing w:val="0"/>
          <w:sz w:val="30"/>
          <w:szCs w:val="30"/>
          <w:lang w:val="en-US"/>
        </w:rPr>
      </w:pPr>
      <w:r>
        <w:rPr>
          <w:rFonts w:hint="eastAsia" w:ascii="仿宋" w:hAnsi="仿宋" w:eastAsia="仿宋" w:cs="仿宋"/>
          <w:b w:val="0"/>
          <w:bCs w:val="0"/>
          <w:sz w:val="30"/>
          <w:szCs w:val="30"/>
          <w:lang w:val="en-US" w:eastAsia="zh-CN"/>
        </w:rPr>
        <w:t>基本支出</w:t>
      </w:r>
      <w:r>
        <w:rPr>
          <w:rFonts w:hint="eastAsia" w:ascii="仿宋" w:hAnsi="仿宋" w:eastAsia="仿宋" w:cs="仿宋"/>
          <w:i w:val="0"/>
          <w:caps w:val="0"/>
          <w:color w:val="333333"/>
          <w:spacing w:val="0"/>
          <w:kern w:val="0"/>
          <w:sz w:val="30"/>
          <w:szCs w:val="30"/>
          <w:shd w:val="clear" w:fill="FFFFFF"/>
          <w:lang w:val="en-US" w:eastAsia="zh-CN"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包括用于基本工资、津贴补贴等人员经费以及办公费、印刷费、水电费、办公设备购置等日常公用经费。2021年度财政拨款收入总计1116.33万元，与</w:t>
      </w:r>
      <w:r>
        <w:rPr>
          <w:rFonts w:hint="eastAsia" w:ascii="仿宋" w:hAnsi="仿宋" w:eastAsia="仿宋" w:cs="仿宋"/>
          <w:sz w:val="30"/>
          <w:szCs w:val="30"/>
          <w:lang w:eastAsia="zh-CN"/>
        </w:rPr>
        <w:t>上</w:t>
      </w:r>
      <w:r>
        <w:rPr>
          <w:rFonts w:hint="eastAsia" w:ascii="仿宋" w:hAnsi="仿宋" w:eastAsia="仿宋" w:cs="仿宋"/>
          <w:sz w:val="30"/>
          <w:szCs w:val="30"/>
        </w:rPr>
        <w:t>年相比，减少24.34万元，减少2.13%</w:t>
      </w:r>
      <w:r>
        <w:rPr>
          <w:rFonts w:hint="eastAsia" w:ascii="仿宋" w:hAnsi="仿宋" w:eastAsia="仿宋" w:cs="仿宋"/>
          <w:sz w:val="30"/>
          <w:szCs w:val="30"/>
          <w:lang w:eastAsia="zh-CN"/>
        </w:rPr>
        <w:t>。</w:t>
      </w:r>
      <w:r>
        <w:rPr>
          <w:rFonts w:hint="eastAsia" w:ascii="仿宋" w:hAnsi="仿宋" w:eastAsia="仿宋" w:cs="仿宋"/>
          <w:color w:val="auto"/>
          <w:kern w:val="2"/>
          <w:sz w:val="30"/>
          <w:szCs w:val="30"/>
        </w:rPr>
        <w:t>财政拨款支出总计1116.33万元，</w:t>
      </w:r>
      <w:r>
        <w:rPr>
          <w:rFonts w:hint="eastAsia" w:ascii="仿宋" w:hAnsi="仿宋" w:eastAsia="仿宋" w:cs="仿宋"/>
          <w:sz w:val="30"/>
          <w:szCs w:val="30"/>
        </w:rPr>
        <w:t>与</w:t>
      </w:r>
      <w:r>
        <w:rPr>
          <w:rFonts w:hint="eastAsia" w:ascii="仿宋" w:hAnsi="仿宋" w:eastAsia="仿宋" w:cs="仿宋"/>
          <w:sz w:val="30"/>
          <w:szCs w:val="30"/>
          <w:lang w:eastAsia="zh-CN"/>
        </w:rPr>
        <w:t>上</w:t>
      </w:r>
      <w:r>
        <w:rPr>
          <w:rFonts w:hint="eastAsia" w:ascii="仿宋" w:hAnsi="仿宋" w:eastAsia="仿宋" w:cs="仿宋"/>
          <w:sz w:val="30"/>
          <w:szCs w:val="30"/>
        </w:rPr>
        <w:t>年相比，减少24.34万元，减少2.13%</w:t>
      </w:r>
      <w:r>
        <w:rPr>
          <w:rFonts w:hint="eastAsia" w:ascii="仿宋" w:hAnsi="仿宋" w:eastAsia="仿宋" w:cs="仿宋"/>
          <w:sz w:val="30"/>
          <w:szCs w:val="30"/>
          <w:lang w:eastAsia="zh-CN"/>
        </w:rPr>
        <w:t>。</w:t>
      </w:r>
      <w:r>
        <w:rPr>
          <w:rFonts w:hint="eastAsia" w:ascii="仿宋" w:hAnsi="仿宋" w:eastAsia="仿宋" w:cs="仿宋"/>
          <w:sz w:val="30"/>
          <w:szCs w:val="30"/>
        </w:rPr>
        <w:t>财政拨款收入</w:t>
      </w:r>
      <w:r>
        <w:rPr>
          <w:rFonts w:hint="eastAsia" w:ascii="仿宋" w:hAnsi="仿宋" w:eastAsia="仿宋" w:cs="仿宋"/>
          <w:sz w:val="30"/>
          <w:szCs w:val="30"/>
          <w:lang w:eastAsia="zh-CN"/>
        </w:rPr>
        <w:t>和支出减少</w:t>
      </w:r>
      <w:r>
        <w:rPr>
          <w:rFonts w:hint="eastAsia" w:ascii="仿宋" w:hAnsi="仿宋" w:eastAsia="仿宋" w:cs="仿宋"/>
          <w:sz w:val="30"/>
          <w:szCs w:val="30"/>
        </w:rPr>
        <w:t>主</w:t>
      </w:r>
      <w:r>
        <w:rPr>
          <w:rFonts w:hint="eastAsia" w:ascii="仿宋" w:hAnsi="仿宋" w:eastAsia="仿宋" w:cs="仿宋"/>
          <w:color w:val="auto"/>
          <w:sz w:val="30"/>
          <w:szCs w:val="30"/>
        </w:rPr>
        <w:t>要是</w:t>
      </w:r>
      <w:r>
        <w:rPr>
          <w:rFonts w:hint="eastAsia" w:ascii="仿宋" w:hAnsi="仿宋" w:eastAsia="仿宋" w:cs="仿宋"/>
          <w:color w:val="000000" w:themeColor="text1"/>
          <w:sz w:val="30"/>
          <w:szCs w:val="30"/>
          <w:lang w:val="en-US" w:eastAsia="zh-CN"/>
          <w14:textFill>
            <w14:solidFill>
              <w14:schemeClr w14:val="tx1"/>
            </w14:solidFill>
          </w14:textFill>
        </w:rPr>
        <w:t>新冠疫情防控资金减少。</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hint="eastAsia"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jc w:val="both"/>
        <w:textAlignment w:val="auto"/>
        <w:outlineLvl w:val="9"/>
        <w:rPr>
          <w:rFonts w:hint="eastAsia" w:ascii="仿宋" w:hAnsi="仿宋" w:eastAsia="仿宋" w:cs="仿宋"/>
          <w:color w:val="auto"/>
          <w:kern w:val="2"/>
          <w:sz w:val="30"/>
          <w:szCs w:val="30"/>
          <w:highlight w:val="red"/>
          <w:lang w:val="en-US" w:eastAsia="zh-CN" w:bidi="ar-SA"/>
        </w:rPr>
      </w:pPr>
      <w:r>
        <w:rPr>
          <w:rFonts w:hint="eastAsia" w:ascii="仿宋" w:hAnsi="仿宋" w:eastAsia="仿宋" w:cs="仿宋"/>
          <w:b/>
          <w:bCs/>
          <w:color w:val="auto"/>
          <w:kern w:val="2"/>
          <w:sz w:val="30"/>
          <w:szCs w:val="30"/>
          <w:lang w:val="en-US" w:eastAsia="zh-CN" w:bidi="ar-SA"/>
        </w:rPr>
        <w:t>1、业务工作完成情况。</w:t>
      </w:r>
      <w:r>
        <w:rPr>
          <w:rFonts w:hint="eastAsia" w:ascii="仿宋" w:hAnsi="仿宋" w:eastAsia="仿宋" w:cs="仿宋"/>
          <w:color w:val="auto"/>
          <w:kern w:val="2"/>
          <w:sz w:val="30"/>
          <w:szCs w:val="30"/>
          <w:lang w:val="en-US" w:eastAsia="zh-CN" w:bidi="ar-SA"/>
        </w:rPr>
        <w:t>2021年度业务指标完成情况：门诊人次21223人次，住院人次4842人次。经济指标完成情况：全年完成经济收入2672万元，其中门诊收入462万元，住院收入961万元。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2、做好“点面”工作，提升服务能力。</w:t>
      </w:r>
      <w:r>
        <w:rPr>
          <w:rFonts w:hint="eastAsia" w:ascii="仿宋" w:hAnsi="仿宋" w:eastAsia="仿宋" w:cs="仿宋"/>
          <w:color w:val="auto"/>
          <w:kern w:val="2"/>
          <w:sz w:val="30"/>
          <w:szCs w:val="30"/>
          <w:lang w:val="en-US" w:eastAsia="zh-CN" w:bidi="ar-SA"/>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560" w:lineRule="exact"/>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3、做实基本公卫，促进医疗服务提升。</w:t>
      </w:r>
      <w:r>
        <w:rPr>
          <w:rFonts w:hint="eastAsia" w:ascii="仿宋" w:hAnsi="仿宋" w:eastAsia="仿宋" w:cs="仿宋"/>
          <w:color w:val="auto"/>
          <w:kern w:val="2"/>
          <w:sz w:val="30"/>
          <w:szCs w:val="30"/>
          <w:lang w:val="en-US" w:eastAsia="zh-CN" w:bidi="ar-SA"/>
        </w:rPr>
        <w:t>我中心对家庭医生签约服务团队进行了优化整合，成立了业务骨干组成的24个家庭医生签约服务团队，每个团队有两名1名临床医生、1名执业护师、1名公卫人员，团队服务能力更强、更专业、更有延续性。对辖区进行了责任分包，通过开展大型义诊、巡诊、入户、电话随访、健康咨询、健康指导等多种方式进行签约履约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kern w:val="2"/>
          <w:sz w:val="30"/>
          <w:szCs w:val="30"/>
          <w:lang w:val="en-US" w:eastAsia="zh-CN" w:bidi="ar-SA"/>
        </w:rPr>
        <w:t>4、坚定信心，科学布局疫情防控。</w:t>
      </w:r>
      <w:r>
        <w:rPr>
          <w:rFonts w:hint="eastAsia" w:ascii="仿宋" w:hAnsi="仿宋" w:eastAsia="仿宋" w:cs="仿宋"/>
          <w:color w:val="auto"/>
          <w:kern w:val="2"/>
          <w:sz w:val="30"/>
          <w:szCs w:val="30"/>
          <w:lang w:val="en-US" w:eastAsia="zh-CN" w:bidi="ar-SA"/>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keepNext w:val="0"/>
        <w:keepLines w:val="0"/>
        <w:pageBreakBefore w:val="0"/>
        <w:widowControl w:val="0"/>
        <w:numPr>
          <w:ilvl w:val="0"/>
          <w:numId w:val="3"/>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right="0" w:rightChars="0" w:firstLine="600" w:firstLineChars="200"/>
        <w:textAlignment w:val="auto"/>
        <w:outlineLvl w:val="9"/>
        <w:rPr>
          <w:rFonts w:hint="eastAsia"/>
        </w:rPr>
      </w:pPr>
      <w:r>
        <w:rPr>
          <w:rFonts w:hint="eastAsia" w:ascii="仿宋" w:hAnsi="仿宋" w:eastAsia="仿宋" w:cs="仿宋"/>
          <w:color w:val="auto"/>
          <w:kern w:val="2"/>
          <w:sz w:val="30"/>
          <w:szCs w:val="30"/>
          <w:lang w:val="en-US" w:eastAsia="zh-CN" w:bidi="ar-SA"/>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30"/>
          <w:szCs w:val="30"/>
          <w:highlight w:val="white"/>
        </w:rPr>
      </w:pPr>
    </w:p>
    <w:p>
      <w:pPr>
        <w:pStyle w:val="5"/>
        <w:ind w:firstLine="600"/>
        <w:rPr>
          <w:rFonts w:hint="eastAsia" w:ascii="黑体" w:hAnsi="黑体" w:eastAsia="黑体" w:cs="黑体"/>
          <w:sz w:val="30"/>
          <w:szCs w:val="30"/>
        </w:rPr>
      </w:pPr>
    </w:p>
    <w:p>
      <w:pPr>
        <w:spacing w:before="120" w:beforeLines="50" w:after="120" w:afterLines="50" w:line="600" w:lineRule="exact"/>
        <w:jc w:val="both"/>
        <w:rPr>
          <w:rFonts w:hint="eastAsia" w:ascii="黑体" w:hAnsi="黑体" w:eastAsia="黑体" w:cs="黑体"/>
          <w:sz w:val="30"/>
          <w:szCs w:val="30"/>
        </w:rPr>
      </w:pPr>
    </w:p>
    <w:p>
      <w:pPr>
        <w:spacing w:before="120" w:beforeLines="50" w:after="120" w:afterLines="50" w:line="600" w:lineRule="exact"/>
        <w:ind w:firstLine="600" w:firstLineChars="200"/>
        <w:jc w:val="center"/>
        <w:rPr>
          <w:rFonts w:hint="eastAsia"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color w:val="000000"/>
          <w:kern w:val="0"/>
          <w:sz w:val="30"/>
          <w:szCs w:val="30"/>
        </w:rPr>
      </w:pPr>
    </w:p>
    <w:p>
      <w:pPr>
        <w:pStyle w:val="5"/>
        <w:rPr>
          <w:rFonts w:hint="eastAsia"/>
        </w:rPr>
      </w:pPr>
    </w:p>
    <w:p/>
    <w:p>
      <w:bookmarkStart w:id="0" w:name="_GoBack"/>
      <w:bookmarkEnd w:id="0"/>
    </w:p>
    <w:sectPr>
      <w:pgSz w:w="11906" w:h="16838"/>
      <w:pgMar w:top="1134" w:right="1531" w:bottom="1134" w:left="1531"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zY5N2NmZWRiMTM2MWY1ZjNmMzA5NGJjMWI2MWIifQ=="/>
  </w:docVars>
  <w:rsids>
    <w:rsidRoot w:val="76E00A5D"/>
    <w:rsid w:val="76E00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00" w:lineRule="exact"/>
      <w:ind w:firstLine="640" w:firstLineChars="200"/>
    </w:pPr>
    <w:rPr>
      <w:rFonts w:hint="eastAsia" w:ascii="仿宋_GB2312" w:hAnsi="Times New Roman" w:eastAsia="仿宋_GB2312"/>
      <w:sz w:val="32"/>
      <w:szCs w:val="24"/>
    </w:rPr>
  </w:style>
  <w:style w:type="paragraph" w:customStyle="1" w:styleId="5">
    <w:name w:val="_Style 5"/>
    <w:basedOn w:val="1"/>
    <w:qFormat/>
    <w:uiPriority w:val="0"/>
    <w:pPr>
      <w:ind w:firstLine="200" w:firstLineChars="200"/>
    </w:pPr>
    <w:rPr>
      <w:rFonts w:ascii="Times New Roman" w:eastAsia="宋体"/>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2023-07-06T03:45:00Z</dcterms:created>
  <dc:creator>一一</dc:creator>
  <cp:lastModifiedBy>一一</cp:lastModifiedBy>
  <dcterms:modified xsi:type="dcterms:W3CDTF">2023-07-06T03:47:47Z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A504D200E57E41269D9FDD157D774C04_11</vt:lpwstr>
  </property>
</Properties>
</file>