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hint="eastAsia" w:ascii="黑体" w:hAnsi="黑体" w:eastAsia="黑体" w:cs="黑体"/>
          <w:color w:val="333333"/>
          <w:kern w:val="0"/>
          <w:sz w:val="36"/>
          <w:szCs w:val="36"/>
          <w:shd w:val="clear" w:color="auto" w:fill="FFFFFF"/>
          <w:lang w:bidi="ar"/>
        </w:rPr>
      </w:pPr>
      <w:r>
        <w:rPr>
          <w:rFonts w:hint="eastAsia" w:ascii="黑体" w:hAnsi="黑体" w:eastAsia="黑体" w:cs="黑体"/>
          <w:color w:val="333333"/>
          <w:kern w:val="0"/>
          <w:sz w:val="36"/>
          <w:szCs w:val="36"/>
          <w:shd w:val="clear" w:color="auto" w:fill="FFFFFF"/>
          <w:lang w:bidi="ar"/>
        </w:rPr>
        <w:t>益阳市赫山区</w:t>
      </w:r>
      <w:r>
        <w:rPr>
          <w:rFonts w:hint="eastAsia" w:ascii="黑体" w:hAnsi="黑体" w:eastAsia="黑体" w:cs="黑体"/>
          <w:color w:val="333333"/>
          <w:kern w:val="0"/>
          <w:sz w:val="36"/>
          <w:szCs w:val="36"/>
          <w:shd w:val="clear" w:color="auto" w:fill="FFFFFF"/>
          <w:lang w:val="en-US" w:eastAsia="zh-CN" w:bidi="ar"/>
        </w:rPr>
        <w:t>兰溪镇中心卫生院</w:t>
      </w:r>
      <w:r>
        <w:rPr>
          <w:rFonts w:hint="eastAsia" w:ascii="黑体" w:hAnsi="黑体" w:eastAsia="黑体" w:cs="黑体"/>
          <w:color w:val="333333"/>
          <w:kern w:val="0"/>
          <w:sz w:val="36"/>
          <w:szCs w:val="36"/>
          <w:shd w:val="clear" w:color="auto" w:fill="FFFFFF"/>
          <w:lang w:bidi="ar"/>
        </w:rPr>
        <w:t>2021年度部门</w:t>
      </w:r>
    </w:p>
    <w:p>
      <w:pPr>
        <w:shd w:val="clear" w:color="auto" w:fill="FFFFFF"/>
        <w:spacing w:line="600" w:lineRule="exact"/>
        <w:jc w:val="center"/>
        <w:rPr>
          <w:rFonts w:hint="eastAsia" w:ascii="黑体" w:hAnsi="黑体" w:eastAsia="黑体" w:cs="黑体"/>
          <w:color w:val="333333"/>
          <w:sz w:val="36"/>
          <w:szCs w:val="36"/>
        </w:rPr>
      </w:pPr>
      <w:r>
        <w:rPr>
          <w:rFonts w:hint="eastAsia" w:ascii="黑体" w:hAnsi="黑体" w:eastAsia="黑体" w:cs="黑体"/>
          <w:color w:val="333333"/>
          <w:kern w:val="0"/>
          <w:sz w:val="36"/>
          <w:szCs w:val="36"/>
          <w:shd w:val="clear" w:color="auto" w:fill="FFFFFF"/>
          <w:lang w:bidi="ar"/>
        </w:rPr>
        <w:t>整体支出绩效评价报告</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2021年，</w:t>
      </w:r>
      <w:r>
        <w:rPr>
          <w:rFonts w:hint="eastAsia" w:ascii="仿宋" w:hAnsi="仿宋" w:eastAsia="仿宋" w:cs="仿宋"/>
          <w:color w:val="333333"/>
          <w:kern w:val="0"/>
          <w:sz w:val="30"/>
          <w:szCs w:val="30"/>
          <w:shd w:val="clear" w:color="auto" w:fill="FFFFFF"/>
          <w:lang w:val="en-US" w:eastAsia="zh-CN" w:bidi="ar"/>
        </w:rPr>
        <w:t>兰溪镇中心卫生院</w:t>
      </w:r>
      <w:r>
        <w:rPr>
          <w:rFonts w:hint="eastAsia" w:ascii="仿宋" w:hAnsi="仿宋" w:eastAsia="仿宋" w:cs="仿宋"/>
          <w:color w:val="333333"/>
          <w:kern w:val="0"/>
          <w:sz w:val="30"/>
          <w:szCs w:val="30"/>
          <w:shd w:val="clear" w:color="auto" w:fill="FFFFFF"/>
          <w:lang w:bidi="ar"/>
        </w:rPr>
        <w:t>在赫山区卫健局的正确领导和精心指导下，改革创新、团结奋进，以深化医药卫生体制改革为主线，以提升卫生健康服务质量为目标，团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hint="eastAsia"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lang w:bidi="ar"/>
        </w:rPr>
        <w:t>一、部门基本情况</w:t>
      </w:r>
    </w:p>
    <w:p>
      <w:pPr>
        <w:spacing w:line="560" w:lineRule="exact"/>
        <w:ind w:firstLine="640" w:firstLineChars="200"/>
        <w:rPr>
          <w:rFonts w:hint="default"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部门职责</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负责本辖区的卫生工作、法律法规、政策的贯彻，卫生事业发展规划和工作计划的制定，为辖区居民提供13类基本公共卫生服务;</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负责辖区突发公共卫生事件的报告，并依据上级部门要求组织实施处置等工作;</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为辖区提供基本医疗服务，组织实施医改、农合、妇幼等相关工作</w:t>
      </w:r>
      <w:r>
        <w:rPr>
          <w:rFonts w:hint="eastAsia" w:ascii="仿宋" w:hAnsi="仿宋" w:eastAsia="仿宋" w:cs="仿宋"/>
          <w:sz w:val="30"/>
          <w:szCs w:val="30"/>
          <w:lang w:val="en-US" w:eastAsia="zh-CN"/>
        </w:rPr>
        <w:t>;</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负责本辖区卫生信息统计、分析、上报；</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负责对辖区村级卫生组织和乡村医生的业务指导培训；</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负责卫生行政主管部门委托的相关业务或事项，落实上级卫生主管部门下达的其他工作；</w:t>
      </w:r>
    </w:p>
    <w:p>
      <w:pPr>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承办上级主管部门及政府交办的其他事项。</w:t>
      </w:r>
    </w:p>
    <w:p>
      <w:pPr>
        <w:spacing w:line="560" w:lineRule="exact"/>
        <w:ind w:firstLine="600" w:firstLineChars="200"/>
        <w:rPr>
          <w:rFonts w:hint="default" w:ascii="仿宋_GB2312" w:eastAsia="仿宋_GB2312"/>
          <w:b/>
          <w:bCs/>
          <w:sz w:val="30"/>
          <w:szCs w:val="30"/>
          <w:lang w:val="en-US" w:eastAsia="zh-CN"/>
        </w:rPr>
      </w:pPr>
      <w:r>
        <w:rPr>
          <w:rFonts w:hint="eastAsia" w:ascii="仿宋_GB2312" w:eastAsia="仿宋_GB2312"/>
          <w:b/>
          <w:bCs/>
          <w:sz w:val="30"/>
          <w:szCs w:val="30"/>
        </w:rPr>
        <w:t>（二）机构设置</w:t>
      </w:r>
      <w:r>
        <w:rPr>
          <w:rFonts w:hint="eastAsia" w:ascii="仿宋_GB2312" w:eastAsia="仿宋_GB2312"/>
          <w:b/>
          <w:bCs/>
          <w:sz w:val="30"/>
          <w:szCs w:val="30"/>
          <w:lang w:val="en-US" w:eastAsia="zh-CN"/>
        </w:rPr>
        <w:t>及人员编制情况</w:t>
      </w:r>
    </w:p>
    <w:p>
      <w:pPr>
        <w:shd w:val="clear" w:color="auto" w:fill="FFFFFF"/>
        <w:spacing w:line="600" w:lineRule="exact"/>
        <w:ind w:firstLine="600" w:firstLineChars="200"/>
        <w:jc w:val="left"/>
        <w:rPr>
          <w:rFonts w:hint="eastAsia" w:ascii="仿宋_GB2312" w:eastAsia="仿宋_GB2312"/>
          <w:sz w:val="30"/>
          <w:szCs w:val="30"/>
        </w:rPr>
      </w:pPr>
      <w:r>
        <w:rPr>
          <w:rFonts w:hint="eastAsia" w:ascii="仿宋_GB2312" w:eastAsia="仿宋_GB2312"/>
          <w:sz w:val="30"/>
          <w:szCs w:val="30"/>
        </w:rPr>
        <w:t>设有全科、内科、外科、妇科、理疗科、检验科、心电图室、B超室、放射科等临床科室，拥有CT机、DR机、彩色B超、动态血压、动态心电图、全自动生化仪和血液分析仪、心电监护仪、麻醉机、经颅多普勒、阴道镜、微波治疗仪、理疗设备，病房设施齐全。干职工</w:t>
      </w:r>
      <w:r>
        <w:rPr>
          <w:rFonts w:hint="eastAsia" w:ascii="仿宋_GB2312" w:eastAsia="仿宋_GB2312"/>
          <w:sz w:val="30"/>
          <w:szCs w:val="30"/>
          <w:lang w:val="en-US" w:eastAsia="zh-CN"/>
        </w:rPr>
        <w:t>142</w:t>
      </w:r>
      <w:r>
        <w:rPr>
          <w:rFonts w:hint="eastAsia" w:ascii="仿宋_GB2312" w:eastAsia="仿宋_GB2312"/>
          <w:sz w:val="30"/>
          <w:szCs w:val="30"/>
        </w:rPr>
        <w:t>人，卫生专业技术人员</w:t>
      </w:r>
      <w:r>
        <w:rPr>
          <w:rFonts w:hint="eastAsia" w:ascii="仿宋_GB2312" w:eastAsia="仿宋_GB2312"/>
          <w:sz w:val="30"/>
          <w:szCs w:val="30"/>
          <w:lang w:val="en-US" w:eastAsia="zh-CN"/>
        </w:rPr>
        <w:t>113</w:t>
      </w:r>
      <w:r>
        <w:rPr>
          <w:rFonts w:hint="eastAsia" w:ascii="仿宋_GB2312" w:eastAsia="仿宋_GB2312"/>
          <w:sz w:val="30"/>
          <w:szCs w:val="30"/>
        </w:rPr>
        <w:t>人，中级职称</w:t>
      </w:r>
      <w:r>
        <w:rPr>
          <w:rFonts w:hint="eastAsia" w:ascii="仿宋_GB2312" w:eastAsia="仿宋_GB2312"/>
          <w:sz w:val="30"/>
          <w:szCs w:val="30"/>
          <w:lang w:val="en-US" w:eastAsia="zh-CN"/>
        </w:rPr>
        <w:t>25</w:t>
      </w:r>
      <w:r>
        <w:rPr>
          <w:rFonts w:hint="eastAsia" w:ascii="仿宋_GB2312" w:eastAsia="仿宋_GB2312"/>
          <w:sz w:val="30"/>
          <w:szCs w:val="30"/>
        </w:rPr>
        <w:t>人，高级职称</w:t>
      </w:r>
      <w:r>
        <w:rPr>
          <w:rFonts w:hint="eastAsia" w:ascii="仿宋_GB2312" w:eastAsia="仿宋_GB2312"/>
          <w:sz w:val="30"/>
          <w:szCs w:val="30"/>
          <w:lang w:val="en-US" w:eastAsia="zh-CN"/>
        </w:rPr>
        <w:t>5</w:t>
      </w:r>
      <w:r>
        <w:rPr>
          <w:rFonts w:hint="eastAsia" w:ascii="仿宋_GB2312" w:eastAsia="仿宋_GB2312"/>
          <w:sz w:val="30"/>
          <w:szCs w:val="30"/>
        </w:rPr>
        <w:t>人，其中全科医师</w:t>
      </w:r>
      <w:r>
        <w:rPr>
          <w:rFonts w:hint="eastAsia" w:ascii="仿宋_GB2312" w:eastAsia="仿宋_GB2312"/>
          <w:sz w:val="30"/>
          <w:szCs w:val="30"/>
          <w:lang w:val="en-US" w:eastAsia="zh-CN"/>
        </w:rPr>
        <w:t>8</w:t>
      </w:r>
      <w:r>
        <w:rPr>
          <w:rFonts w:hint="eastAsia" w:ascii="仿宋_GB2312" w:eastAsia="仿宋_GB2312"/>
          <w:sz w:val="30"/>
          <w:szCs w:val="30"/>
        </w:rPr>
        <w:t>人，卫技人员占全院职工的</w:t>
      </w:r>
      <w:r>
        <w:rPr>
          <w:rFonts w:hint="eastAsia" w:ascii="仿宋_GB2312" w:eastAsia="仿宋_GB2312"/>
          <w:sz w:val="30"/>
          <w:szCs w:val="30"/>
          <w:lang w:val="en-US" w:eastAsia="zh-CN"/>
        </w:rPr>
        <w:t>79.5</w:t>
      </w:r>
      <w:r>
        <w:rPr>
          <w:rFonts w:hint="eastAsia" w:ascii="仿宋_GB2312" w:eastAsia="仿宋_GB2312"/>
          <w:sz w:val="30"/>
          <w:szCs w:val="30"/>
        </w:rPr>
        <w:t>％。</w:t>
      </w:r>
    </w:p>
    <w:p>
      <w:pPr>
        <w:keepNext w:val="0"/>
        <w:keepLines w:val="0"/>
        <w:pageBreakBefore w:val="0"/>
        <w:widowControl/>
        <w:kinsoku/>
        <w:wordWrap/>
        <w:overflowPunct/>
        <w:topLinePunct w:val="0"/>
        <w:autoSpaceDE/>
        <w:autoSpaceDN/>
        <w:bidi w:val="0"/>
        <w:adjustRightInd/>
        <w:snapToGrid/>
        <w:spacing w:line="600" w:lineRule="exact"/>
        <w:ind w:firstLine="900" w:firstLineChars="300"/>
        <w:textAlignment w:val="auto"/>
        <w:rPr>
          <w:rFonts w:hint="eastAsia" w:ascii="黑体" w:hAnsi="黑体" w:eastAsia="黑体" w:cs="黑体"/>
          <w:sz w:val="30"/>
          <w:szCs w:val="30"/>
        </w:rPr>
      </w:pPr>
      <w:r>
        <w:rPr>
          <w:rFonts w:hint="eastAsia" w:ascii="黑体" w:hAnsi="黑体" w:eastAsia="黑体" w:cs="黑体"/>
          <w:sz w:val="30"/>
          <w:szCs w:val="30"/>
        </w:rPr>
        <w:t>二、一般公共预算支出情况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（一）基本支出</w:t>
      </w:r>
      <w:r>
        <w:rPr>
          <w:rFonts w:hint="eastAsia" w:ascii="仿宋" w:hAnsi="仿宋" w:eastAsia="仿宋" w:cs="仿宋"/>
          <w:b/>
          <w:bCs/>
          <w:sz w:val="30"/>
          <w:szCs w:val="30"/>
          <w:lang w:val="en-US" w:eastAsia="zh-CN"/>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 w:hAnsi="仿宋" w:eastAsia="仿宋" w:cs="仿宋"/>
          <w:i w:val="0"/>
          <w:caps w:val="0"/>
          <w:color w:val="333333"/>
          <w:spacing w:val="0"/>
          <w:sz w:val="30"/>
          <w:szCs w:val="30"/>
          <w:lang w:val="en-US"/>
        </w:rPr>
      </w:pPr>
      <w:r>
        <w:rPr>
          <w:rFonts w:hint="eastAsia" w:ascii="仿宋" w:hAnsi="仿宋" w:eastAsia="仿宋" w:cs="仿宋"/>
          <w:b w:val="0"/>
          <w:bCs w:val="0"/>
          <w:sz w:val="30"/>
          <w:szCs w:val="30"/>
          <w:lang w:val="en-US" w:eastAsia="zh-CN"/>
        </w:rPr>
        <w:t>基本支出</w:t>
      </w:r>
      <w:r>
        <w:rPr>
          <w:rFonts w:hint="eastAsia" w:ascii="仿宋" w:hAnsi="仿宋" w:eastAsia="仿宋" w:cs="仿宋"/>
          <w:i w:val="0"/>
          <w:caps w:val="0"/>
          <w:color w:val="333333"/>
          <w:spacing w:val="0"/>
          <w:kern w:val="0"/>
          <w:sz w:val="30"/>
          <w:szCs w:val="30"/>
          <w:shd w:val="clear" w:fill="FFFFFF"/>
          <w:lang w:val="en-US" w:eastAsia="zh-CN" w:bidi="ar"/>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包括用于基本工资、津贴补贴等人员经费以及办公费、印刷费、水电费、办公设备购置等日常公用经费。2021年度财政拨款收入总计1116.33万元，与</w:t>
      </w:r>
      <w:r>
        <w:rPr>
          <w:rFonts w:hint="eastAsia" w:ascii="仿宋" w:hAnsi="仿宋" w:eastAsia="仿宋" w:cs="仿宋"/>
          <w:sz w:val="30"/>
          <w:szCs w:val="30"/>
          <w:lang w:eastAsia="zh-CN"/>
        </w:rPr>
        <w:t>上</w:t>
      </w:r>
      <w:r>
        <w:rPr>
          <w:rFonts w:hint="eastAsia" w:ascii="仿宋" w:hAnsi="仿宋" w:eastAsia="仿宋" w:cs="仿宋"/>
          <w:sz w:val="30"/>
          <w:szCs w:val="30"/>
        </w:rPr>
        <w:t>年相比，减少24.34万元，减少2.13%</w:t>
      </w:r>
      <w:r>
        <w:rPr>
          <w:rFonts w:hint="eastAsia" w:ascii="仿宋" w:hAnsi="仿宋" w:eastAsia="仿宋" w:cs="仿宋"/>
          <w:sz w:val="30"/>
          <w:szCs w:val="30"/>
          <w:lang w:eastAsia="zh-CN"/>
        </w:rPr>
        <w:t>。</w:t>
      </w:r>
      <w:r>
        <w:rPr>
          <w:rFonts w:hint="eastAsia" w:ascii="仿宋" w:hAnsi="仿宋" w:eastAsia="仿宋" w:cs="仿宋"/>
          <w:color w:val="auto"/>
          <w:kern w:val="2"/>
          <w:sz w:val="30"/>
          <w:szCs w:val="30"/>
        </w:rPr>
        <w:t>财政拨款支出总计1116.33万元，</w:t>
      </w:r>
      <w:r>
        <w:rPr>
          <w:rFonts w:hint="eastAsia" w:ascii="仿宋" w:hAnsi="仿宋" w:eastAsia="仿宋" w:cs="仿宋"/>
          <w:sz w:val="30"/>
          <w:szCs w:val="30"/>
        </w:rPr>
        <w:t>与</w:t>
      </w:r>
      <w:r>
        <w:rPr>
          <w:rFonts w:hint="eastAsia" w:ascii="仿宋" w:hAnsi="仿宋" w:eastAsia="仿宋" w:cs="仿宋"/>
          <w:sz w:val="30"/>
          <w:szCs w:val="30"/>
          <w:lang w:eastAsia="zh-CN"/>
        </w:rPr>
        <w:t>上</w:t>
      </w:r>
      <w:r>
        <w:rPr>
          <w:rFonts w:hint="eastAsia" w:ascii="仿宋" w:hAnsi="仿宋" w:eastAsia="仿宋" w:cs="仿宋"/>
          <w:sz w:val="30"/>
          <w:szCs w:val="30"/>
        </w:rPr>
        <w:t>年相比，减少24.34万元，减少2.13%</w:t>
      </w:r>
      <w:r>
        <w:rPr>
          <w:rFonts w:hint="eastAsia" w:ascii="仿宋" w:hAnsi="仿宋" w:eastAsia="仿宋" w:cs="仿宋"/>
          <w:sz w:val="30"/>
          <w:szCs w:val="30"/>
          <w:lang w:eastAsia="zh-CN"/>
        </w:rPr>
        <w:t>。</w:t>
      </w:r>
      <w:r>
        <w:rPr>
          <w:rFonts w:hint="eastAsia" w:ascii="仿宋" w:hAnsi="仿宋" w:eastAsia="仿宋" w:cs="仿宋"/>
          <w:sz w:val="30"/>
          <w:szCs w:val="30"/>
        </w:rPr>
        <w:t>财政拨款收入</w:t>
      </w:r>
      <w:r>
        <w:rPr>
          <w:rFonts w:hint="eastAsia" w:ascii="仿宋" w:hAnsi="仿宋" w:eastAsia="仿宋" w:cs="仿宋"/>
          <w:sz w:val="30"/>
          <w:szCs w:val="30"/>
          <w:lang w:eastAsia="zh-CN"/>
        </w:rPr>
        <w:t>和支出减少</w:t>
      </w:r>
      <w:r>
        <w:rPr>
          <w:rFonts w:hint="eastAsia" w:ascii="仿宋" w:hAnsi="仿宋" w:eastAsia="仿宋" w:cs="仿宋"/>
          <w:sz w:val="30"/>
          <w:szCs w:val="30"/>
        </w:rPr>
        <w:t>主</w:t>
      </w:r>
      <w:r>
        <w:rPr>
          <w:rFonts w:hint="eastAsia" w:ascii="仿宋" w:hAnsi="仿宋" w:eastAsia="仿宋" w:cs="仿宋"/>
          <w:color w:val="auto"/>
          <w:sz w:val="30"/>
          <w:szCs w:val="30"/>
        </w:rPr>
        <w:t>要是</w:t>
      </w:r>
      <w:r>
        <w:rPr>
          <w:rFonts w:hint="eastAsia" w:ascii="仿宋" w:hAnsi="仿宋" w:eastAsia="仿宋" w:cs="仿宋"/>
          <w:color w:val="000000" w:themeColor="text1"/>
          <w:sz w:val="30"/>
          <w:szCs w:val="30"/>
          <w:lang w:val="en-US" w:eastAsia="zh-CN"/>
          <w14:textFill>
            <w14:solidFill>
              <w14:schemeClr w14:val="tx1"/>
            </w14:solidFill>
          </w14:textFill>
        </w:rPr>
        <w:t>新冠疫情防控资金减少。</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项目支出是指单位为完成特定行政工作任务或事业发展目标而发生的支出。2021年项目支出0万元。</w:t>
      </w:r>
    </w:p>
    <w:p>
      <w:pPr>
        <w:numPr>
          <w:ilvl w:val="0"/>
          <w:numId w:val="2"/>
        </w:numPr>
        <w:shd w:val="clear" w:color="auto" w:fill="FFFFFF"/>
        <w:spacing w:line="600" w:lineRule="exact"/>
        <w:ind w:firstLine="600" w:firstLineChars="200"/>
        <w:jc w:val="left"/>
        <w:rPr>
          <w:rFonts w:hint="eastAsia" w:ascii="黑体" w:hAnsi="黑体" w:eastAsia="黑体" w:cs="黑体"/>
          <w:bCs/>
          <w:color w:val="000000"/>
          <w:kern w:val="0"/>
          <w:sz w:val="30"/>
          <w:szCs w:val="30"/>
          <w:shd w:val="clear" w:color="auto" w:fill="FFFFFF"/>
          <w:lang w:bidi="ar"/>
        </w:rPr>
      </w:pPr>
      <w:r>
        <w:rPr>
          <w:rFonts w:hint="eastAsia" w:ascii="黑体" w:hAnsi="黑体" w:eastAsia="黑体" w:cs="黑体"/>
          <w:bCs/>
          <w:color w:val="000000"/>
          <w:kern w:val="0"/>
          <w:sz w:val="30"/>
          <w:szCs w:val="30"/>
          <w:shd w:val="clear" w:color="auto" w:fill="FFFFFF"/>
          <w:lang w:bidi="ar"/>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jc w:val="both"/>
        <w:textAlignment w:val="auto"/>
        <w:outlineLvl w:val="9"/>
        <w:rPr>
          <w:rFonts w:hint="eastAsia" w:ascii="仿宋" w:hAnsi="仿宋" w:eastAsia="仿宋" w:cs="仿宋"/>
          <w:color w:val="auto"/>
          <w:kern w:val="2"/>
          <w:sz w:val="30"/>
          <w:szCs w:val="30"/>
          <w:highlight w:val="red"/>
          <w:lang w:val="en-US" w:eastAsia="zh-CN" w:bidi="ar-SA"/>
        </w:rPr>
      </w:pPr>
      <w:r>
        <w:rPr>
          <w:rFonts w:hint="eastAsia" w:ascii="仿宋" w:hAnsi="仿宋" w:eastAsia="仿宋" w:cs="仿宋"/>
          <w:b/>
          <w:bCs/>
          <w:color w:val="auto"/>
          <w:kern w:val="2"/>
          <w:sz w:val="30"/>
          <w:szCs w:val="30"/>
          <w:lang w:val="en-US" w:eastAsia="zh-CN" w:bidi="ar-SA"/>
        </w:rPr>
        <w:t>1、业务工作完成情况。</w:t>
      </w:r>
      <w:r>
        <w:rPr>
          <w:rFonts w:hint="eastAsia" w:ascii="仿宋" w:hAnsi="仿宋" w:eastAsia="仿宋" w:cs="仿宋"/>
          <w:color w:val="auto"/>
          <w:kern w:val="2"/>
          <w:sz w:val="30"/>
          <w:szCs w:val="30"/>
          <w:lang w:val="en-US" w:eastAsia="zh-CN" w:bidi="ar-SA"/>
        </w:rPr>
        <w:t>2021年度业务指标完成情况：门诊人次21223人次，住院人次4842人次。经济指标完成情况：全年完成经济收入2672万元，其中门诊收入462万元，住院收入961万元。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2、做好“点面”工作，提升服务能力。</w:t>
      </w:r>
      <w:r>
        <w:rPr>
          <w:rFonts w:hint="eastAsia" w:ascii="仿宋" w:hAnsi="仿宋" w:eastAsia="仿宋" w:cs="仿宋"/>
          <w:color w:val="auto"/>
          <w:kern w:val="2"/>
          <w:sz w:val="30"/>
          <w:szCs w:val="30"/>
          <w:lang w:val="en-US" w:eastAsia="zh-CN" w:bidi="ar-SA"/>
        </w:rPr>
        <w:t>一是进一步做好中医康复服务，更新艾灸仪、多功能通络治疗仪、颈腰椎多功能牵引床、中药熏蒸治疗仪等多种特色中医设备，开展中药、针灸、推拿、火罐、刮痧、熏洗等中医理疗服务项目。二是参与分级诊疗。形成基层首诊、双向转诊、急慢分治、上下联动有序的就医格局，缓解百姓就医难、看病贵的困难，真正使优质资源下沉至基层。</w:t>
      </w:r>
    </w:p>
    <w:p>
      <w:pPr>
        <w:spacing w:line="560" w:lineRule="exact"/>
        <w:ind w:firstLine="600" w:firstLineChars="20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3、做实基本公卫，促进医疗服务提升。</w:t>
      </w:r>
      <w:r>
        <w:rPr>
          <w:rFonts w:hint="eastAsia" w:ascii="仿宋" w:hAnsi="仿宋" w:eastAsia="仿宋" w:cs="仿宋"/>
          <w:color w:val="auto"/>
          <w:kern w:val="2"/>
          <w:sz w:val="30"/>
          <w:szCs w:val="30"/>
          <w:lang w:val="en-US" w:eastAsia="zh-CN" w:bidi="ar-SA"/>
        </w:rPr>
        <w:t>我中心对家庭医生签约服务团队进行了优化整合，成立了业务骨干组成的24个家庭医生签约服务团队，每个团队有两名1名临床医生、1名执业护师、1名公卫人员，团队服务能力更强、更专业、更有延续性。对辖区进行了责任分包，通过开展大型义诊、巡诊、入户、电话随访、健康咨询、健康指导等多种方式进行签约履约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4、坚定信心，科学布局疫情防控。</w:t>
      </w:r>
      <w:r>
        <w:rPr>
          <w:rFonts w:hint="eastAsia" w:ascii="仿宋" w:hAnsi="仿宋" w:eastAsia="仿宋" w:cs="仿宋"/>
          <w:color w:val="auto"/>
          <w:kern w:val="2"/>
          <w:sz w:val="30"/>
          <w:szCs w:val="30"/>
          <w:lang w:val="en-US" w:eastAsia="zh-CN" w:bidi="ar-SA"/>
        </w:rPr>
        <w:t>2020年新冠肺炎疫情发生以来，中心在区卫健局的正确领导下，以党建为统领，全体干职工积极投身疫情防控工作。第一时间设立预检分诊、发热门诊，24小时轮班值守，严格执行发热病人接待筛查流程，认真落实发热病人登记报告制度。为所有到院患者及家属免费发放口罩、发放消毒液等；积极参加汉庭酒店集中隔离医学观察点的疫情防控，圆满完成上级赋予的使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四、存在的问题及原因分析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rPr>
      </w:pPr>
      <w:r>
        <w:rPr>
          <w:rFonts w:hint="eastAsia" w:ascii="仿宋" w:hAnsi="仿宋" w:eastAsia="仿宋" w:cs="仿宋"/>
          <w:color w:val="auto"/>
          <w:kern w:val="2"/>
          <w:sz w:val="30"/>
          <w:szCs w:val="30"/>
          <w:lang w:val="en-US" w:eastAsia="zh-CN" w:bidi="ar-SA"/>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30"/>
          <w:szCs w:val="30"/>
          <w:highlight w:val="whit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30"/>
          <w:szCs w:val="30"/>
          <w:highlight w:val="whit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30"/>
          <w:szCs w:val="30"/>
          <w:highlight w:val="whit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30"/>
          <w:szCs w:val="30"/>
          <w:highlight w:val="whit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30"/>
          <w:szCs w:val="30"/>
          <w:highlight w:val="whit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30"/>
          <w:szCs w:val="30"/>
          <w:highlight w:val="whit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sz w:val="30"/>
          <w:szCs w:val="30"/>
          <w:highlight w:val="white"/>
        </w:rPr>
      </w:pPr>
    </w:p>
    <w:p>
      <w:pPr>
        <w:pStyle w:val="5"/>
        <w:ind w:firstLine="600"/>
        <w:rPr>
          <w:rFonts w:hint="eastAsia" w:ascii="黑体" w:hAnsi="黑体" w:eastAsia="黑体" w:cs="黑体"/>
          <w:sz w:val="30"/>
          <w:szCs w:val="30"/>
        </w:rPr>
      </w:pPr>
    </w:p>
    <w:p>
      <w:pPr>
        <w:spacing w:before="120" w:beforeLines="50" w:after="120" w:afterLines="50" w:line="600" w:lineRule="exact"/>
        <w:jc w:val="both"/>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hAns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center"/>
          </w:tcPr>
          <w:p>
            <w:pPr>
              <w:tabs>
                <w:tab w:val="left" w:pos="761"/>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96</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p>
    <w:p>
      <w:pPr>
        <w:pStyle w:val="5"/>
        <w:rPr>
          <w:rFonts w:hint="eastAsia"/>
        </w:rPr>
      </w:pPr>
    </w:p>
    <w:p/>
    <w:p>
      <w:bookmarkStart w:id="0" w:name="_GoBack"/>
      <w:bookmarkEnd w:id="0"/>
    </w:p>
    <w:sectPr>
      <w:pgSz w:w="11906" w:h="16838"/>
      <w:pgMar w:top="1134" w:right="1531" w:bottom="1134" w:left="1531"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NzY5N2NmZWRiMTM2MWY1ZjNmMzA5NGJjMWI2MWIifQ=="/>
  </w:docVars>
  <w:rsids>
    <w:rsidRoot w:val="76E00A5D"/>
    <w:rsid w:val="76E00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line="600" w:lineRule="exact"/>
      <w:ind w:firstLine="640" w:firstLineChars="200"/>
    </w:pPr>
    <w:rPr>
      <w:rFonts w:hint="eastAsia" w:ascii="仿宋_GB2312" w:hAnsi="Times New Roman" w:eastAsia="仿宋_GB2312"/>
      <w:sz w:val="32"/>
      <w:szCs w:val="24"/>
    </w:rPr>
  </w:style>
  <w:style w:type="paragraph" w:customStyle="1" w:styleId="5">
    <w:name w:val="_Style 5"/>
    <w:basedOn w:val="1"/>
    <w:qFormat/>
    <w:uiPriority w:val="0"/>
    <w:pPr>
      <w:ind w:firstLine="200" w:firstLineChars="200"/>
    </w:pPr>
    <w:rPr>
      <w:rFonts w:ascii="Times New Roman" w:eastAsia="宋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2023-07-06T03:45:00Z</dcterms:created>
  <dc:creator>一一</dc:creator>
  <cp:lastModifiedBy>一一</cp:lastModifiedBy>
  <dcterms:modified xsi:type="dcterms:W3CDTF">2023-07-06T03:47:47Z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A504D200E57E41269D9FDD157D774C04_11</vt:lpwstr>
  </property>
</Properties>
</file>