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0" w:firstLineChars="0"/>
        <w:jc w:val="center"/>
        <w:textAlignment w:val="auto"/>
        <w:rPr>
          <w:rFonts w:hint="eastAsia" w:ascii="黑体" w:hAnsi="黑体" w:eastAsia="黑体" w:cs="黑体"/>
          <w:b w:val="0"/>
          <w:bCs/>
          <w:color w:val="000000"/>
          <w:sz w:val="36"/>
          <w:szCs w:val="36"/>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0" w:firstLineChars="0"/>
        <w:jc w:val="center"/>
        <w:textAlignment w:val="auto"/>
        <w:rPr>
          <w:rFonts w:hint="eastAsia" w:ascii="黑体" w:hAnsi="黑体" w:eastAsia="黑体" w:cs="黑体"/>
          <w:b w:val="0"/>
          <w:bCs/>
          <w:color w:val="000000"/>
          <w:sz w:val="36"/>
          <w:szCs w:val="36"/>
        </w:rPr>
      </w:pPr>
      <w:bookmarkStart w:id="0" w:name="_GoBack"/>
      <w:bookmarkEnd w:id="0"/>
      <w:r>
        <w:rPr>
          <w:rFonts w:hint="eastAsia" w:ascii="黑体" w:hAnsi="黑体" w:eastAsia="黑体" w:cs="黑体"/>
          <w:b w:val="0"/>
          <w:bCs/>
          <w:color w:val="000000"/>
          <w:sz w:val="36"/>
          <w:szCs w:val="36"/>
          <w:lang w:val="en-US" w:eastAsia="zh-CN"/>
        </w:rPr>
        <w:t>益阳市</w:t>
      </w:r>
      <w:r>
        <w:rPr>
          <w:rFonts w:hint="eastAsia" w:ascii="黑体" w:hAnsi="黑体" w:eastAsia="黑体" w:cs="黑体"/>
          <w:b w:val="0"/>
          <w:bCs/>
          <w:color w:val="000000"/>
          <w:sz w:val="36"/>
          <w:szCs w:val="36"/>
        </w:rPr>
        <w:t>赫山区社会保险服务中心2021年度城乡居民养老</w:t>
      </w:r>
    </w:p>
    <w:p>
      <w:pPr>
        <w:pStyle w:val="2"/>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0" w:firstLineChars="0"/>
        <w:jc w:val="center"/>
        <w:textAlignment w:val="auto"/>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保险补助资金项目支出绩效评价报告</w:t>
      </w:r>
    </w:p>
    <w:p>
      <w:pPr>
        <w:pStyle w:val="5"/>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进一步规范财政资金管理，牢固树立预算绩效理念，强化部门支出责任，提高财政资金使用效益，根据《益阳市赫山区财政局关于做好2021年度预算绩效自评工作的通知》（益赫财绩〔2022〕1号）的文件要求，对2021年度项目支出实施了绩效评价，根据评价结果，形成本评价报告。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kern w:val="2"/>
          <w:sz w:val="30"/>
          <w:szCs w:val="30"/>
          <w:lang w:val="en-US" w:eastAsia="zh-CN" w:bidi="ar-SA"/>
        </w:rPr>
        <w:t>一、</w:t>
      </w:r>
      <w:r>
        <w:rPr>
          <w:rFonts w:hint="eastAsia" w:ascii="黑体" w:hAnsi="黑体" w:eastAsia="黑体" w:cs="黑体"/>
          <w:sz w:val="30"/>
          <w:szCs w:val="30"/>
        </w:rPr>
        <w:t>项目单位基本情况</w:t>
      </w:r>
    </w:p>
    <w:p>
      <w:pPr>
        <w:pStyle w:val="5"/>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社会保险服务中心是区人力资源和社会保障局管理的副科级事业单位，核定全额拨款事业编制30名，现有在岗人员28人，离退休10人。负责全区企业养老保险、城乡居民养老保险、机关事业单位养老保险和职业年金等业务的参保登记、信息修改、待遇审核、基金财务、转移接续、人员认证及检查，指导和监督工作。内设办公室、基金征缴股、个人账户股，财务股，退管股、审计稽核股，各部门之间相符协调、相互配合，做到既有分工又有合作。</w:t>
      </w:r>
    </w:p>
    <w:p>
      <w:pPr>
        <w:pStyle w:val="5"/>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2014年按照《国务院关于建立统一的城乡居民基本养老保险制度的意见》（国发〔2014〕8号）文件的要求，将新农保和城乡居民养老两项制度合并实施，建立统一的城乡居民基本养老保险制度。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二、项目概况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kern w:val="0"/>
          <w:sz w:val="30"/>
          <w:szCs w:val="30"/>
          <w:shd w:val="clear" w:color="auto" w:fill="FFFFFF"/>
        </w:rPr>
        <w:t>（一）评价对象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本次项目绩效评价对象为2021年度城乡居民养老保险补助资金141680400元。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kern w:val="0"/>
          <w:sz w:val="30"/>
          <w:szCs w:val="30"/>
          <w:shd w:val="clear" w:color="auto" w:fill="FFFFFF"/>
        </w:rPr>
      </w:pPr>
      <w:r>
        <w:rPr>
          <w:rFonts w:hint="eastAsia" w:ascii="仿宋" w:hAnsi="仿宋" w:eastAsia="仿宋" w:cs="仿宋"/>
          <w:b/>
          <w:bCs/>
          <w:kern w:val="0"/>
          <w:sz w:val="30"/>
          <w:szCs w:val="30"/>
          <w:shd w:val="clear" w:color="auto" w:fill="FFFFFF"/>
        </w:rPr>
        <w:t>（二）项目基本情况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1.该项目立项依据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根据</w:t>
      </w:r>
      <w:r>
        <w:rPr>
          <w:rFonts w:hint="eastAsia" w:ascii="仿宋" w:hAnsi="仿宋" w:eastAsia="仿宋" w:cs="仿宋"/>
          <w:sz w:val="30"/>
          <w:szCs w:val="30"/>
        </w:rPr>
        <w:t>《国务院关于建立统一的城乡居民基本养老保险制度的意见》（国发〔2014〕8号）文件、</w:t>
      </w:r>
      <w:r>
        <w:rPr>
          <w:rFonts w:hint="eastAsia" w:ascii="仿宋" w:hAnsi="仿宋" w:eastAsia="仿宋" w:cs="仿宋"/>
          <w:spacing w:val="8"/>
          <w:sz w:val="30"/>
          <w:szCs w:val="30"/>
          <w:shd w:val="clear" w:color="auto" w:fill="FFFFFF"/>
        </w:rPr>
        <w:t>湖南省人民政府关于完善城乡居民基本养老保险制度的实施意见》（湘政发〔2020〕19号）</w:t>
      </w:r>
      <w:r>
        <w:rPr>
          <w:rFonts w:hint="eastAsia" w:ascii="仿宋" w:hAnsi="仿宋" w:eastAsia="仿宋" w:cs="仿宋"/>
          <w:kern w:val="0"/>
          <w:sz w:val="30"/>
          <w:szCs w:val="30"/>
          <w:shd w:val="clear" w:color="auto" w:fill="FFFFFF"/>
        </w:rPr>
        <w:t>等文件精神，切实做好城乡居民养老保险缴费征收和养老金审批发放工作，将城乡居民养老保险补助资金列入财政预算。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2.项目执行情况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2021年度</w:t>
      </w:r>
      <w:r>
        <w:rPr>
          <w:rFonts w:hint="eastAsia" w:ascii="仿宋" w:hAnsi="仿宋" w:eastAsia="仿宋" w:cs="仿宋"/>
          <w:sz w:val="30"/>
          <w:szCs w:val="30"/>
        </w:rPr>
        <w:t>城乡居民养老保险参保人数达398226人，完成目标任务391621人的102%，缴费人数187564人,待遇领取人数109910人。</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2021年财政对城乡居民的补助资金已全部拨付到社会保障基金财政专户，缴费补助已记入相应缴费人员个人账户、基础养老金全部用于发放待遇。</w:t>
      </w:r>
      <w:r>
        <w:rPr>
          <w:rFonts w:hint="eastAsia" w:ascii="仿宋" w:hAnsi="仿宋" w:eastAsia="仿宋" w:cs="仿宋"/>
          <w:sz w:val="30"/>
          <w:szCs w:val="30"/>
        </w:rPr>
        <w:t>2021年发放养老金19809万元，</w:t>
      </w:r>
      <w:r>
        <w:rPr>
          <w:rFonts w:hint="eastAsia" w:ascii="仿宋" w:hAnsi="仿宋" w:eastAsia="仿宋" w:cs="仿宋"/>
          <w:sz w:val="30"/>
          <w:szCs w:val="30"/>
          <w:shd w:val="clear" w:color="auto" w:fill="FFFFFF"/>
        </w:rPr>
        <w:t>养老金发放率达到100%。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3.项目主要内容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对区内16-59周岁参保的缴费人员进行缴费补贴，为60周岁及以上退休人员发放养老金。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shd w:val="clear" w:color="auto" w:fill="FFFFFF"/>
        </w:rPr>
        <w:t>4.项目总体目标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保障城乡居民基本生活。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kern w:val="0"/>
          <w:sz w:val="30"/>
          <w:szCs w:val="30"/>
          <w:shd w:val="clear" w:color="auto" w:fill="FFFFFF"/>
        </w:rPr>
      </w:pPr>
      <w:r>
        <w:rPr>
          <w:rFonts w:hint="eastAsia" w:ascii="黑体" w:hAnsi="黑体" w:eastAsia="黑体" w:cs="黑体"/>
          <w:kern w:val="0"/>
          <w:sz w:val="30"/>
          <w:szCs w:val="30"/>
          <w:shd w:val="clear" w:color="auto" w:fill="FFFFFF"/>
        </w:rPr>
        <w:t>三、项目组织实施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jc w:val="both"/>
        <w:textAlignment w:val="auto"/>
        <w:rPr>
          <w:rFonts w:hint="eastAsia" w:ascii="仿宋" w:hAnsi="仿宋" w:eastAsia="仿宋" w:cs="仿宋"/>
          <w:b/>
          <w:bCs w:val="0"/>
          <w:sz w:val="30"/>
          <w:szCs w:val="30"/>
        </w:rPr>
      </w:pPr>
      <w:r>
        <w:rPr>
          <w:rFonts w:hint="eastAsia" w:ascii="仿宋" w:hAnsi="仿宋" w:eastAsia="仿宋" w:cs="仿宋"/>
          <w:b/>
          <w:bCs w:val="0"/>
          <w:sz w:val="30"/>
          <w:szCs w:val="30"/>
          <w:shd w:val="clear" w:color="auto" w:fill="FFFFFF"/>
        </w:rPr>
        <w:t>（一）项目管理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按照城乡居民养老保险经办规程等制订了《城乡居民养老保险内部控制制度（试行）》、业务经办制度（流程）、财务管理制度、信息系统等制度，对整个业务经办进行了规范。设立了系统管理岗位、征缴岗位、退管岗位、稽核岗位、财务岗位个人账户岗位等，不相容职务人员相互分离，各岗位业务操作权限体现了执行与监督相分离的原则，各岗位人员严格按经办规程、实施方案、实施细则、内控制度等进行业务经办、业务操作，手续完备，相关的证件资料齐全并归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业务经办使用全省统一的信息管理系统和操作规程，按照“谁主管、谁负责”“谁使用、谁负责”的原则，进行电脑和信息系统使用管理，实名设置操作员信息，社保卡登录。基金收缴由税务征收，待遇发放通过银行社会化发放。</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规范城乡居民基本养老保险基金财务行为，加强基金管理，维护参保人员的合法权益，加强监督和检查，按规定建立财政专户、收入户和支出户，每月按照财务管理制度申请和及时拨付资金。规范财务流程，增强内控风险防范能力，确保基金安全、专款专用、发挥实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四、项目绩效评价评价结果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（一）项目投入情况（满分20分，实得20分）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1.项目立项（满分10分，实得10分）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（1）绩效目标合理性（满分6分，实得6分）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为保证城乡居民养老保险目标绩效考核工作有序开展，我中心先后印发了《城乡居民基本养老保险实施办法》和相关文件。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（2）绩效目标明确性（满分4分，实得4分）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绩效目标具体、清晰、可衡量，绩效目标任务数与年初预算相匹配。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2.资金落实（满分10分，实得10分）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（3）资金到位率（满分8分，实得8分）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2021年城乡居民养老保险财政补贴到位率100%。</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（4）资金到位及时性（满分2分，实得2分）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中央、省和县级补贴资金下达后，各县区及时将资金拨付到财政专户。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（二）项目过程情况（满分35分，实得35分）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1.项目管理情况（满分25分，实得25分）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）制度建设及执行有效性（满分3分，实得3分）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认真贯彻国务院（国发〔2014〕8号）文件精神，进一步制定了内控制度、经办机构操作流程。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）宣传培训（满分5分，实得4.5分）</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使参保单位和个人对社保政策有更深的了解，我区社保中心投入了大量的人力物力，印刷宣传资料8万份，制作横幅100条，全部下发放到各乡镇。4月份，会同区就业中心、招聘单位同时下基层，进行了为期一个月的政策宣传和发动，让参保单位、个人更进一步了解了自己的参保权益，提高了知晓度，收到明显的成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）服务规范（满分1分，实得1分）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依据国家社会保险有关法律法规和湖南省统一的经办规程开展城乡居保业务。结合实际制定详细的内部控制实施细则，在单位内部公开并严格执行，切实加强内控管理。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）动态管理（满分1分，实得1分）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按照城乡居保有关政策规定，能够及时为参保人办理参保和待遇领取手续。待遇审批、复核手续完备、资料齐全。待遇支付审批程序健全完善，待遇支付每月实行社会化发放。</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）待遇核查比对（满分1.5分，实得1.5分）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建立并严格执行信息比对制度，做好跨省重复领取待遇核查比对工作，按照规定核对重复领取数据，对核查结果及时处理；按月将居保享受待遇人员与职工养老保险进行人员信息比对。</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）资格认证工作（满分2分，实得2分）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2021年，通过与公安、民政大数据比对确定待遇领取人员资格，对行动不便及疑似冒领人员采取上门入户认证，确保基金安全运行。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）系统操作管理（满分1.5分，实得1.5分）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湖南省统一的城乡居民基本养老保险系统操作流程和管理制度，规范城乡居保业务系统操作管理。明确了业务经办人员、审批人员的职责和权限，全部参保人员通过信息系统进行参保登记、缴费、建立个人账户、支付养老金等。对已调离的经办人员，及时申报系统用户名注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）社保扶贫工作（满分2分，实得2分）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认真贯彻建档立卡未标注脱贫的贫困人口、低保对象、特困人员。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）资料报送情况（满分5分，实得5分）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对于统一要求上报的材料及每月的报表，指定专人负责，认真、细致比对、核算，确保材料齐全、数据真实、准确，经负责人签字后按时上报。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10</w:t>
      </w:r>
      <w:r>
        <w:rPr>
          <w:rFonts w:hint="eastAsia" w:ascii="仿宋" w:hAnsi="仿宋" w:eastAsia="仿宋" w:cs="仿宋"/>
          <w:sz w:val="30"/>
          <w:szCs w:val="30"/>
        </w:rPr>
        <w:t>）档案管理（满分3分，实得3分）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谁经办，谁收集，谁整理”的原则，坚持平时立卷，对照档案达标考核细则逐项整改，对现有档案进行全面“回头看”，认真梳理档案管理中存在的问题，强化日常管理，确保归档材料真实、完整，确保业务档案管理规范化、科学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财务管理情况（满分10分，实得10分）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）账户管理（满分4分，实得4分）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严格执行财务收支两条线管理。按照规定开设收入户、支出户和财政专户。基金专款专用，单独记账、核算，财务管理严格。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）资金使用规范（满分3分，实得3分）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资金使用严格规范，不存在违规现象。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）资金申请和审批程序（满分1分，实得1分）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每月的资金划拨都有完整的申请、审核、审批手续，资金拨付及时，资金申请审批程序符合管理办法规定。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）会计核算（满分2分，实得2分）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省级基金财务管理文件和相关会计规范操作，建立会计账簿，设置会计科目进行会计核算。按照规定取得和填制原始凭证、记账凭证，更正会计记录有依据，按月核对凭证、账簿、报表，做到账证、账账、账表相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（三）项目产出情况（满分25分，实得25分）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）当年缴费人数任务完成情况（满分10分，实得10分）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2021年度</w:t>
      </w:r>
      <w:r>
        <w:rPr>
          <w:rFonts w:hint="eastAsia" w:ascii="仿宋" w:hAnsi="仿宋" w:eastAsia="仿宋" w:cs="仿宋"/>
          <w:sz w:val="30"/>
          <w:szCs w:val="30"/>
        </w:rPr>
        <w:t>城乡居民养老保险参保人数达398226人，完成目标任务391621人的102%，缴费人数187564人,待遇领取人数109910人。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）上报参保缴费人数（满分5分，实得5分）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每月按时安排专人上报统计报表参保缴费人数。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）按时发放养老金情况（满分8分，实得8分）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按月生成城乡居民基本养老保险基金支付拨付单，通过银行进行社会化发放，每月养老金发放率为100%。</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）重复领取养老金情况（满分2分，实得2分）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严格按照经办规程要求，审核待遇发放资格，通过与职工、事业单位退休人员发放数据进行比对，对于不符合城乡居保领取条件的坚决予以取消。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（四）项目效益情况（满分20分，实得20分）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）群众对政策满意度（满分5分，实得5分）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2021年我区对城乡居民基本养老保险政策实施以来，多次下乡指导，利用电视、广播宣传政策，通过多种形式的政策宣传，社会反响良好。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）群众对工作满意度（满分10分，实得9分）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秉持办事热心、服务贴心、办事细心的工作思路，对待办事群众热情接待，耐心询问，详细解答，使群众满意而归，群众对城乡居保工作的满意度达92%以上。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）可持续性影响（满分5分，实得5分）</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将城乡居民养老保险政府补助资金纳入预算，工作经费纳入预算。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shd w:val="clear" w:color="auto" w:fill="FFFFFF"/>
        </w:rPr>
      </w:pPr>
      <w:r>
        <w:rPr>
          <w:rFonts w:hint="eastAsia" w:ascii="仿宋" w:hAnsi="仿宋" w:eastAsia="仿宋" w:cs="仿宋"/>
          <w:sz w:val="30"/>
          <w:szCs w:val="30"/>
          <w:shd w:val="clear" w:color="auto" w:fill="FFFFFF"/>
        </w:rPr>
        <w:t>2021年城乡居民养老保险绩效评价结果为优秀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shd w:val="clear" w:color="auto" w:fill="FFFFFF"/>
        </w:rPr>
        <w:t>五、存在问题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（一）社保基层工作平台建设薄弱，人员配备不足。因社保工作繁琐、业务量大等问题，乡镇、街道社保事务中心工作人员少，需要负责多个业务。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（二）重复参保问题。部分参保人员缴纳了企业职工养老保险之后会选择停止缴纳城乡居保保费，导致城乡居保缴费人数的减少。</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三）落实全民参保计划，实现法定人群养老保险全覆盖难度大。而全民参保计划带有一定强制性，目前城乡居保缴费补贴及待遇水平不高，其参保缴费吸引力不强，16—45周岁人员缺乏参保意识，参保积极性不高，实现全民参保任务非常艰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黑体" w:hAnsi="黑体" w:eastAsia="黑体" w:cs="黑体"/>
          <w:sz w:val="30"/>
          <w:szCs w:val="30"/>
          <w:shd w:val="clear" w:color="auto" w:fill="FFFFFF"/>
        </w:rPr>
      </w:pPr>
      <w:r>
        <w:rPr>
          <w:rFonts w:hint="eastAsia" w:ascii="黑体" w:hAnsi="黑体" w:eastAsia="黑体" w:cs="黑体"/>
          <w:sz w:val="30"/>
          <w:szCs w:val="30"/>
          <w:shd w:val="clear" w:color="auto" w:fill="FFFFFF"/>
        </w:rPr>
        <w:t>六、下一步计划</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（一）</w:t>
      </w:r>
      <w:r>
        <w:rPr>
          <w:rFonts w:hint="eastAsia" w:ascii="仿宋" w:hAnsi="仿宋" w:eastAsia="仿宋" w:cs="仿宋"/>
          <w:b/>
          <w:bCs/>
          <w:sz w:val="30"/>
          <w:szCs w:val="30"/>
        </w:rPr>
        <w:t>贯彻落实养老保险政策，做好宣传引导工作</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加大宣传力度，全方位、多层次、多渠道的宣传城乡居保政策。积极组织各乡镇，深入居民家中，分发宣传材料。引导城乡居民选择较高档次标准缴费，提升参保质量，同时争取财政支持，提高政府缴费补贴标准。</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rPr>
        <w:t>（二）加强稽核、稽查工作，确保基金安全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进一步加强与计生、公安、民政、银行等部门的协调沟通，建立信息共享机制，以大数据比对来核实每一位待遇领取人员的信息，结合乡镇每月报送的死亡信息最大限度的减少待遇多发冒领现象的发生。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600" w:lineRule="exact"/>
        <w:ind w:firstLine="600" w:firstLineChars="200"/>
        <w:jc w:val="both"/>
        <w:textAlignment w:val="auto"/>
        <w:rPr>
          <w:rFonts w:hint="default" w:ascii="仿宋" w:hAnsi="仿宋" w:eastAsia="仿宋" w:cs="仿宋"/>
          <w:b/>
          <w:bCs/>
          <w:sz w:val="30"/>
          <w:szCs w:val="30"/>
          <w:lang w:val="en-US" w:eastAsia="zh-CN"/>
        </w:rPr>
      </w:pPr>
      <w:r>
        <w:rPr>
          <w:rFonts w:hint="eastAsia" w:ascii="仿宋" w:hAnsi="仿宋" w:eastAsia="仿宋" w:cs="仿宋"/>
          <w:kern w:val="2"/>
          <w:sz w:val="30"/>
          <w:szCs w:val="30"/>
          <w:shd w:val="clear" w:color="auto" w:fill="FFFFFF"/>
          <w:lang w:val="en-US" w:eastAsia="zh-CN" w:bidi="ar-SA"/>
        </w:rPr>
        <w:t>附件：2021年度项目支出绩效自评指标计分表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lang w:eastAsia="zh-CN"/>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after="156" w:afterLines="50" w:line="600" w:lineRule="exact"/>
        <w:ind w:firstLine="600" w:firstLineChars="200"/>
        <w:jc w:val="center"/>
        <w:textAlignment w:val="auto"/>
        <w:rPr>
          <w:rFonts w:hint="eastAsia" w:ascii="仿宋" w:hAnsi="仿宋" w:eastAsia="仿宋" w:cs="仿宋"/>
          <w:sz w:val="30"/>
          <w:szCs w:val="30"/>
        </w:rPr>
      </w:pPr>
      <w:r>
        <w:rPr>
          <w:rFonts w:hint="eastAsia" w:ascii="黑体" w:hAnsi="黑体" w:eastAsia="黑体" w:cs="黑体"/>
          <w:sz w:val="30"/>
          <w:szCs w:val="30"/>
        </w:rPr>
        <w:t>2021年度项目支出绩效自评指标计分表</w:t>
      </w:r>
    </w:p>
    <w:tbl>
      <w:tblPr>
        <w:tblStyle w:val="3"/>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4"/>
        <w:gridCol w:w="496"/>
        <w:gridCol w:w="650"/>
        <w:gridCol w:w="430"/>
        <w:gridCol w:w="2047"/>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5" w:type="pct"/>
            <w:tcBorders>
              <w:tl2br w:val="nil"/>
              <w:tr2bl w:val="nil"/>
            </w:tcBorders>
            <w:noWrap w:val="0"/>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b/>
                <w:bCs/>
              </w:rPr>
              <w:t>一级</w:t>
            </w:r>
            <w:r>
              <w:rPr>
                <w:rFonts w:hint="eastAsia" w:ascii="宋体"/>
                <w:b/>
                <w:bCs/>
              </w:rPr>
              <w:br w:type="textWrapping"/>
            </w:r>
            <w:r>
              <w:rPr>
                <w:rFonts w:hint="eastAsia" w:ascii="宋体" w:hAnsi="宋体"/>
                <w:b/>
                <w:bCs/>
              </w:rPr>
              <w:t>指标</w:t>
            </w:r>
          </w:p>
        </w:tc>
        <w:tc>
          <w:tcPr>
            <w:tcW w:w="286" w:type="pct"/>
            <w:tcBorders>
              <w:tl2br w:val="nil"/>
              <w:tr2bl w:val="nil"/>
            </w:tcBorders>
            <w:noWrap w:val="0"/>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b/>
                <w:bCs/>
              </w:rPr>
              <w:t>二级</w:t>
            </w:r>
            <w:r>
              <w:rPr>
                <w:rFonts w:hint="eastAsia" w:ascii="宋体"/>
                <w:b/>
                <w:bCs/>
              </w:rPr>
              <w:br w:type="textWrapping"/>
            </w:r>
            <w:r>
              <w:rPr>
                <w:rFonts w:hint="eastAsia" w:ascii="宋体" w:hAnsi="宋体"/>
                <w:b/>
                <w:bCs/>
              </w:rPr>
              <w:t>指标</w:t>
            </w:r>
          </w:p>
        </w:tc>
        <w:tc>
          <w:tcPr>
            <w:tcW w:w="346" w:type="pct"/>
            <w:tcBorders>
              <w:tl2br w:val="nil"/>
              <w:tr2bl w:val="nil"/>
            </w:tcBorders>
            <w:noWrap w:val="0"/>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b/>
                <w:bCs/>
              </w:rPr>
              <w:t>三级指标</w:t>
            </w:r>
          </w:p>
        </w:tc>
        <w:tc>
          <w:tcPr>
            <w:tcW w:w="176" w:type="pct"/>
            <w:tcBorders>
              <w:tl2br w:val="nil"/>
              <w:tr2bl w:val="nil"/>
            </w:tcBorders>
            <w:noWrap w:val="0"/>
            <w:vAlign w:val="top"/>
          </w:tcPr>
          <w:p>
            <w:pPr>
              <w:spacing w:line="240" w:lineRule="exact"/>
              <w:jc w:val="center"/>
              <w:rPr>
                <w:rFonts w:ascii="宋体"/>
                <w:b/>
                <w:bCs/>
                <w:szCs w:val="21"/>
              </w:rPr>
            </w:pPr>
            <w:r>
              <w:rPr>
                <w:rFonts w:hint="eastAsia" w:ascii="宋体" w:hAnsi="宋体"/>
                <w:b/>
                <w:bCs/>
              </w:rPr>
              <w:t>自评分</w:t>
            </w:r>
          </w:p>
        </w:tc>
        <w:tc>
          <w:tcPr>
            <w:tcW w:w="1130" w:type="pct"/>
            <w:tcBorders>
              <w:tl2br w:val="nil"/>
              <w:tr2bl w:val="nil"/>
            </w:tcBorders>
            <w:noWrap w:val="0"/>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b/>
                <w:bCs/>
              </w:rPr>
              <w:t>指标解释</w:t>
            </w:r>
          </w:p>
        </w:tc>
        <w:tc>
          <w:tcPr>
            <w:tcW w:w="2108" w:type="pct"/>
            <w:tcBorders>
              <w:tl2br w:val="nil"/>
              <w:tr2bl w:val="nil"/>
            </w:tcBorders>
            <w:noWrap w:val="0"/>
            <w:tcMar>
              <w:top w:w="10" w:type="dxa"/>
              <w:left w:w="10" w:type="dxa"/>
              <w:bottom w:w="0" w:type="dxa"/>
              <w:right w:w="10" w:type="dxa"/>
            </w:tcMar>
            <w:vAlign w:val="center"/>
          </w:tcPr>
          <w:p>
            <w:pPr>
              <w:spacing w:line="240" w:lineRule="exact"/>
              <w:jc w:val="center"/>
              <w:rPr>
                <w:rFonts w:ascii="宋体"/>
                <w:b/>
                <w:bCs/>
                <w:szCs w:val="21"/>
              </w:rPr>
            </w:pPr>
            <w:r>
              <w:rPr>
                <w:rFonts w:hint="eastAsia" w:ascii="宋体" w:hAnsi="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5" w:type="pct"/>
            <w:vMerge w:val="restart"/>
            <w:tcBorders>
              <w:tl2br w:val="nil"/>
              <w:tr2bl w:val="nil"/>
            </w:tcBorders>
            <w:noWrap/>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决策（20分）</w:t>
            </w:r>
          </w:p>
        </w:tc>
        <w:tc>
          <w:tcPr>
            <w:tcW w:w="286" w:type="pct"/>
            <w:vMerge w:val="restar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预算支出决策</w:t>
            </w:r>
          </w:p>
          <w:p>
            <w:pPr>
              <w:spacing w:line="240" w:lineRule="exact"/>
              <w:jc w:val="center"/>
              <w:rPr>
                <w:rFonts w:ascii="宋体"/>
                <w:szCs w:val="21"/>
              </w:rPr>
            </w:pPr>
            <w:r>
              <w:rPr>
                <w:rFonts w:hint="eastAsia" w:ascii="宋体" w:hAnsi="宋体"/>
              </w:rPr>
              <w:t>（项目立项）（8分）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预算支出决策（项目立项）依据</w:t>
            </w:r>
          </w:p>
          <w:p>
            <w:pPr>
              <w:spacing w:line="240" w:lineRule="exact"/>
              <w:ind w:left="105" w:leftChars="50" w:right="105" w:rightChars="50"/>
              <w:jc w:val="center"/>
              <w:rPr>
                <w:rFonts w:ascii="宋体"/>
                <w:szCs w:val="21"/>
              </w:rPr>
            </w:pPr>
            <w:r>
              <w:rPr>
                <w:rFonts w:hint="eastAsia" w:ascii="宋体" w:hAnsi="宋体"/>
              </w:rPr>
              <w:t>充分性（4分）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预算支出决策（项目立项）是否符合法律法规、相关政策、发展规划以及部门职责，用以反映和考核决策（立项）的依据情况。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r>
              <w:rPr>
                <w:rFonts w:hint="eastAsia" w:ascii="宋体"/>
              </w:rPr>
              <w:br w:type="textWrapping"/>
            </w:r>
            <w:r>
              <w:rPr>
                <w:rFonts w:hint="eastAsia" w:ascii="宋体" w:hAnsi="宋体"/>
              </w:rPr>
              <w:t>①决策（立项）是否符合国家相关法律法规、国民经济发展规划和相关政策；</w:t>
            </w:r>
            <w:r>
              <w:rPr>
                <w:rFonts w:hint="eastAsia" w:ascii="宋体"/>
              </w:rPr>
              <w:br w:type="textWrapping"/>
            </w:r>
            <w:r>
              <w:rPr>
                <w:rFonts w:hint="eastAsia" w:ascii="宋体" w:hAnsi="宋体"/>
              </w:rPr>
              <w:t>②决策（立项）是否符合行业发展规划和政策要求；</w:t>
            </w:r>
            <w:r>
              <w:rPr>
                <w:rFonts w:hint="eastAsia" w:ascii="宋体"/>
              </w:rPr>
              <w:br w:type="textWrapping"/>
            </w:r>
            <w:r>
              <w:rPr>
                <w:rFonts w:hint="eastAsia" w:ascii="宋体" w:hAnsi="宋体"/>
              </w:rPr>
              <w:t>③决策（立项）是否与部门职责范围相符，属于部门履职所需；</w:t>
            </w:r>
            <w:r>
              <w:rPr>
                <w:rFonts w:hint="eastAsia" w:ascii="宋体"/>
              </w:rPr>
              <w:br w:type="textWrapping"/>
            </w:r>
            <w:r>
              <w:rPr>
                <w:rFonts w:hint="eastAsia" w:ascii="宋体" w:hAnsi="宋体"/>
              </w:rPr>
              <w:t>④预算支出是否属于公共财政支持范围，是否符合中央、地方事权支出责任划分原则；</w:t>
            </w:r>
          </w:p>
          <w:p>
            <w:pPr>
              <w:spacing w:line="240" w:lineRule="exact"/>
              <w:ind w:left="105" w:leftChars="50" w:right="105" w:rightChars="50"/>
              <w:rPr>
                <w:rFonts w:ascii="宋体"/>
                <w:szCs w:val="21"/>
              </w:rPr>
            </w:pPr>
            <w:r>
              <w:rPr>
                <w:rFonts w:hint="eastAsia" w:ascii="宋体" w:hAnsi="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决策(立项）程序规范性(4分)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预算支出申请、设立过程是否符合相关要求，用以反映和考核决策（立项）的规范情况。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p>
          <w:p>
            <w:pPr>
              <w:spacing w:line="240" w:lineRule="exact"/>
              <w:ind w:left="105" w:leftChars="50"/>
              <w:rPr>
                <w:rFonts w:hint="eastAsia" w:ascii="宋体"/>
              </w:rPr>
            </w:pPr>
            <w:r>
              <w:rPr>
                <w:rFonts w:hint="eastAsia" w:ascii="宋体" w:hAnsi="宋体"/>
              </w:rPr>
              <w:t>①预算支出是否按照规定的程序申请设立；</w:t>
            </w:r>
          </w:p>
          <w:p>
            <w:pPr>
              <w:spacing w:line="240" w:lineRule="exact"/>
              <w:ind w:left="105" w:leftChars="50"/>
              <w:rPr>
                <w:rFonts w:hint="eastAsia" w:ascii="宋体"/>
              </w:rPr>
            </w:pPr>
            <w:r>
              <w:rPr>
                <w:rFonts w:hint="eastAsia" w:ascii="宋体" w:hAnsi="宋体"/>
              </w:rPr>
              <w:t>②审批文件、材料是否符合相关要求；</w:t>
            </w:r>
          </w:p>
          <w:p>
            <w:pPr>
              <w:spacing w:line="240" w:lineRule="exact"/>
              <w:ind w:left="105" w:leftChars="50"/>
              <w:rPr>
                <w:rFonts w:ascii="宋体"/>
                <w:szCs w:val="21"/>
              </w:rPr>
            </w:pPr>
            <w:r>
              <w:rPr>
                <w:rFonts w:hint="eastAsia" w:ascii="宋体" w:hAnsi="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286" w:type="pct"/>
            <w:vMerge w:val="restart"/>
            <w:tcBorders>
              <w:tl2br w:val="nil"/>
              <w:tr2bl w:val="nil"/>
            </w:tcBorders>
            <w:noWrap w:val="0"/>
            <w:vAlign w:val="center"/>
          </w:tcPr>
          <w:p>
            <w:pPr>
              <w:spacing w:line="240" w:lineRule="exact"/>
              <w:jc w:val="center"/>
              <w:rPr>
                <w:rFonts w:ascii="宋体"/>
                <w:szCs w:val="21"/>
              </w:rPr>
            </w:pPr>
            <w:r>
              <w:rPr>
                <w:rFonts w:hint="eastAsia" w:ascii="宋体" w:hAnsi="宋体"/>
              </w:rPr>
              <w:t>绩效</w:t>
            </w:r>
          </w:p>
          <w:p>
            <w:pPr>
              <w:spacing w:line="240" w:lineRule="exact"/>
              <w:jc w:val="center"/>
              <w:rPr>
                <w:rFonts w:ascii="宋体"/>
                <w:szCs w:val="21"/>
              </w:rPr>
            </w:pPr>
            <w:r>
              <w:rPr>
                <w:rFonts w:hint="eastAsia" w:ascii="宋体" w:hAnsi="宋体"/>
              </w:rPr>
              <w:t>目标（6分）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绩效目标</w:t>
            </w:r>
          </w:p>
          <w:p>
            <w:pPr>
              <w:spacing w:line="240" w:lineRule="exact"/>
              <w:ind w:left="105" w:leftChars="50" w:right="105" w:rightChars="50"/>
              <w:jc w:val="center"/>
              <w:rPr>
                <w:rFonts w:ascii="宋体"/>
                <w:szCs w:val="21"/>
              </w:rPr>
            </w:pPr>
            <w:r>
              <w:rPr>
                <w:rFonts w:hint="eastAsia" w:ascii="宋体" w:hAnsi="宋体"/>
              </w:rPr>
              <w:t>合理性（3分）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3</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预算支出所设定的绩效目标是否依据充分，是否符合客观实际，用以反映和考核预算支出绩效目标与预算支出实施的相符情况。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p>
          <w:p>
            <w:pPr>
              <w:spacing w:line="240" w:lineRule="exact"/>
              <w:ind w:left="105" w:leftChars="50" w:right="105" w:rightChars="50"/>
              <w:rPr>
                <w:rFonts w:hint="eastAsia" w:ascii="宋体"/>
              </w:rPr>
            </w:pPr>
            <w:r>
              <w:rPr>
                <w:rFonts w:hint="eastAsia" w:ascii="宋体" w:hAnsi="宋体"/>
              </w:rPr>
              <w:t>（如未设定预算绩效目标，也可考核其他工作任务目标）</w:t>
            </w:r>
          </w:p>
          <w:p>
            <w:pPr>
              <w:spacing w:line="240" w:lineRule="exact"/>
              <w:ind w:left="105" w:leftChars="50" w:right="105" w:rightChars="50"/>
              <w:rPr>
                <w:rFonts w:hint="eastAsia" w:ascii="宋体"/>
              </w:rPr>
            </w:pPr>
            <w:r>
              <w:rPr>
                <w:rFonts w:hint="eastAsia" w:ascii="宋体" w:hAnsi="宋体"/>
              </w:rPr>
              <w:t>①预算支出是否有绩效目标；</w:t>
            </w:r>
          </w:p>
          <w:p>
            <w:pPr>
              <w:spacing w:line="240" w:lineRule="exact"/>
              <w:ind w:left="105" w:leftChars="50" w:right="105" w:rightChars="50"/>
              <w:rPr>
                <w:rFonts w:hint="eastAsia" w:ascii="宋体"/>
              </w:rPr>
            </w:pPr>
            <w:r>
              <w:rPr>
                <w:rFonts w:hint="eastAsia" w:ascii="宋体" w:hAnsi="宋体"/>
              </w:rPr>
              <w:t>②预算支出绩效目标与实际工作内容是否具有相关性；</w:t>
            </w:r>
          </w:p>
          <w:p>
            <w:pPr>
              <w:spacing w:line="240" w:lineRule="exact"/>
              <w:ind w:left="105" w:leftChars="50" w:right="105" w:rightChars="50"/>
              <w:rPr>
                <w:rFonts w:ascii="宋体"/>
                <w:szCs w:val="21"/>
              </w:rPr>
            </w:pPr>
            <w:r>
              <w:rPr>
                <w:rFonts w:hint="eastAsia" w:ascii="宋体" w:hAnsi="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绩效指标</w:t>
            </w:r>
          </w:p>
          <w:p>
            <w:pPr>
              <w:spacing w:line="240" w:lineRule="exact"/>
              <w:ind w:left="105" w:leftChars="50" w:right="105" w:rightChars="50"/>
              <w:jc w:val="center"/>
              <w:rPr>
                <w:rFonts w:ascii="宋体"/>
                <w:szCs w:val="21"/>
              </w:rPr>
            </w:pPr>
            <w:r>
              <w:rPr>
                <w:rFonts w:hint="eastAsia" w:ascii="宋体" w:hAnsi="宋体"/>
              </w:rPr>
              <w:t>明确性（3分）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3</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依据绩效目标设定的绩效指标是否清晰、细化、可衡量等，用以反映和考核预算支出绩效目标的明细化情况。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r>
              <w:rPr>
                <w:rFonts w:hint="eastAsia" w:ascii="宋体"/>
              </w:rPr>
              <w:br w:type="textWrapping"/>
            </w:r>
            <w:r>
              <w:rPr>
                <w:rFonts w:hint="eastAsia" w:ascii="宋体" w:hAnsi="宋体"/>
              </w:rPr>
              <w:t>①是否将预算支出绩效目标细化分解为具体的绩效指标；</w:t>
            </w:r>
            <w:r>
              <w:rPr>
                <w:rFonts w:hint="eastAsia" w:ascii="宋体"/>
              </w:rPr>
              <w:br w:type="textWrapping"/>
            </w:r>
            <w:r>
              <w:rPr>
                <w:rFonts w:hint="eastAsia" w:ascii="宋体" w:hAnsi="宋体"/>
              </w:rPr>
              <w:t>②是否通过清晰、可衡量的指标值予以体现；</w:t>
            </w:r>
            <w:r>
              <w:rPr>
                <w:rFonts w:hint="eastAsia" w:ascii="宋体"/>
              </w:rPr>
              <w:br w:type="textWrapping"/>
            </w:r>
            <w:r>
              <w:rPr>
                <w:rFonts w:hint="eastAsia" w:ascii="宋体" w:hAnsi="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286" w:type="pct"/>
            <w:vMerge w:val="restart"/>
            <w:tcBorders>
              <w:tl2br w:val="nil"/>
              <w:tr2bl w:val="nil"/>
            </w:tcBorders>
            <w:noWrap w:val="0"/>
            <w:vAlign w:val="center"/>
          </w:tcPr>
          <w:p>
            <w:pPr>
              <w:spacing w:line="240" w:lineRule="exact"/>
              <w:jc w:val="center"/>
              <w:rPr>
                <w:rFonts w:ascii="宋体"/>
                <w:szCs w:val="21"/>
              </w:rPr>
            </w:pPr>
            <w:r>
              <w:rPr>
                <w:rFonts w:hint="eastAsia" w:ascii="宋体" w:hAnsi="宋体"/>
              </w:rPr>
              <w:t>资金</w:t>
            </w:r>
          </w:p>
          <w:p>
            <w:pPr>
              <w:spacing w:line="240" w:lineRule="exact"/>
              <w:jc w:val="center"/>
              <w:rPr>
                <w:rFonts w:ascii="宋体"/>
                <w:szCs w:val="21"/>
              </w:rPr>
            </w:pPr>
            <w:r>
              <w:rPr>
                <w:rFonts w:hint="eastAsia" w:ascii="宋体" w:hAnsi="宋体"/>
              </w:rPr>
              <w:t>投入（6分）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预算编制</w:t>
            </w:r>
          </w:p>
          <w:p>
            <w:pPr>
              <w:spacing w:line="240" w:lineRule="exact"/>
              <w:ind w:left="105" w:leftChars="50" w:right="105" w:rightChars="50"/>
              <w:jc w:val="center"/>
              <w:rPr>
                <w:rFonts w:ascii="宋体"/>
                <w:szCs w:val="21"/>
              </w:rPr>
            </w:pPr>
            <w:r>
              <w:rPr>
                <w:rFonts w:hint="eastAsia" w:ascii="宋体" w:hAnsi="宋体"/>
              </w:rPr>
              <w:t>科学性（3分）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3</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预算编制是否经过科学论证、有明确标准，资金额度与年度目标是否相适应，用以反映和考核预算支出预算编制的科学性、合理性情况。</w:t>
            </w:r>
          </w:p>
        </w:tc>
        <w:tc>
          <w:tcPr>
            <w:tcW w:w="2108" w:type="pct"/>
            <w:tcBorders>
              <w:tl2br w:val="nil"/>
              <w:tr2bl w:val="nil"/>
            </w:tcBorders>
            <w:noWrap w:val="0"/>
            <w:tcMar>
              <w:top w:w="10" w:type="dxa"/>
              <w:left w:w="10" w:type="dxa"/>
              <w:bottom w:w="0" w:type="dxa"/>
              <w:right w:w="10" w:type="dxa"/>
            </w:tcMar>
            <w:vAlign w:val="center"/>
          </w:tcPr>
          <w:p>
            <w:pPr>
              <w:spacing w:line="220" w:lineRule="exact"/>
              <w:ind w:left="105" w:leftChars="50" w:right="105" w:rightChars="50"/>
              <w:rPr>
                <w:rFonts w:ascii="宋体"/>
                <w:szCs w:val="21"/>
              </w:rPr>
            </w:pPr>
            <w:r>
              <w:rPr>
                <w:rFonts w:hint="eastAsia" w:ascii="宋体" w:hAnsi="宋体"/>
              </w:rPr>
              <w:t>评价要点：</w:t>
            </w:r>
          </w:p>
          <w:p>
            <w:pPr>
              <w:spacing w:line="220" w:lineRule="exact"/>
              <w:ind w:left="105" w:leftChars="50" w:right="105" w:rightChars="50"/>
              <w:rPr>
                <w:rFonts w:hint="eastAsia" w:ascii="宋体"/>
              </w:rPr>
            </w:pPr>
            <w:r>
              <w:rPr>
                <w:rFonts w:hint="eastAsia" w:ascii="宋体" w:hAnsi="宋体"/>
              </w:rPr>
              <w:t>①预算编制是否经过科学论证；</w:t>
            </w:r>
          </w:p>
          <w:p>
            <w:pPr>
              <w:spacing w:line="220" w:lineRule="exact"/>
              <w:ind w:left="105" w:leftChars="50" w:right="105" w:rightChars="50"/>
              <w:rPr>
                <w:rFonts w:hint="eastAsia" w:ascii="宋体"/>
              </w:rPr>
            </w:pPr>
            <w:r>
              <w:rPr>
                <w:rFonts w:hint="eastAsia" w:ascii="宋体" w:hAnsi="宋体"/>
              </w:rPr>
              <w:t>②预算内容与支出内容是否匹配；</w:t>
            </w:r>
          </w:p>
          <w:p>
            <w:pPr>
              <w:spacing w:line="220" w:lineRule="exact"/>
              <w:ind w:left="105" w:leftChars="50" w:right="105" w:rightChars="50"/>
              <w:rPr>
                <w:rFonts w:hint="eastAsia" w:ascii="宋体"/>
              </w:rPr>
            </w:pPr>
            <w:r>
              <w:rPr>
                <w:rFonts w:hint="eastAsia" w:ascii="宋体" w:hAnsi="宋体"/>
              </w:rPr>
              <w:t>③预算额度测算依据是否充分，是否按照标准编制；</w:t>
            </w:r>
          </w:p>
          <w:p>
            <w:pPr>
              <w:spacing w:line="220" w:lineRule="exact"/>
              <w:ind w:left="105" w:leftChars="50" w:right="105" w:rightChars="50"/>
              <w:rPr>
                <w:rFonts w:ascii="宋体"/>
                <w:szCs w:val="21"/>
              </w:rPr>
            </w:pPr>
            <w:r>
              <w:rPr>
                <w:rFonts w:hint="eastAsia" w:ascii="宋体" w:hAnsi="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资金分配</w:t>
            </w:r>
          </w:p>
          <w:p>
            <w:pPr>
              <w:spacing w:line="240" w:lineRule="exact"/>
              <w:ind w:left="105" w:leftChars="50" w:right="105" w:rightChars="50"/>
              <w:jc w:val="center"/>
              <w:rPr>
                <w:rFonts w:ascii="宋体"/>
                <w:szCs w:val="21"/>
              </w:rPr>
            </w:pPr>
            <w:r>
              <w:rPr>
                <w:rFonts w:hint="eastAsia" w:ascii="宋体" w:hAnsi="宋体"/>
              </w:rPr>
              <w:t>合理性（3分）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3</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预算资金分配是否有测算依据，与补助单位或地方实际是否相适应，用以反映和考核预算支出预算资金分配的科学性、合理性情况。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p>
          <w:p>
            <w:pPr>
              <w:spacing w:line="240" w:lineRule="exact"/>
              <w:ind w:right="105" w:rightChars="50" w:firstLine="105" w:firstLineChars="50"/>
              <w:rPr>
                <w:rFonts w:hint="eastAsia" w:ascii="宋体"/>
              </w:rPr>
            </w:pPr>
            <w:r>
              <w:rPr>
                <w:rFonts w:hint="eastAsia" w:ascii="宋体" w:hAnsi="宋体"/>
              </w:rPr>
              <w:t>①预算资金分配依据是否充分；</w:t>
            </w:r>
          </w:p>
          <w:p>
            <w:pPr>
              <w:spacing w:line="240" w:lineRule="exact"/>
              <w:ind w:left="105" w:leftChars="50" w:right="105" w:rightChars="50"/>
              <w:rPr>
                <w:rFonts w:ascii="宋体"/>
                <w:szCs w:val="21"/>
              </w:rPr>
            </w:pPr>
            <w:r>
              <w:rPr>
                <w:rFonts w:hint="eastAsia" w:ascii="宋体" w:hAnsi="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955" w:type="pct"/>
            <w:vMerge w:val="restart"/>
            <w:tcBorders>
              <w:tl2br w:val="nil"/>
              <w:tr2bl w:val="nil"/>
            </w:tcBorders>
            <w:noWrap w:val="0"/>
            <w:vAlign w:val="center"/>
          </w:tcPr>
          <w:p>
            <w:pPr>
              <w:spacing w:line="240" w:lineRule="exact"/>
              <w:jc w:val="center"/>
              <w:rPr>
                <w:rFonts w:ascii="宋体"/>
                <w:szCs w:val="21"/>
              </w:rPr>
            </w:pPr>
            <w:r>
              <w:rPr>
                <w:rFonts w:hint="eastAsia" w:ascii="宋体" w:hAnsi="宋体"/>
              </w:rPr>
              <w:t>过</w:t>
            </w:r>
          </w:p>
          <w:p>
            <w:pPr>
              <w:spacing w:line="240" w:lineRule="exact"/>
              <w:jc w:val="center"/>
              <w:rPr>
                <w:rFonts w:hint="eastAsia" w:ascii="宋体"/>
              </w:rPr>
            </w:pPr>
          </w:p>
          <w:p>
            <w:pPr>
              <w:spacing w:line="240" w:lineRule="exact"/>
              <w:jc w:val="center"/>
              <w:rPr>
                <w:rFonts w:hint="eastAsia" w:ascii="宋体"/>
              </w:rPr>
            </w:pPr>
          </w:p>
          <w:p>
            <w:pPr>
              <w:spacing w:line="240" w:lineRule="exact"/>
              <w:jc w:val="center"/>
              <w:rPr>
                <w:rFonts w:ascii="宋体"/>
                <w:szCs w:val="21"/>
              </w:rPr>
            </w:pPr>
            <w:r>
              <w:rPr>
                <w:rFonts w:hint="eastAsia" w:ascii="宋体" w:hAnsi="宋体"/>
              </w:rPr>
              <w:t>程（20分）</w:t>
            </w:r>
          </w:p>
        </w:tc>
        <w:tc>
          <w:tcPr>
            <w:tcW w:w="286" w:type="pct"/>
            <w:vMerge w:val="restar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资金</w:t>
            </w:r>
            <w:r>
              <w:rPr>
                <w:rFonts w:hint="eastAsia" w:ascii="宋体"/>
              </w:rPr>
              <w:br w:type="textWrapping"/>
            </w:r>
            <w:r>
              <w:rPr>
                <w:rFonts w:hint="eastAsia" w:ascii="宋体" w:hAnsi="宋体"/>
              </w:rPr>
              <w:t>管理（12分）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资金</w:t>
            </w:r>
          </w:p>
          <w:p>
            <w:pPr>
              <w:spacing w:line="240" w:lineRule="exact"/>
              <w:ind w:left="105" w:leftChars="50" w:right="105" w:rightChars="50"/>
              <w:jc w:val="center"/>
              <w:rPr>
                <w:rFonts w:ascii="宋体"/>
                <w:szCs w:val="21"/>
              </w:rPr>
            </w:pPr>
            <w:r>
              <w:rPr>
                <w:rFonts w:hint="eastAsia" w:ascii="宋体" w:hAnsi="宋体"/>
              </w:rPr>
              <w:t>到位率（4分）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实际到位资金与预算资金的比率，用以反映和考核资金落实情况对预算支出实施的总体保障程度。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资金到位率=（实际到位资金/预算资金）×100%。</w:t>
            </w:r>
            <w:r>
              <w:rPr>
                <w:rFonts w:hint="eastAsia" w:ascii="宋体"/>
              </w:rPr>
              <w:br w:type="textWrapping"/>
            </w:r>
            <w:r>
              <w:rPr>
                <w:rFonts w:hint="eastAsia" w:ascii="宋体" w:hAnsi="宋体"/>
              </w:rPr>
              <w:t>实际到位资金：一定时期（本年度或预算支出期）内落实到具体预算支出的资金。</w:t>
            </w:r>
            <w:r>
              <w:rPr>
                <w:rFonts w:hint="eastAsia" w:ascii="宋体"/>
              </w:rPr>
              <w:br w:type="textWrapping"/>
            </w:r>
            <w:r>
              <w:rPr>
                <w:rFonts w:hint="eastAsia" w:ascii="宋体" w:hAnsi="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预算</w:t>
            </w:r>
          </w:p>
          <w:p>
            <w:pPr>
              <w:spacing w:line="240" w:lineRule="exact"/>
              <w:ind w:left="105" w:leftChars="50" w:right="105" w:rightChars="50"/>
              <w:jc w:val="center"/>
              <w:rPr>
                <w:rFonts w:ascii="宋体"/>
                <w:szCs w:val="21"/>
              </w:rPr>
            </w:pPr>
            <w:r>
              <w:rPr>
                <w:rFonts w:hint="eastAsia" w:ascii="宋体" w:hAnsi="宋体"/>
              </w:rPr>
              <w:t>执行率（4分）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预算资金是否按照计划执行，用以反映或考核预算支出预算执行情况。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预算执行率=（实际支出资金/实际到位资金）×100%。</w:t>
            </w:r>
          </w:p>
          <w:p>
            <w:pPr>
              <w:spacing w:line="240" w:lineRule="exact"/>
              <w:ind w:left="105" w:leftChars="50" w:right="105" w:rightChars="50"/>
              <w:rPr>
                <w:rFonts w:ascii="宋体"/>
                <w:szCs w:val="21"/>
              </w:rPr>
            </w:pPr>
            <w:r>
              <w:rPr>
                <w:rFonts w:hint="eastAsia" w:ascii="宋体" w:hAnsi="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资金使用</w:t>
            </w:r>
          </w:p>
          <w:p>
            <w:pPr>
              <w:spacing w:line="240" w:lineRule="exact"/>
              <w:ind w:left="105" w:leftChars="50" w:right="105" w:rightChars="50"/>
              <w:jc w:val="center"/>
              <w:rPr>
                <w:rFonts w:ascii="宋体"/>
                <w:szCs w:val="21"/>
              </w:rPr>
            </w:pPr>
            <w:r>
              <w:rPr>
                <w:rFonts w:hint="eastAsia" w:ascii="宋体" w:hAnsi="宋体"/>
              </w:rPr>
              <w:t>合规性（4分）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预算资金使用是否符合相关的财务管理制度规定，用以反映和考核预算资金的规范运行情况。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p>
          <w:p>
            <w:pPr>
              <w:spacing w:line="240" w:lineRule="exact"/>
              <w:ind w:left="105" w:leftChars="50" w:right="105" w:rightChars="50"/>
              <w:rPr>
                <w:rFonts w:hint="eastAsia" w:ascii="宋体"/>
              </w:rPr>
            </w:pPr>
            <w:r>
              <w:rPr>
                <w:rFonts w:hint="eastAsia" w:ascii="宋体" w:hAnsi="宋体"/>
              </w:rPr>
              <w:t>①是否符合国家财经法规和财务管理制度以及有关专项资金管理办法的规定；</w:t>
            </w:r>
          </w:p>
          <w:p>
            <w:pPr>
              <w:spacing w:line="240" w:lineRule="exact"/>
              <w:ind w:right="105" w:rightChars="50" w:firstLine="105" w:firstLineChars="50"/>
              <w:rPr>
                <w:rFonts w:hint="eastAsia" w:ascii="宋体"/>
              </w:rPr>
            </w:pPr>
            <w:r>
              <w:rPr>
                <w:rFonts w:hint="eastAsia" w:ascii="宋体" w:hAnsi="宋体"/>
              </w:rPr>
              <w:t>②资金的拨付是否有完整的审批程序和手续；</w:t>
            </w:r>
          </w:p>
          <w:p>
            <w:pPr>
              <w:spacing w:line="240" w:lineRule="exact"/>
              <w:ind w:right="105" w:rightChars="50" w:firstLine="105" w:firstLineChars="50"/>
              <w:rPr>
                <w:rFonts w:hint="eastAsia" w:ascii="宋体"/>
              </w:rPr>
            </w:pPr>
            <w:r>
              <w:rPr>
                <w:rFonts w:hint="eastAsia" w:ascii="宋体" w:hAnsi="宋体"/>
              </w:rPr>
              <w:t>③是否符合预算支出预算批复或合同规定的用途；</w:t>
            </w:r>
          </w:p>
          <w:p>
            <w:pPr>
              <w:spacing w:line="240" w:lineRule="exact"/>
              <w:ind w:left="105" w:leftChars="50" w:right="105" w:rightChars="50"/>
              <w:rPr>
                <w:rFonts w:ascii="宋体"/>
                <w:szCs w:val="21"/>
              </w:rPr>
            </w:pPr>
            <w:r>
              <w:rPr>
                <w:rFonts w:hint="eastAsia" w:ascii="宋体" w:hAnsi="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286" w:type="pct"/>
            <w:vMerge w:val="restar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组织</w:t>
            </w:r>
          </w:p>
          <w:p>
            <w:pPr>
              <w:spacing w:line="240" w:lineRule="exact"/>
              <w:jc w:val="center"/>
              <w:rPr>
                <w:rFonts w:ascii="宋体"/>
                <w:szCs w:val="21"/>
              </w:rPr>
            </w:pPr>
            <w:r>
              <w:rPr>
                <w:rFonts w:hint="eastAsia" w:ascii="宋体" w:hAnsi="宋体"/>
              </w:rPr>
              <w:t>实施（8分）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管理制度</w:t>
            </w:r>
          </w:p>
          <w:p>
            <w:pPr>
              <w:spacing w:line="240" w:lineRule="exact"/>
              <w:ind w:left="105" w:leftChars="50" w:right="105" w:rightChars="50"/>
              <w:jc w:val="center"/>
              <w:rPr>
                <w:rFonts w:ascii="宋体"/>
                <w:szCs w:val="21"/>
              </w:rPr>
            </w:pPr>
            <w:r>
              <w:rPr>
                <w:rFonts w:hint="eastAsia" w:ascii="宋体" w:hAnsi="宋体"/>
              </w:rPr>
              <w:t>健全性（4分）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预算支出实施单位的财务和业务管理制度是否健全，用以反映和考核财务和业务管理制度对预算支出顺利实施的保障情况。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r>
              <w:rPr>
                <w:rFonts w:hint="eastAsia" w:ascii="宋体"/>
              </w:rPr>
              <w:br w:type="textWrapping"/>
            </w:r>
            <w:r>
              <w:rPr>
                <w:rFonts w:hint="eastAsia" w:ascii="宋体" w:hAnsi="宋体"/>
              </w:rPr>
              <w:t>①是否已制定或具有相应的业务管理制度；</w:t>
            </w:r>
            <w:r>
              <w:rPr>
                <w:rFonts w:hint="eastAsia" w:ascii="宋体"/>
              </w:rPr>
              <w:br w:type="textWrapping"/>
            </w:r>
            <w:r>
              <w:rPr>
                <w:rFonts w:hint="eastAsia" w:ascii="宋体" w:hAnsi="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制度执行</w:t>
            </w:r>
          </w:p>
          <w:p>
            <w:pPr>
              <w:spacing w:line="240" w:lineRule="exact"/>
              <w:ind w:left="105" w:leftChars="50" w:right="105" w:rightChars="50"/>
              <w:jc w:val="center"/>
              <w:rPr>
                <w:rFonts w:ascii="宋体"/>
                <w:szCs w:val="21"/>
              </w:rPr>
            </w:pPr>
            <w:r>
              <w:rPr>
                <w:rFonts w:hint="eastAsia" w:ascii="宋体" w:hAnsi="宋体"/>
              </w:rPr>
              <w:t>有效性（4分）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4</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预算支出实施是否符合相关业务管理规定，用以反映和考核业务管理制度的有效执行情况。</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评价要点：</w:t>
            </w:r>
            <w:r>
              <w:rPr>
                <w:rFonts w:hint="eastAsia" w:ascii="宋体"/>
              </w:rPr>
              <w:br w:type="textWrapping"/>
            </w:r>
            <w:r>
              <w:rPr>
                <w:rFonts w:hint="eastAsia" w:ascii="宋体" w:hAnsi="宋体"/>
              </w:rPr>
              <w:t>①是否遵守相关法律法规和相关管理规定；</w:t>
            </w:r>
            <w:r>
              <w:rPr>
                <w:rFonts w:hint="eastAsia" w:ascii="宋体"/>
              </w:rPr>
              <w:br w:type="textWrapping"/>
            </w:r>
            <w:r>
              <w:rPr>
                <w:rFonts w:hint="eastAsia" w:ascii="宋体" w:hAnsi="宋体"/>
              </w:rPr>
              <w:t>②预算支出调整及支出调整手续是否完备；</w:t>
            </w:r>
            <w:r>
              <w:rPr>
                <w:rFonts w:hint="eastAsia" w:ascii="宋体"/>
              </w:rPr>
              <w:br w:type="textWrapping"/>
            </w:r>
            <w:r>
              <w:rPr>
                <w:rFonts w:hint="eastAsia" w:ascii="宋体" w:hAnsi="宋体"/>
              </w:rPr>
              <w:t>③预算支出合同书、验收报告、技术鉴定等资料是否齐全并及时归档；</w:t>
            </w:r>
            <w:r>
              <w:rPr>
                <w:rFonts w:hint="eastAsia" w:ascii="宋体"/>
              </w:rPr>
              <w:br w:type="textWrapping"/>
            </w:r>
            <w:r>
              <w:rPr>
                <w:rFonts w:hint="eastAsia" w:ascii="宋体" w:hAnsi="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955" w:type="pct"/>
            <w:vMerge w:val="restart"/>
            <w:tcBorders>
              <w:tl2br w:val="nil"/>
              <w:tr2bl w:val="nil"/>
            </w:tcBorders>
            <w:noWrap/>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产出（40分）</w:t>
            </w:r>
          </w:p>
        </w:tc>
        <w:tc>
          <w:tcPr>
            <w:tcW w:w="286" w:type="pc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产出</w:t>
            </w:r>
          </w:p>
          <w:p>
            <w:pPr>
              <w:spacing w:line="240" w:lineRule="exact"/>
              <w:jc w:val="center"/>
              <w:rPr>
                <w:rFonts w:ascii="宋体"/>
                <w:szCs w:val="21"/>
              </w:rPr>
            </w:pPr>
            <w:r>
              <w:rPr>
                <w:rFonts w:hint="eastAsia" w:ascii="宋体" w:hAnsi="宋体"/>
              </w:rPr>
              <w:t>数量（10分）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实际</w:t>
            </w:r>
          </w:p>
          <w:p>
            <w:pPr>
              <w:spacing w:line="240" w:lineRule="exact"/>
              <w:ind w:left="105" w:leftChars="50" w:right="105" w:rightChars="50"/>
              <w:jc w:val="center"/>
              <w:rPr>
                <w:rFonts w:ascii="宋体"/>
                <w:szCs w:val="21"/>
              </w:rPr>
            </w:pPr>
            <w:r>
              <w:rPr>
                <w:rFonts w:hint="eastAsia" w:ascii="宋体" w:hAnsi="宋体"/>
              </w:rPr>
              <w:t>完成率（10分）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10</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预算支出实施的实际产出数与计划产出数的比率，用以反映和考核预算支出产出数量目标的实现程度。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实际完成率=（实际产出数/计划产出数）×100%。</w:t>
            </w:r>
            <w:r>
              <w:rPr>
                <w:rFonts w:hint="eastAsia" w:ascii="宋体"/>
              </w:rPr>
              <w:br w:type="textWrapping"/>
            </w:r>
            <w:r>
              <w:rPr>
                <w:rFonts w:hint="eastAsia" w:ascii="宋体" w:hAnsi="宋体"/>
              </w:rPr>
              <w:t>实际产出数：一定时期（本年度或预算支出期）内预算支出实际产出的产品或提供的服务数量。</w:t>
            </w:r>
            <w:r>
              <w:rPr>
                <w:rFonts w:hint="eastAsia" w:ascii="宋体"/>
              </w:rPr>
              <w:br w:type="textWrapping"/>
            </w:r>
            <w:r>
              <w:rPr>
                <w:rFonts w:hint="eastAsia" w:ascii="宋体" w:hAnsi="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286" w:type="pc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产出</w:t>
            </w:r>
          </w:p>
          <w:p>
            <w:pPr>
              <w:spacing w:line="240" w:lineRule="exact"/>
              <w:jc w:val="center"/>
              <w:rPr>
                <w:rFonts w:ascii="宋体"/>
                <w:szCs w:val="21"/>
              </w:rPr>
            </w:pPr>
            <w:r>
              <w:rPr>
                <w:rFonts w:hint="eastAsia" w:ascii="宋体" w:hAnsi="宋体"/>
              </w:rPr>
              <w:t>质量（10分）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质量</w:t>
            </w:r>
          </w:p>
          <w:p>
            <w:pPr>
              <w:spacing w:line="240" w:lineRule="exact"/>
              <w:ind w:left="105" w:leftChars="50" w:right="105" w:rightChars="50"/>
              <w:jc w:val="center"/>
              <w:rPr>
                <w:rFonts w:ascii="宋体"/>
                <w:szCs w:val="21"/>
              </w:rPr>
            </w:pPr>
            <w:r>
              <w:rPr>
                <w:rFonts w:hint="eastAsia" w:ascii="宋体" w:hAnsi="宋体"/>
              </w:rPr>
              <w:t>达标率（10分）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9</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预算支出完成的质量达标产出数与实际产出数的比率，用以反映和考核预算支出产出质量目标的实现程度。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质量达标率=（质量达标产出数/实际产出数）×100%。</w:t>
            </w:r>
            <w:r>
              <w:rPr>
                <w:rFonts w:hint="eastAsia" w:ascii="宋体"/>
              </w:rPr>
              <w:br w:type="textWrapping"/>
            </w:r>
            <w:r>
              <w:rPr>
                <w:rFonts w:hint="eastAsia" w:ascii="宋体" w:hAnsi="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955" w:type="pct"/>
            <w:vMerge w:val="restart"/>
            <w:tcBorders>
              <w:tl2br w:val="nil"/>
              <w:tr2bl w:val="nil"/>
            </w:tcBorders>
            <w:noWrap w:val="0"/>
            <w:vAlign w:val="center"/>
          </w:tcPr>
          <w:p>
            <w:pPr>
              <w:spacing w:line="240" w:lineRule="exact"/>
              <w:ind w:left="113"/>
              <w:rPr>
                <w:rFonts w:ascii="宋体"/>
                <w:szCs w:val="21"/>
              </w:rPr>
            </w:pPr>
            <w:r>
              <w:rPr>
                <w:rFonts w:hint="eastAsia" w:ascii="宋体" w:hAnsi="宋体"/>
              </w:rPr>
              <w:t>产出（40分）</w:t>
            </w:r>
          </w:p>
        </w:tc>
        <w:tc>
          <w:tcPr>
            <w:tcW w:w="286" w:type="pct"/>
            <w:tcBorders>
              <w:tl2br w:val="nil"/>
              <w:tr2bl w:val="nil"/>
            </w:tcBorders>
            <w:noWrap w:val="0"/>
            <w:vAlign w:val="center"/>
          </w:tcPr>
          <w:p>
            <w:pPr>
              <w:spacing w:line="240" w:lineRule="exact"/>
              <w:jc w:val="center"/>
              <w:rPr>
                <w:rFonts w:ascii="宋体"/>
                <w:szCs w:val="21"/>
              </w:rPr>
            </w:pPr>
            <w:r>
              <w:rPr>
                <w:rFonts w:hint="eastAsia" w:ascii="宋体" w:hAnsi="宋体"/>
              </w:rPr>
              <w:t>产出</w:t>
            </w:r>
          </w:p>
          <w:p>
            <w:pPr>
              <w:spacing w:line="240" w:lineRule="exact"/>
              <w:jc w:val="center"/>
              <w:rPr>
                <w:rFonts w:ascii="宋体"/>
                <w:szCs w:val="21"/>
              </w:rPr>
            </w:pPr>
            <w:r>
              <w:rPr>
                <w:rFonts w:hint="eastAsia" w:ascii="宋体" w:hAnsi="宋体"/>
              </w:rPr>
              <w:t>时效（10分）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完成</w:t>
            </w:r>
          </w:p>
          <w:p>
            <w:pPr>
              <w:spacing w:line="240" w:lineRule="exact"/>
              <w:ind w:left="105" w:leftChars="50" w:right="105" w:rightChars="50"/>
              <w:jc w:val="center"/>
              <w:rPr>
                <w:rFonts w:ascii="宋体"/>
                <w:szCs w:val="21"/>
              </w:rPr>
            </w:pPr>
            <w:r>
              <w:rPr>
                <w:rFonts w:hint="eastAsia" w:ascii="宋体" w:hAnsi="宋体"/>
              </w:rPr>
              <w:t>及时性（10分）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10</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预算支出实际完成时间与计划完成时间的比较，用以反映和考核预算支出产出时效目标的实现程度。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实际完成时间：预算支出实施单位完成该预算支出实际所耗用的时间。</w:t>
            </w:r>
            <w:r>
              <w:rPr>
                <w:rFonts w:hint="eastAsia" w:ascii="宋体"/>
              </w:rPr>
              <w:br w:type="textWrapping"/>
            </w:r>
            <w:r>
              <w:rPr>
                <w:rFonts w:hint="eastAsia" w:ascii="宋体" w:hAnsi="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286" w:type="pct"/>
            <w:tcBorders>
              <w:tl2br w:val="nil"/>
              <w:tr2bl w:val="nil"/>
            </w:tcBorders>
            <w:noWrap w:val="0"/>
            <w:vAlign w:val="center"/>
          </w:tcPr>
          <w:p>
            <w:pPr>
              <w:spacing w:line="240" w:lineRule="exact"/>
              <w:jc w:val="center"/>
              <w:rPr>
                <w:rFonts w:ascii="宋体"/>
                <w:szCs w:val="21"/>
              </w:rPr>
            </w:pPr>
            <w:r>
              <w:rPr>
                <w:rFonts w:hint="eastAsia" w:ascii="宋体" w:hAnsi="宋体"/>
              </w:rPr>
              <w:t>产出</w:t>
            </w:r>
          </w:p>
          <w:p>
            <w:pPr>
              <w:spacing w:line="240" w:lineRule="exact"/>
              <w:jc w:val="center"/>
              <w:rPr>
                <w:rFonts w:ascii="宋体"/>
                <w:szCs w:val="21"/>
              </w:rPr>
            </w:pPr>
            <w:r>
              <w:rPr>
                <w:rFonts w:hint="eastAsia" w:ascii="宋体" w:hAnsi="宋体"/>
              </w:rPr>
              <w:t>成本（10分）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成本</w:t>
            </w:r>
          </w:p>
          <w:p>
            <w:pPr>
              <w:spacing w:line="240" w:lineRule="exact"/>
              <w:ind w:left="105" w:leftChars="50" w:right="105" w:rightChars="50"/>
              <w:jc w:val="center"/>
              <w:rPr>
                <w:rFonts w:ascii="宋体"/>
                <w:szCs w:val="21"/>
              </w:rPr>
            </w:pPr>
            <w:r>
              <w:rPr>
                <w:rFonts w:hint="eastAsia" w:ascii="宋体" w:hAnsi="宋体"/>
              </w:rPr>
              <w:t>节约率（10分）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10</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完成预算支出计划工作目标的实际节约成本与计划成本的比率，用以反映和考核预算支出的成本节约程度。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成本节约率=[（计划成本</w:t>
            </w:r>
            <w:r>
              <w:rPr>
                <w:rFonts w:hint="eastAsia" w:ascii="宋体"/>
              </w:rPr>
              <w:t>-</w:t>
            </w:r>
            <w:r>
              <w:rPr>
                <w:rFonts w:hint="eastAsia" w:ascii="宋体" w:hAnsi="宋体"/>
              </w:rPr>
              <w:t>实际成本）/计划成本]×100%。</w:t>
            </w:r>
            <w:r>
              <w:rPr>
                <w:rFonts w:hint="eastAsia" w:ascii="宋体"/>
              </w:rPr>
              <w:br w:type="textWrapping"/>
            </w:r>
            <w:r>
              <w:rPr>
                <w:rFonts w:hint="eastAsia" w:ascii="宋体" w:hAnsi="宋体"/>
              </w:rPr>
              <w:t>实际成本：预算支出实施单位如期、保质、保量完成既定工作目标实际所耗费的支出。</w:t>
            </w:r>
            <w:r>
              <w:rPr>
                <w:rFonts w:hint="eastAsia" w:ascii="宋体"/>
              </w:rPr>
              <w:br w:type="textWrapping"/>
            </w:r>
            <w:r>
              <w:rPr>
                <w:rFonts w:hint="eastAsia" w:ascii="宋体" w:hAnsi="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5" w:type="pct"/>
            <w:vMerge w:val="restart"/>
            <w:tcBorders>
              <w:tl2br w:val="nil"/>
              <w:tr2bl w:val="nil"/>
            </w:tcBorders>
            <w:noWrap/>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效益（20分）</w:t>
            </w:r>
          </w:p>
        </w:tc>
        <w:tc>
          <w:tcPr>
            <w:tcW w:w="286" w:type="pct"/>
            <w:vMerge w:val="restart"/>
            <w:tcBorders>
              <w:tl2br w:val="nil"/>
              <w:tr2bl w:val="nil"/>
            </w:tcBorders>
            <w:noWrap w:val="0"/>
            <w:tcMar>
              <w:top w:w="10" w:type="dxa"/>
              <w:left w:w="10" w:type="dxa"/>
              <w:bottom w:w="0" w:type="dxa"/>
              <w:right w:w="10" w:type="dxa"/>
            </w:tcMar>
            <w:vAlign w:val="center"/>
          </w:tcPr>
          <w:p>
            <w:pPr>
              <w:spacing w:line="240" w:lineRule="exact"/>
              <w:jc w:val="center"/>
              <w:rPr>
                <w:rFonts w:ascii="宋体"/>
                <w:szCs w:val="21"/>
              </w:rPr>
            </w:pPr>
            <w:r>
              <w:rPr>
                <w:rFonts w:hint="eastAsia" w:ascii="宋体" w:hAnsi="宋体"/>
              </w:rPr>
              <w:t>预算支出</w:t>
            </w:r>
            <w:r>
              <w:rPr>
                <w:rFonts w:hint="eastAsia" w:ascii="宋体"/>
              </w:rPr>
              <w:br w:type="textWrapping"/>
            </w:r>
            <w:r>
              <w:rPr>
                <w:rFonts w:hint="eastAsia" w:ascii="宋体" w:hAnsi="宋体"/>
              </w:rPr>
              <w:t>效益（20分）</w:t>
            </w: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实施效益（10分）</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9</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预算支出实施所产生的效益。</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vMerge w:val="continue"/>
            <w:tcBorders>
              <w:tl2br w:val="nil"/>
              <w:tr2bl w:val="nil"/>
            </w:tcBorders>
            <w:noWrap w:val="0"/>
            <w:vAlign w:val="center"/>
          </w:tcPr>
          <w:p>
            <w:pPr>
              <w:widowControl/>
              <w:jc w:val="left"/>
              <w:rPr>
                <w:rFonts w:ascii="宋体"/>
                <w:szCs w:val="21"/>
              </w:rPr>
            </w:pPr>
          </w:p>
        </w:tc>
        <w:tc>
          <w:tcPr>
            <w:tcW w:w="0" w:type="auto"/>
            <w:vMerge w:val="continue"/>
            <w:tcBorders>
              <w:tl2br w:val="nil"/>
              <w:tr2bl w:val="nil"/>
            </w:tcBorders>
            <w:noWrap w:val="0"/>
            <w:vAlign w:val="center"/>
          </w:tcPr>
          <w:p>
            <w:pPr>
              <w:widowControl/>
              <w:jc w:val="lef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r>
              <w:rPr>
                <w:rFonts w:hint="eastAsia" w:ascii="宋体" w:hAnsi="宋体"/>
              </w:rPr>
              <w:t>社会公众</w:t>
            </w:r>
          </w:p>
          <w:p>
            <w:pPr>
              <w:spacing w:line="240" w:lineRule="exact"/>
              <w:ind w:left="105" w:leftChars="50" w:right="105" w:rightChars="50"/>
              <w:jc w:val="center"/>
              <w:rPr>
                <w:rFonts w:hint="eastAsia" w:ascii="宋体"/>
              </w:rPr>
            </w:pPr>
            <w:r>
              <w:rPr>
                <w:rFonts w:hint="eastAsia" w:ascii="宋体" w:hAnsi="宋体"/>
              </w:rPr>
              <w:t>或服务（10分）对</w:t>
            </w:r>
          </w:p>
          <w:p>
            <w:pPr>
              <w:spacing w:line="240" w:lineRule="exact"/>
              <w:ind w:left="105" w:leftChars="50" w:right="105" w:rightChars="50"/>
              <w:jc w:val="center"/>
              <w:rPr>
                <w:rFonts w:ascii="宋体"/>
                <w:szCs w:val="21"/>
              </w:rPr>
            </w:pPr>
            <w:r>
              <w:rPr>
                <w:rFonts w:hint="eastAsia" w:ascii="宋体" w:hAnsi="宋体"/>
              </w:rPr>
              <w:t>象满意度</w:t>
            </w: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10</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社会公众或服务对象对预算支出实施效果的满意程度。</w:t>
            </w: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r>
              <w:rPr>
                <w:rFonts w:hint="eastAsia" w:ascii="宋体" w:hAnsi="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55" w:type="pct"/>
            <w:tcBorders>
              <w:tl2br w:val="nil"/>
              <w:tr2bl w:val="nil"/>
            </w:tcBorders>
            <w:noWrap w:val="0"/>
            <w:vAlign w:val="center"/>
          </w:tcPr>
          <w:p>
            <w:pPr>
              <w:spacing w:line="240" w:lineRule="exact"/>
              <w:rPr>
                <w:rFonts w:ascii="宋体"/>
                <w:szCs w:val="21"/>
              </w:rPr>
            </w:pPr>
            <w:r>
              <w:rPr>
                <w:rFonts w:hint="eastAsia" w:ascii="宋体" w:hAnsi="宋体"/>
              </w:rPr>
              <w:t>总分</w:t>
            </w:r>
          </w:p>
        </w:tc>
        <w:tc>
          <w:tcPr>
            <w:tcW w:w="286" w:type="pct"/>
            <w:tcBorders>
              <w:tl2br w:val="nil"/>
              <w:tr2bl w:val="nil"/>
            </w:tcBorders>
            <w:noWrap w:val="0"/>
            <w:vAlign w:val="center"/>
          </w:tcPr>
          <w:p>
            <w:pPr>
              <w:spacing w:line="240" w:lineRule="exact"/>
              <w:rPr>
                <w:rFonts w:ascii="宋体"/>
                <w:szCs w:val="21"/>
              </w:rPr>
            </w:pPr>
          </w:p>
        </w:tc>
        <w:tc>
          <w:tcPr>
            <w:tcW w:w="346"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szCs w:val="21"/>
              </w:rPr>
            </w:pPr>
          </w:p>
        </w:tc>
        <w:tc>
          <w:tcPr>
            <w:tcW w:w="176" w:type="pct"/>
            <w:tcBorders>
              <w:tl2br w:val="nil"/>
              <w:tr2bl w:val="nil"/>
            </w:tcBorders>
            <w:noWrap w:val="0"/>
            <w:vAlign w:val="top"/>
          </w:tcPr>
          <w:p>
            <w:pPr>
              <w:spacing w:line="240" w:lineRule="exact"/>
              <w:ind w:left="105" w:leftChars="50" w:right="105" w:rightChars="50"/>
              <w:rPr>
                <w:rFonts w:hint="eastAsia" w:ascii="宋体"/>
                <w:szCs w:val="21"/>
              </w:rPr>
            </w:pPr>
            <w:r>
              <w:rPr>
                <w:rFonts w:hint="eastAsia" w:ascii="宋体"/>
                <w:szCs w:val="21"/>
              </w:rPr>
              <w:t>98</w:t>
            </w:r>
          </w:p>
        </w:tc>
        <w:tc>
          <w:tcPr>
            <w:tcW w:w="1130"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p>
        </w:tc>
        <w:tc>
          <w:tcPr>
            <w:tcW w:w="2108" w:type="pct"/>
            <w:tcBorders>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ascii="宋体"/>
                <w:szCs w:val="21"/>
              </w:rPr>
            </w:pPr>
          </w:p>
        </w:tc>
      </w:tr>
    </w:tbl>
    <w:p>
      <w:pPr>
        <w:ind w:right="320"/>
        <w:jc w:val="left"/>
        <w:rPr>
          <w:rFonts w:hint="default" w:ascii="仿宋" w:hAnsi="仿宋" w:eastAsia="仿宋"/>
          <w:sz w:val="30"/>
          <w:szCs w:val="30"/>
          <w:lang w:val="en-US" w:eastAsia="zh-CN"/>
        </w:rPr>
      </w:pPr>
    </w:p>
    <w:p/>
    <w:sectPr>
      <w:pgSz w:w="11906" w:h="16838"/>
      <w:pgMar w:top="1134" w:right="1531" w:bottom="113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EC6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Normal"/>
    <w:basedOn w:val="1"/>
    <w:uiPriority w:val="0"/>
    <w:pPr>
      <w:widowControl/>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2023-06-27T07:42:39Z</dcterms:created>
  <dc:creator>admin-3</dc:creator>
  <cp:lastModifiedBy>admin-3</cp:lastModifiedBy>
  <dcterms:modified xsi:type="dcterms:W3CDTF">2023-06-27T07:43:00Z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0C25762FDF824980A698E72E01798E79_12</vt:lpwstr>
  </property>
</Properties>
</file>