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黑体" w:hAnsi="黑体" w:eastAsia="黑体" w:cs="黑体"/>
          <w:kern w:val="0"/>
          <w:sz w:val="36"/>
          <w:szCs w:val="36"/>
        </w:rPr>
      </w:pPr>
      <w:r>
        <w:rPr>
          <w:rFonts w:hint="eastAsia" w:ascii="黑体" w:hAnsi="黑体" w:eastAsia="黑体" w:cs="黑体"/>
          <w:kern w:val="0"/>
          <w:sz w:val="36"/>
          <w:szCs w:val="36"/>
        </w:rPr>
        <w:t>益阳市赫山区医疗保障事务中心2021年度医疗救助补助资金项目支出绩效评价报告</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为深入贯彻落实《中共中央 国务院关于全面实施预算绩效管理的意见》精神，根据《湖南省医疗保障局关于转发&lt;国家医疗保障局办公室关于开展2020年医保转移支付资金绩效评价工作的通知&gt;的通知》(湘医保办发〔2021〕6号)，我局对2021年医疗救助补助资金（城乡医疗救助部分）使用管理情况按照《医保转移支付资金绩效评价工作手册》进行了自我评价。现将项目支出绩效评价情况报告如下：</w:t>
      </w:r>
    </w:p>
    <w:p>
      <w:pPr>
        <w:pStyle w:val="3"/>
        <w:pageBreakBefore w:val="0"/>
        <w:widowControl/>
        <w:kinsoku/>
        <w:wordWrap/>
        <w:topLinePunct w:val="0"/>
        <w:autoSpaceDE/>
        <w:autoSpaceDN/>
        <w:bidi w:val="0"/>
        <w:spacing w:before="0" w:after="0" w:line="600" w:lineRule="exact"/>
        <w:ind w:firstLine="600" w:firstLineChars="200"/>
        <w:textAlignment w:val="auto"/>
        <w:rPr>
          <w:rFonts w:ascii="Times New Roman" w:hAnsi="Times New Roman" w:cs="Times New Roman"/>
          <w:sz w:val="30"/>
          <w:szCs w:val="30"/>
        </w:rPr>
      </w:pPr>
      <w:bookmarkStart w:id="0" w:name="_Toc24511"/>
      <w:r>
        <w:rPr>
          <w:rFonts w:hint="eastAsia" w:ascii="黑体" w:hAnsi="黑体" w:eastAsia="黑体" w:cs="黑体"/>
          <w:b w:val="0"/>
          <w:bCs/>
          <w:sz w:val="30"/>
          <w:szCs w:val="30"/>
        </w:rPr>
        <w:t>一、预算支出基本情况</w:t>
      </w:r>
      <w:bookmarkEnd w:id="0"/>
    </w:p>
    <w:p>
      <w:pPr>
        <w:pStyle w:val="4"/>
        <w:pageBreakBefore w:val="0"/>
        <w:widowControl/>
        <w:kinsoku/>
        <w:wordWrap/>
        <w:topLinePunct w:val="0"/>
        <w:autoSpaceDE/>
        <w:autoSpaceDN/>
        <w:bidi w:val="0"/>
        <w:spacing w:before="0" w:after="0" w:line="600" w:lineRule="exact"/>
        <w:ind w:firstLine="602" w:firstLineChars="200"/>
        <w:textAlignment w:val="auto"/>
        <w:rPr>
          <w:rFonts w:hint="eastAsia" w:ascii="仿宋" w:hAnsi="仿宋" w:eastAsia="仿宋" w:cs="仿宋"/>
          <w:sz w:val="30"/>
          <w:szCs w:val="30"/>
        </w:rPr>
      </w:pPr>
      <w:bookmarkStart w:id="1" w:name="_Toc14632"/>
      <w:r>
        <w:rPr>
          <w:rFonts w:hint="eastAsia" w:ascii="仿宋" w:hAnsi="仿宋" w:eastAsia="仿宋" w:cs="仿宋"/>
          <w:sz w:val="30"/>
          <w:szCs w:val="30"/>
        </w:rPr>
        <w:t>（一）</w:t>
      </w:r>
      <w:bookmarkEnd w:id="1"/>
      <w:r>
        <w:rPr>
          <w:rFonts w:hint="eastAsia" w:ascii="仿宋" w:hAnsi="仿宋" w:eastAsia="仿宋" w:cs="仿宋"/>
          <w:sz w:val="30"/>
          <w:szCs w:val="30"/>
        </w:rPr>
        <w:t>预算支出概况</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项目：中央直达资金2021年医疗救助中央省补助资金</w:t>
      </w:r>
      <w:r>
        <w:rPr>
          <w:rFonts w:hint="eastAsia" w:ascii="仿宋" w:hAnsi="仿宋" w:eastAsia="仿宋" w:cs="仿宋"/>
          <w:sz w:val="30"/>
          <w:szCs w:val="30"/>
          <w:lang w:val="en-US" w:eastAsia="zh-CN"/>
        </w:rPr>
        <w:t>1042.26</w:t>
      </w:r>
      <w:r>
        <w:rPr>
          <w:rFonts w:hint="eastAsia" w:ascii="仿宋" w:hAnsi="仿宋" w:eastAsia="仿宋" w:cs="仿宋"/>
          <w:sz w:val="30"/>
          <w:szCs w:val="30"/>
        </w:rPr>
        <w:t>万。</w:t>
      </w:r>
    </w:p>
    <w:p>
      <w:pPr>
        <w:pageBreakBefore w:val="0"/>
        <w:widowControl/>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医疗救助制度是多层次医疗保障制度体系的重要组成部分，也是守住群众看病有保障底线的重大制度安排。2021年赫山区医保</w:t>
      </w:r>
      <w:r>
        <w:rPr>
          <w:rFonts w:hint="eastAsia" w:ascii="仿宋" w:hAnsi="仿宋" w:eastAsia="仿宋" w:cs="仿宋"/>
          <w:sz w:val="30"/>
          <w:szCs w:val="30"/>
          <w:lang w:eastAsia="zh-CN"/>
        </w:rPr>
        <w:t>中心</w:t>
      </w:r>
      <w:r>
        <w:rPr>
          <w:rFonts w:hint="eastAsia" w:ascii="仿宋" w:hAnsi="仿宋" w:eastAsia="仿宋" w:cs="仿宋"/>
          <w:sz w:val="30"/>
          <w:szCs w:val="30"/>
        </w:rPr>
        <w:t>依据湖南省出台的《关于高质量打赢医疗保障脱贫攻坚战的实施意见》（湘医保发〔2020〕22号）、《关于印发2020年湖南省健康扶贫工作要点的通知》（湘卫基层发〔2020〕2号）等文件，明确资助参保、住院医疗救助和门诊医疗救助比例，有序推进资助参保、门诊救助、住院救助等各项医疗救助工作。</w:t>
      </w:r>
    </w:p>
    <w:p>
      <w:pPr>
        <w:pageBreakBefore w:val="0"/>
        <w:widowControl/>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2021年益阳市赫山区医保</w:t>
      </w:r>
      <w:r>
        <w:rPr>
          <w:rFonts w:hint="eastAsia" w:ascii="仿宋" w:hAnsi="仿宋" w:eastAsia="仿宋" w:cs="仿宋"/>
          <w:sz w:val="30"/>
          <w:szCs w:val="30"/>
          <w:lang w:eastAsia="zh-CN"/>
        </w:rPr>
        <w:t>中心</w:t>
      </w:r>
      <w:r>
        <w:rPr>
          <w:rFonts w:hint="eastAsia" w:ascii="仿宋" w:hAnsi="仿宋" w:eastAsia="仿宋" w:cs="仿宋"/>
          <w:bCs/>
          <w:snapToGrid w:val="0"/>
          <w:kern w:val="0"/>
          <w:sz w:val="30"/>
          <w:szCs w:val="30"/>
        </w:rPr>
        <w:t>通过资助参保、医疗救助补助住院费用的方式开展医疗救助共计68,004人次，</w:t>
      </w:r>
      <w:r>
        <w:rPr>
          <w:rFonts w:hint="eastAsia" w:ascii="仿宋" w:hAnsi="仿宋" w:eastAsia="仿宋" w:cs="仿宋"/>
          <w:sz w:val="30"/>
          <w:szCs w:val="30"/>
        </w:rPr>
        <w:t>城乡居民医疗救助的覆盖范围、报销比例、支付方式改革、群众满意度等各项核心指标均达到或优于预期，实现了困难群众100%资助到位。规范了资金支出，保障水平稳步提高，资金收支保持平衡，使用效率进一步提升，解决了一批因病导致生活困难的家庭，有效防止了因病返贫现象的发生</w:t>
      </w:r>
      <w:r>
        <w:rPr>
          <w:rFonts w:hint="eastAsia" w:ascii="仿宋" w:hAnsi="仿宋" w:eastAsia="仿宋" w:cs="仿宋"/>
          <w:snapToGrid w:val="0"/>
          <w:kern w:val="0"/>
          <w:sz w:val="30"/>
          <w:szCs w:val="30"/>
        </w:rPr>
        <w:t>，有力支持了地方</w:t>
      </w:r>
      <w:r>
        <w:rPr>
          <w:rFonts w:hint="eastAsia" w:ascii="仿宋" w:hAnsi="仿宋" w:eastAsia="仿宋" w:cs="仿宋"/>
          <w:sz w:val="30"/>
          <w:szCs w:val="30"/>
        </w:rPr>
        <w:t>巩固医疗保障脱贫攻坚成果有效衔接乡村振兴战略</w:t>
      </w:r>
      <w:r>
        <w:rPr>
          <w:rFonts w:hint="eastAsia" w:ascii="仿宋" w:hAnsi="仿宋" w:eastAsia="仿宋" w:cs="仿宋"/>
          <w:snapToGrid w:val="0"/>
          <w:kern w:val="0"/>
          <w:sz w:val="30"/>
          <w:szCs w:val="30"/>
        </w:rPr>
        <w:t>。</w:t>
      </w:r>
    </w:p>
    <w:p>
      <w:pPr>
        <w:pStyle w:val="4"/>
        <w:pageBreakBefore w:val="0"/>
        <w:widowControl/>
        <w:kinsoku/>
        <w:wordWrap/>
        <w:topLinePunct w:val="0"/>
        <w:autoSpaceDE/>
        <w:autoSpaceDN/>
        <w:bidi w:val="0"/>
        <w:spacing w:before="0" w:after="0" w:line="600" w:lineRule="exact"/>
        <w:ind w:firstLine="602" w:firstLineChars="200"/>
        <w:textAlignment w:val="auto"/>
        <w:rPr>
          <w:rFonts w:hint="eastAsia" w:ascii="仿宋" w:hAnsi="仿宋" w:eastAsia="仿宋" w:cs="仿宋"/>
          <w:sz w:val="30"/>
          <w:szCs w:val="30"/>
        </w:rPr>
      </w:pPr>
      <w:bookmarkStart w:id="2" w:name="_Toc10514"/>
      <w:r>
        <w:rPr>
          <w:rFonts w:hint="eastAsia" w:ascii="仿宋" w:hAnsi="仿宋" w:eastAsia="仿宋" w:cs="仿宋"/>
          <w:sz w:val="30"/>
          <w:szCs w:val="30"/>
        </w:rPr>
        <w:t>（二）</w:t>
      </w:r>
      <w:bookmarkEnd w:id="2"/>
      <w:r>
        <w:rPr>
          <w:rFonts w:hint="eastAsia" w:ascii="仿宋" w:hAnsi="仿宋" w:eastAsia="仿宋" w:cs="仿宋"/>
          <w:sz w:val="30"/>
          <w:szCs w:val="30"/>
        </w:rPr>
        <w:t>预算资金使用管理情况</w:t>
      </w:r>
    </w:p>
    <w:p>
      <w:pPr>
        <w:pageBreakBefore w:val="0"/>
        <w:widowControl/>
        <w:kinsoku/>
        <w:wordWrap/>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sz w:val="30"/>
          <w:szCs w:val="30"/>
        </w:rPr>
      </w:pPr>
      <w:bookmarkStart w:id="3" w:name="_Toc23439"/>
      <w:bookmarkStart w:id="4" w:name="_Toc5206"/>
      <w:bookmarkStart w:id="5" w:name="_Toc12207"/>
      <w:r>
        <w:rPr>
          <w:rFonts w:hint="eastAsia" w:ascii="仿宋" w:hAnsi="仿宋" w:eastAsia="仿宋" w:cs="仿宋"/>
          <w:sz w:val="30"/>
          <w:szCs w:val="30"/>
        </w:rPr>
        <w:t>益阳市统筹地区医保财政专户专账核算、专款专用，资金使用按照《中央财政医疗救助资金管理办法》（财社〔2019〕142号）、《湖南省医疗救助补助资金管理办法》有关规定执行。</w:t>
      </w:r>
    </w:p>
    <w:p>
      <w:pPr>
        <w:pStyle w:val="4"/>
        <w:pageBreakBefore w:val="0"/>
        <w:widowControl/>
        <w:numPr>
          <w:ilvl w:val="0"/>
          <w:numId w:val="1"/>
        </w:numPr>
        <w:kinsoku/>
        <w:wordWrap/>
        <w:topLinePunct w:val="0"/>
        <w:autoSpaceDE/>
        <w:autoSpaceDN/>
        <w:bidi w:val="0"/>
        <w:spacing w:before="0" w:after="0"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sz w:val="30"/>
          <w:szCs w:val="30"/>
        </w:rPr>
        <w:t>预算支出绩效目标完成程度</w:t>
      </w:r>
    </w:p>
    <w:p>
      <w:pPr>
        <w:pStyle w:val="5"/>
        <w:pageBreakBefore w:val="0"/>
        <w:widowControl/>
        <w:kinsoku/>
        <w:wordWrap/>
        <w:topLinePunct w:val="0"/>
        <w:autoSpaceDE/>
        <w:autoSpaceDN/>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sz w:val="30"/>
          <w:szCs w:val="30"/>
        </w:rPr>
        <w:t>1.年度总体目标</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（1）持续实施重特大疾病医疗救助工作；</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（2）重点对象政策项目内自付费用年度限额内住院救助比例达到70%；</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（3）年度救助对象人次规模基本与上年持平；</w:t>
      </w:r>
    </w:p>
    <w:p>
      <w:pPr>
        <w:pStyle w:val="8"/>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（4）强化医疗救助规范管理。</w:t>
      </w:r>
    </w:p>
    <w:p>
      <w:pPr>
        <w:pStyle w:val="4"/>
        <w:pageBreakBefore w:val="0"/>
        <w:widowControl/>
        <w:kinsoku/>
        <w:wordWrap/>
        <w:topLinePunct w:val="0"/>
        <w:autoSpaceDE/>
        <w:autoSpaceDN/>
        <w:bidi w:val="0"/>
        <w:spacing w:before="0" w:after="0"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sz w:val="30"/>
          <w:szCs w:val="30"/>
        </w:rPr>
        <w:t>2.具体评价指标</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（1）医疗救助对象人次规模≥特困供养人员、孤儿、事实无人抚养儿童、低保、重度残疾人、返贫监测对象；</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（2）重特大疾病医疗救助人次占直接救助人次比例≥28%；</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（3）重点救助对象政策范围内住院自付费用年度限额内救助比例≥70%；</w:t>
      </w:r>
    </w:p>
    <w:p>
      <w:pPr>
        <w:pStyle w:val="8"/>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（4）“一站式”即时结算覆盖地区：不低于上年；</w:t>
      </w:r>
    </w:p>
    <w:p>
      <w:pPr>
        <w:pStyle w:val="6"/>
        <w:pageBreakBefore w:val="0"/>
        <w:widowControl/>
        <w:kinsoku/>
        <w:wordWrap/>
        <w:topLinePunct w:val="0"/>
        <w:autoSpaceDE/>
        <w:autoSpaceDN/>
        <w:bidi w:val="0"/>
        <w:spacing w:line="60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（5）医疗救助对象覆盖范围：稳步拓展；</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（6）困难群众看病就医方便程度：明显提高；</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（7）困难群众医疗费用负担减轻程度：有效缓解；</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（8）对健全社会救助体系的影响：成效明显；</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（9）对健全医疗保障制度体系的作用：成效明显；</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（10）服务对象政策知晓率≥80%；</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（11）服务对象工作满意度≥85%。</w:t>
      </w:r>
    </w:p>
    <w:p>
      <w:pPr>
        <w:pageBreakBefore w:val="0"/>
        <w:widowControl/>
        <w:numPr>
          <w:ilvl w:val="0"/>
          <w:numId w:val="2"/>
        </w:numPr>
        <w:kinsoku/>
        <w:wordWrap/>
        <w:topLinePunct w:val="0"/>
        <w:autoSpaceDE/>
        <w:autoSpaceDN/>
        <w:bidi w:val="0"/>
        <w:spacing w:line="600" w:lineRule="exact"/>
        <w:ind w:firstLine="600" w:firstLineChars="200"/>
        <w:jc w:val="left"/>
        <w:textAlignment w:val="auto"/>
        <w:rPr>
          <w:rFonts w:hint="eastAsia" w:ascii="仿宋" w:hAnsi="仿宋" w:eastAsia="仿宋" w:cs="仿宋"/>
          <w:b/>
          <w:bCs/>
          <w:color w:val="000000"/>
          <w:kern w:val="0"/>
          <w:sz w:val="30"/>
          <w:szCs w:val="30"/>
        </w:rPr>
      </w:pPr>
      <w:r>
        <w:rPr>
          <w:rFonts w:hint="eastAsia" w:ascii="黑体" w:hAnsi="黑体" w:eastAsia="黑体" w:cs="黑体"/>
          <w:b w:val="0"/>
          <w:bCs w:val="0"/>
          <w:color w:val="000000"/>
          <w:kern w:val="0"/>
          <w:sz w:val="30"/>
          <w:szCs w:val="30"/>
        </w:rPr>
        <w:t>绩效评价工作情况</w:t>
      </w:r>
      <w:r>
        <w:rPr>
          <w:rFonts w:hint="eastAsia" w:ascii="仿宋" w:hAnsi="仿宋" w:eastAsia="仿宋" w:cs="仿宋"/>
          <w:b/>
          <w:bCs/>
          <w:color w:val="000000"/>
          <w:kern w:val="0"/>
          <w:sz w:val="30"/>
          <w:szCs w:val="30"/>
        </w:rPr>
        <w:t xml:space="preserve"> </w:t>
      </w:r>
    </w:p>
    <w:p>
      <w:pPr>
        <w:pageBreakBefore w:val="0"/>
        <w:widowControl/>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通过城乡医疗救助补助资金的评价，全面了解资金分配决策、资金使用管理、资金实际产出、政策实施效果等情况，掌握城乡医疗救助补助资金分配使用的真实性、合法性和效益性，发现问题，总结经验，提出建议，提高财政支出决策水平与项目预算资金使用效率。</w:t>
      </w:r>
    </w:p>
    <w:p>
      <w:pPr>
        <w:pageBreakBefore w:val="0"/>
        <w:widowControl/>
        <w:numPr>
          <w:ilvl w:val="0"/>
          <w:numId w:val="2"/>
        </w:numPr>
        <w:kinsoku/>
        <w:wordWrap/>
        <w:topLinePunct w:val="0"/>
        <w:autoSpaceDE/>
        <w:autoSpaceDN/>
        <w:bidi w:val="0"/>
        <w:spacing w:line="600" w:lineRule="exact"/>
        <w:ind w:firstLine="600" w:firstLineChars="200"/>
        <w:jc w:val="left"/>
        <w:textAlignment w:val="auto"/>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预算支出主要绩效及评价结论</w:t>
      </w:r>
    </w:p>
    <w:p>
      <w:pPr>
        <w:pageBreakBefore w:val="0"/>
        <w:widowControl/>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绩效评价表明，赫山区医保</w:t>
      </w:r>
      <w:r>
        <w:rPr>
          <w:rFonts w:hint="eastAsia" w:ascii="仿宋" w:hAnsi="仿宋" w:eastAsia="仿宋" w:cs="仿宋"/>
          <w:sz w:val="30"/>
          <w:szCs w:val="30"/>
          <w:lang w:eastAsia="zh-CN"/>
        </w:rPr>
        <w:t>中心</w:t>
      </w:r>
      <w:r>
        <w:rPr>
          <w:rFonts w:hint="eastAsia" w:ascii="仿宋" w:hAnsi="仿宋" w:eastAsia="仿宋" w:cs="仿宋"/>
          <w:sz w:val="30"/>
          <w:szCs w:val="30"/>
        </w:rPr>
        <w:t>城乡医疗救助补助资金分配使用管理整体情况良好，严格按政策提供医疗救助保障，持续实施重特大疾病医疗救助，重点对象政策项目内自付费用年度限额内住院救助比例75.35%，符合条件的特困供养人员、孤儿、事实无人抚养儿童、低保、重度残疾人、返贫监测对象，当地政府规定的其他特殊困难人员全部纳入保障范围，年度救助对象人次规模基本与上年持平，严格做好救助审批和补助拨付，强化医疗救助规范管理，达到了年度目标要求。</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2021年度赫山区医疗救助对象人次规模68004</w:t>
      </w:r>
      <w:r>
        <w:rPr>
          <w:rFonts w:hint="eastAsia" w:ascii="仿宋" w:hAnsi="仿宋" w:eastAsia="仿宋" w:cs="仿宋"/>
          <w:sz w:val="30"/>
          <w:szCs w:val="30"/>
          <w:lang w:val="en-US" w:eastAsia="zh-CN"/>
        </w:rPr>
        <w:t>,</w:t>
      </w:r>
      <w:r>
        <w:rPr>
          <w:rFonts w:hint="eastAsia" w:ascii="仿宋" w:hAnsi="仿宋" w:eastAsia="仿宋" w:cs="仿宋"/>
          <w:sz w:val="30"/>
          <w:szCs w:val="30"/>
        </w:rPr>
        <w:t>其中资助参保19400人。赫山区将符合条件的人口全部纳入保障范围。对特困供养人员、重度残疾人、孤儿、事实无人抚养儿童、和百岁老人参加城乡居民医保个人缴费部分，通过医疗救助等渠道给予全额资助；对城乡低保对象、返贫监测对象、三、四级残疾人等参加城乡居民医保个人缴费部分通过医疗救助等渠道给予不低于50%的补助，具体补助标准由县市区人民政府确定，确保各类困难群众参加城乡居民医保。</w:t>
      </w:r>
    </w:p>
    <w:p>
      <w:pPr>
        <w:pageBreakBefore w:val="0"/>
        <w:widowControl/>
        <w:numPr>
          <w:ilvl w:val="0"/>
          <w:numId w:val="2"/>
        </w:numPr>
        <w:kinsoku/>
        <w:wordWrap/>
        <w:topLinePunct w:val="0"/>
        <w:autoSpaceDE/>
        <w:autoSpaceDN/>
        <w:bidi w:val="0"/>
        <w:spacing w:line="600" w:lineRule="exact"/>
        <w:ind w:firstLine="600" w:firstLineChars="200"/>
        <w:jc w:val="left"/>
        <w:textAlignment w:val="auto"/>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绩效评价指标分析</w:t>
      </w:r>
    </w:p>
    <w:p>
      <w:pPr>
        <w:pageBreakBefore w:val="0"/>
        <w:widowControl/>
        <w:numPr>
          <w:ilvl w:val="0"/>
          <w:numId w:val="3"/>
        </w:numPr>
        <w:kinsoku/>
        <w:wordWrap/>
        <w:topLinePunct w:val="0"/>
        <w:autoSpaceDE/>
        <w:autoSpaceDN/>
        <w:bidi w:val="0"/>
        <w:spacing w:line="600" w:lineRule="exact"/>
        <w:ind w:firstLine="602"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rPr>
        <w:t>预算支出决策情况</w:t>
      </w:r>
    </w:p>
    <w:p>
      <w:pPr>
        <w:pStyle w:val="8"/>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1.贯彻中央医疗保障制度改革决策部署</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为贯彻落实《中共中央 国务院关于深化医疗保障制度改革的意见》要求，湖南省医保局印发了中共湖南省人民政府《关于深化医疗保障制度改革的实施意见》（湘发〔2021〕3号），赫山区医保</w:t>
      </w:r>
      <w:r>
        <w:rPr>
          <w:rFonts w:hint="eastAsia" w:ascii="仿宋" w:hAnsi="仿宋" w:eastAsia="仿宋" w:cs="仿宋"/>
          <w:sz w:val="30"/>
          <w:szCs w:val="30"/>
          <w:lang w:eastAsia="zh-CN"/>
        </w:rPr>
        <w:t>中心</w:t>
      </w:r>
      <w:r>
        <w:rPr>
          <w:rFonts w:hint="eastAsia" w:ascii="仿宋" w:hAnsi="仿宋" w:eastAsia="仿宋" w:cs="仿宋"/>
          <w:sz w:val="30"/>
          <w:szCs w:val="30"/>
        </w:rPr>
        <w:t>依据中央、省局相关政策要求进行决策，部署重点工作任务。</w:t>
      </w:r>
    </w:p>
    <w:p>
      <w:pPr>
        <w:pStyle w:val="7"/>
        <w:pageBreakBefore w:val="0"/>
        <w:widowControl/>
        <w:kinsoku/>
        <w:wordWrap/>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2.执行预算绩效管理和专项资金管理办法</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根据《中共中央 国务院关于全面实施预算绩效管理的意见》和《中央财政医疗救助补助资金管理办法》（财社〔2019〕142号）等预算管理规定和文件精神，省医保局制定了《湖南省医疗救助补助资金管理办法》。赫山区医保</w:t>
      </w:r>
      <w:r>
        <w:rPr>
          <w:rFonts w:hint="eastAsia" w:ascii="仿宋" w:hAnsi="仿宋" w:eastAsia="仿宋" w:cs="仿宋"/>
          <w:sz w:val="30"/>
          <w:szCs w:val="30"/>
          <w:lang w:eastAsia="zh-CN"/>
        </w:rPr>
        <w:t>中心</w:t>
      </w:r>
      <w:r>
        <w:rPr>
          <w:rFonts w:hint="eastAsia" w:ascii="仿宋" w:hAnsi="仿宋" w:eastAsia="仿宋" w:cs="仿宋"/>
          <w:sz w:val="30"/>
          <w:szCs w:val="30"/>
        </w:rPr>
        <w:t>项目资金管理主要参照省级预算绩效管理要求和专项资金管理办法执行。</w:t>
      </w:r>
    </w:p>
    <w:p>
      <w:pPr>
        <w:pageBreakBefore w:val="0"/>
        <w:widowControl/>
        <w:numPr>
          <w:ilvl w:val="0"/>
          <w:numId w:val="3"/>
        </w:numPr>
        <w:kinsoku/>
        <w:wordWrap/>
        <w:topLinePunct w:val="0"/>
        <w:autoSpaceDE/>
        <w:autoSpaceDN/>
        <w:bidi w:val="0"/>
        <w:spacing w:line="600" w:lineRule="exact"/>
        <w:ind w:firstLine="602" w:firstLineChars="200"/>
        <w:jc w:val="left"/>
        <w:textAlignment w:val="auto"/>
        <w:rPr>
          <w:rFonts w:hint="eastAsia" w:ascii="仿宋" w:hAnsi="仿宋" w:eastAsia="仿宋" w:cs="仿宋"/>
          <w:sz w:val="30"/>
          <w:szCs w:val="30"/>
        </w:rPr>
      </w:pPr>
      <w:r>
        <w:rPr>
          <w:rFonts w:hint="eastAsia" w:ascii="仿宋" w:hAnsi="仿宋" w:eastAsia="仿宋" w:cs="仿宋"/>
          <w:b/>
          <w:bCs/>
          <w:color w:val="000000"/>
          <w:kern w:val="0"/>
          <w:sz w:val="30"/>
          <w:szCs w:val="30"/>
        </w:rPr>
        <w:t>预算执行过程情况</w:t>
      </w:r>
    </w:p>
    <w:p>
      <w:pPr>
        <w:pStyle w:val="7"/>
        <w:pageBreakBefore w:val="0"/>
        <w:widowControl/>
        <w:kinsoku/>
        <w:wordWrap/>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1.资金管理</w:t>
      </w:r>
    </w:p>
    <w:p>
      <w:pPr>
        <w:pStyle w:val="7"/>
        <w:pageBreakBefore w:val="0"/>
        <w:widowControl/>
        <w:kinsoku/>
        <w:wordWrap/>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赫山区医保</w:t>
      </w:r>
      <w:r>
        <w:rPr>
          <w:rFonts w:hint="eastAsia" w:ascii="仿宋" w:hAnsi="仿宋" w:eastAsia="仿宋" w:cs="仿宋"/>
          <w:sz w:val="30"/>
          <w:szCs w:val="30"/>
          <w:lang w:eastAsia="zh-CN"/>
        </w:rPr>
        <w:t>中心</w:t>
      </w:r>
      <w:r>
        <w:rPr>
          <w:rFonts w:hint="eastAsia" w:ascii="仿宋" w:hAnsi="仿宋" w:eastAsia="仿宋" w:cs="仿宋"/>
          <w:sz w:val="30"/>
          <w:szCs w:val="30"/>
        </w:rPr>
        <w:t>贯彻执行国家和省、市各项工作部署，监督检查制度全覆盖，依法依规查处医疗保障领域违法违规行为，及时发现和纠正问题持续巩固打击欺诈骗保高压态势，确保医保基金（资金）安全。</w:t>
      </w:r>
    </w:p>
    <w:p>
      <w:pPr>
        <w:pStyle w:val="7"/>
        <w:pageBreakBefore w:val="0"/>
        <w:widowControl/>
        <w:kinsoku/>
        <w:wordWrap/>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2.组织管理</w:t>
      </w:r>
    </w:p>
    <w:p>
      <w:pPr>
        <w:pageBreakBefore w:val="0"/>
        <w:widowControl/>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赫山区医保</w:t>
      </w:r>
      <w:r>
        <w:rPr>
          <w:rFonts w:hint="eastAsia" w:ascii="仿宋" w:hAnsi="仿宋" w:eastAsia="仿宋" w:cs="仿宋"/>
          <w:sz w:val="30"/>
          <w:szCs w:val="30"/>
          <w:lang w:eastAsia="zh-CN"/>
        </w:rPr>
        <w:t>中心</w:t>
      </w:r>
      <w:r>
        <w:rPr>
          <w:rFonts w:hint="eastAsia" w:ascii="仿宋" w:hAnsi="仿宋" w:eastAsia="仿宋" w:cs="仿宋"/>
          <w:sz w:val="30"/>
          <w:szCs w:val="30"/>
        </w:rPr>
        <w:t>结合医疗保障相关职能整合，在确保覆盖范围、筹资政策、保障待遇、医保目录、定点管理、基金管理“六统一”的基础上，进一步提高运行质量和效率，确保医疗救助项目的管理制度健全有效。</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依据《湖南省人民政府关于贯彻落实&lt;社会救助暂行办法&gt;的实施意见》（湘政发〔2015〕31号）《民政部财政部 人力资源社会保障部国家卫生计生委保监会国务院扶贫办关于进一步加强医疗救助与城乡居民大病保险有效衔接的通知》（民发〔2017〕12号）和《省人社厅省财政厅省民政厅省卫计委保监会湖南监管局省扶贫办关于做好全省健康扶贫“一站式”结算工作的通知》（湘人社发〔2018〕46号）等相关文件，益阳市医保</w:t>
      </w:r>
      <w:r>
        <w:rPr>
          <w:rFonts w:hint="eastAsia" w:ascii="仿宋" w:hAnsi="仿宋" w:eastAsia="仿宋" w:cs="仿宋"/>
          <w:sz w:val="30"/>
          <w:szCs w:val="30"/>
          <w:lang w:eastAsia="zh-CN"/>
        </w:rPr>
        <w:t>中心</w:t>
      </w:r>
      <w:r>
        <w:rPr>
          <w:rFonts w:hint="eastAsia" w:ascii="仿宋" w:hAnsi="仿宋" w:eastAsia="仿宋" w:cs="仿宋"/>
          <w:sz w:val="30"/>
          <w:szCs w:val="30"/>
        </w:rPr>
        <w:t>建立健全了相应管理办法和监管措施，准确界定医疗救助对象，规范医疗救助内容和标准，完善医疗救助政策。</w:t>
      </w:r>
    </w:p>
    <w:p>
      <w:pPr>
        <w:pageBreakBefore w:val="0"/>
        <w:widowControl/>
        <w:kinsoku/>
        <w:wordWrap/>
        <w:topLinePunct w:val="0"/>
        <w:autoSpaceDE/>
        <w:autoSpaceDN/>
        <w:bidi w:val="0"/>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（三）预算支出产出情况</w:t>
      </w:r>
    </w:p>
    <w:p>
      <w:pPr>
        <w:pStyle w:val="5"/>
        <w:pageBreakBefore w:val="0"/>
        <w:widowControl/>
        <w:kinsoku/>
        <w:wordWrap/>
        <w:topLinePunct w:val="0"/>
        <w:autoSpaceDE/>
        <w:autoSpaceDN/>
        <w:bidi w:val="0"/>
        <w:spacing w:line="600" w:lineRule="exact"/>
        <w:ind w:firstLine="602" w:firstLineChars="200"/>
        <w:textAlignment w:val="auto"/>
        <w:rPr>
          <w:rFonts w:hint="eastAsia" w:ascii="仿宋" w:hAnsi="仿宋" w:eastAsia="仿宋" w:cs="仿宋"/>
          <w:bCs/>
          <w:sz w:val="30"/>
          <w:szCs w:val="30"/>
        </w:rPr>
      </w:pPr>
      <w:r>
        <w:rPr>
          <w:rFonts w:hint="eastAsia" w:ascii="仿宋" w:hAnsi="仿宋" w:eastAsia="仿宋" w:cs="仿宋"/>
          <w:sz w:val="30"/>
          <w:szCs w:val="30"/>
        </w:rPr>
        <w:t>1、产出数量</w:t>
      </w:r>
    </w:p>
    <w:p>
      <w:pPr>
        <w:pStyle w:val="5"/>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b w:val="0"/>
          <w:sz w:val="30"/>
          <w:szCs w:val="30"/>
        </w:rPr>
      </w:pPr>
      <w:r>
        <w:rPr>
          <w:rFonts w:hint="eastAsia" w:ascii="仿宋" w:hAnsi="仿宋" w:eastAsia="仿宋" w:cs="仿宋"/>
          <w:b w:val="0"/>
          <w:sz w:val="30"/>
          <w:szCs w:val="30"/>
        </w:rPr>
        <w:t>（1）医疗救助对象人次规模</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2021年度益阳市赫山区医疗救助对象人次规模人68004人次，其中资助参保19400人，住院救助人次数31274‬人次，门诊救助人次数17330人次。</w:t>
      </w:r>
    </w:p>
    <w:p>
      <w:pPr>
        <w:pStyle w:val="8"/>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（2）重特大疾病医疗救助人次占直接救助人次比重</w:t>
      </w:r>
    </w:p>
    <w:p>
      <w:pPr>
        <w:pStyle w:val="6"/>
        <w:pageBreakBefore w:val="0"/>
        <w:widowControl/>
        <w:kinsoku/>
        <w:wordWrap/>
        <w:topLinePunct w:val="0"/>
        <w:autoSpaceDE/>
        <w:autoSpaceDN/>
        <w:bidi w:val="0"/>
        <w:spacing w:line="60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2021年赫山区重特大疾病医疗救助人次占直接救助人次比重40.65%，大于28%的标准值，达到年度绩效目标。</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（3）资金累计结余占筹集资金总额的比重</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2021年赫山区医保</w:t>
      </w:r>
      <w:r>
        <w:rPr>
          <w:rFonts w:hint="eastAsia" w:ascii="仿宋" w:hAnsi="仿宋" w:eastAsia="仿宋" w:cs="仿宋"/>
          <w:sz w:val="30"/>
          <w:szCs w:val="30"/>
          <w:lang w:eastAsia="zh-CN"/>
        </w:rPr>
        <w:t>中心</w:t>
      </w:r>
      <w:r>
        <w:rPr>
          <w:rFonts w:hint="eastAsia" w:ascii="仿宋" w:hAnsi="仿宋" w:eastAsia="仿宋" w:cs="仿宋"/>
          <w:sz w:val="30"/>
          <w:szCs w:val="30"/>
        </w:rPr>
        <w:t>基金累计结余占筹集基金总额的比重3.96%，小于15%的标准值，达到年度绩效目标。</w:t>
      </w:r>
    </w:p>
    <w:p>
      <w:pPr>
        <w:pStyle w:val="5"/>
        <w:pageBreakBefore w:val="0"/>
        <w:widowControl/>
        <w:numPr>
          <w:ilvl w:val="0"/>
          <w:numId w:val="4"/>
        </w:numPr>
        <w:kinsoku/>
        <w:wordWrap/>
        <w:topLinePunct w:val="0"/>
        <w:autoSpaceDE/>
        <w:autoSpaceDN/>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sz w:val="30"/>
          <w:szCs w:val="30"/>
        </w:rPr>
        <w:t>产出质量</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（1）住院医疗费用救助比例≥70%</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文件要求赫山区重点救助对象政策范围内住院自付费用年度限额内救助比率75.35%。赫山区困难群众区域内住院享受“一站式”结算31274人次，报销金额14,664.05万元，综合保障后实际报销比例达到90.56%。区域外住院享受“一站式”结算520人次，报销金额444.30万元。重点救助对象政策范围内住院自付费用年度限额内金额1177.43万元，医疗救助资金支付1177.43元。达到年度绩效目标。</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（2）“一站式”结算覆盖地区</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2021年，全区全部纳入健康扶贫“一站式”结算范围，出院时可直接在医院的结算窗口办理完所有报销手续，达到年度绩效目标。</w:t>
      </w:r>
    </w:p>
    <w:p>
      <w:pPr>
        <w:pageBreakBefore w:val="0"/>
        <w:widowControl/>
        <w:kinsoku/>
        <w:wordWrap/>
        <w:topLinePunct w:val="0"/>
        <w:autoSpaceDE/>
        <w:autoSpaceDN/>
        <w:bidi w:val="0"/>
        <w:spacing w:line="600" w:lineRule="exact"/>
        <w:ind w:firstLine="602" w:firstLineChars="200"/>
        <w:jc w:val="left"/>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（四）预算支出效益情况</w:t>
      </w:r>
    </w:p>
    <w:p>
      <w:pPr>
        <w:pStyle w:val="5"/>
        <w:pageBreakBefore w:val="0"/>
        <w:widowControl/>
        <w:kinsoku/>
        <w:wordWrap/>
        <w:topLinePunct w:val="0"/>
        <w:autoSpaceDE/>
        <w:autoSpaceDN/>
        <w:bidi w:val="0"/>
        <w:spacing w:line="600" w:lineRule="exact"/>
        <w:ind w:firstLine="602" w:firstLineChars="200"/>
        <w:textAlignment w:val="auto"/>
        <w:rPr>
          <w:rFonts w:hint="eastAsia" w:ascii="仿宋" w:hAnsi="仿宋" w:eastAsia="仿宋" w:cs="仿宋"/>
          <w:bCs/>
          <w:sz w:val="30"/>
          <w:szCs w:val="30"/>
        </w:rPr>
      </w:pPr>
      <w:r>
        <w:rPr>
          <w:rFonts w:hint="eastAsia" w:ascii="仿宋" w:hAnsi="仿宋" w:eastAsia="仿宋" w:cs="仿宋"/>
          <w:sz w:val="30"/>
          <w:szCs w:val="30"/>
        </w:rPr>
        <w:t>1.社会效益</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（1）医疗救助对象覆盖范围</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2021年，赫山区医保</w:t>
      </w:r>
      <w:r>
        <w:rPr>
          <w:rFonts w:hint="eastAsia" w:ascii="仿宋" w:hAnsi="仿宋" w:eastAsia="仿宋" w:cs="仿宋"/>
          <w:sz w:val="30"/>
          <w:szCs w:val="30"/>
          <w:lang w:eastAsia="zh-CN"/>
        </w:rPr>
        <w:t>中心</w:t>
      </w:r>
      <w:r>
        <w:rPr>
          <w:rFonts w:hint="eastAsia" w:ascii="仿宋" w:hAnsi="仿宋" w:eastAsia="仿宋" w:cs="仿宋"/>
          <w:sz w:val="30"/>
          <w:szCs w:val="30"/>
        </w:rPr>
        <w:t>救助对象覆盖特困供养人员、孤儿、事实无人抚养儿童、低保、重度残疾人、返贫监测对象，当地政府规定的其他特殊困难人员，达到了指标值。</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（2）困难群众看病就医方便程度</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困难群众看病就医方便程度较上年提高5%及以上。2021年，赫山区健康扶贫“一站式”结算16,456人次。</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（3）困难群众就医负担减轻程度</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困难群众就医负担减轻程度较上年提高5%及以上。2021年赫山区健康扶贫“一站式”结算医疗救助支出679.36万元，其中住院救助支出590.61万元，门诊救助支出88.75万元，有效的减轻困难群众就医的负担。</w:t>
      </w:r>
    </w:p>
    <w:p>
      <w:pPr>
        <w:pStyle w:val="5"/>
        <w:pageBreakBefore w:val="0"/>
        <w:widowControl/>
        <w:kinsoku/>
        <w:wordWrap/>
        <w:topLinePunct w:val="0"/>
        <w:autoSpaceDE/>
        <w:autoSpaceDN/>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sz w:val="30"/>
          <w:szCs w:val="30"/>
        </w:rPr>
        <w:t>2.可持续性</w:t>
      </w:r>
    </w:p>
    <w:p>
      <w:pPr>
        <w:pageBreakBefore w:val="0"/>
        <w:widowControl/>
        <w:tabs>
          <w:tab w:val="left" w:pos="312"/>
        </w:tabs>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（1）对健全社会救助体系的影响</w:t>
      </w:r>
    </w:p>
    <w:p>
      <w:pPr>
        <w:pageBreakBefore w:val="0"/>
        <w:widowControl/>
        <w:tabs>
          <w:tab w:val="left" w:pos="312"/>
        </w:tabs>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pacing w:val="-2"/>
          <w:sz w:val="30"/>
          <w:szCs w:val="30"/>
        </w:rPr>
      </w:pPr>
      <w:r>
        <w:rPr>
          <w:rFonts w:hint="eastAsia" w:ascii="仿宋" w:hAnsi="仿宋" w:eastAsia="仿宋" w:cs="仿宋"/>
          <w:sz w:val="30"/>
          <w:szCs w:val="30"/>
        </w:rPr>
        <w:t>对健全社会救助体系的影响成效明显。赫山区</w:t>
      </w:r>
      <w:r>
        <w:rPr>
          <w:rFonts w:hint="eastAsia" w:ascii="仿宋" w:hAnsi="仿宋" w:eastAsia="仿宋" w:cs="仿宋"/>
          <w:spacing w:val="-2"/>
          <w:sz w:val="30"/>
          <w:szCs w:val="30"/>
        </w:rPr>
        <w:t>通过资助救助，解决了</w:t>
      </w:r>
      <w:r>
        <w:rPr>
          <w:rFonts w:hint="eastAsia" w:ascii="仿宋" w:hAnsi="仿宋" w:eastAsia="仿宋" w:cs="仿宋"/>
          <w:sz w:val="30"/>
          <w:szCs w:val="30"/>
        </w:rPr>
        <w:t>特困供养人员、孤儿、事实无人抚养儿童、低保、重度残疾人、返贫监测对象、三、四级残疾人</w:t>
      </w:r>
      <w:r>
        <w:rPr>
          <w:rFonts w:hint="eastAsia" w:ascii="仿宋" w:hAnsi="仿宋" w:eastAsia="仿宋" w:cs="仿宋"/>
          <w:spacing w:val="-2"/>
          <w:sz w:val="30"/>
          <w:szCs w:val="30"/>
        </w:rPr>
        <w:t>的参保困难问题，有效减轻了困难群众负担；通过开展重特大疾病救助工作，缓解了困难群众患重大疾病的经济负担，增加了重特大疾病医疗保障的综合效能；“一站式”医疗救助服务平台的建立及使用，在最大程度上方便了群众看病及报销医疗费用。</w:t>
      </w:r>
    </w:p>
    <w:p>
      <w:pPr>
        <w:pageBreakBefore w:val="0"/>
        <w:widowControl/>
        <w:tabs>
          <w:tab w:val="left" w:pos="312"/>
        </w:tabs>
        <w:kinsoku/>
        <w:wordWrap/>
        <w:topLinePunct w:val="0"/>
        <w:autoSpaceDE/>
        <w:autoSpaceDN/>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（2）对健全社会保障体系的作用</w:t>
      </w:r>
    </w:p>
    <w:p>
      <w:pPr>
        <w:pStyle w:val="7"/>
        <w:pageBreakBefore w:val="0"/>
        <w:widowControl/>
        <w:kinsoku/>
        <w:wordWrap/>
        <w:overflowPunct w:val="0"/>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对健全社会保障体系的作用成效明显。益阳市有效的缓解了城乡救助对象 “看病难、看病贵”和“因病致贫、因病返贪”的问题，提高了医疗保障的水平，在促进城乡社会协调发展方面发挥了良好的社会效益。尤其是对重点救助对象之外的边缘户以及突发性因重病造成家庭生活困难的群众，发挥了医疗救助在“托底线、救急难”方面的重要作用，提高了人民群众的获得感。</w:t>
      </w:r>
    </w:p>
    <w:p>
      <w:pPr>
        <w:pStyle w:val="5"/>
        <w:pageBreakBefore w:val="0"/>
        <w:widowControl/>
        <w:kinsoku/>
        <w:wordWrap/>
        <w:topLinePunct w:val="0"/>
        <w:autoSpaceDE/>
        <w:autoSpaceDN/>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sz w:val="30"/>
          <w:szCs w:val="30"/>
        </w:rPr>
        <w:t>3.服务对象工作满意度</w:t>
      </w:r>
    </w:p>
    <w:p>
      <w:pPr>
        <w:pStyle w:val="7"/>
        <w:pageBreakBefore w:val="0"/>
        <w:widowControl/>
        <w:kinsoku/>
        <w:wordWrap/>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赫山区医疗保障系统贯彻落实医疗救助政策，加强规范管理，筑牢基本医疗保险、大病保险、医疗救助有机衔接的“三重保障”防线，最大限度减轻困难群众医疗费用支出负担，较好缓解了困难群众“看病难、看病贵”的问题。参保对象对政策、医保经办和服务的满意度达95%以上。</w:t>
      </w:r>
    </w:p>
    <w:p>
      <w:pPr>
        <w:pageBreakBefore w:val="0"/>
        <w:widowControl/>
        <w:kinsoku/>
        <w:wordWrap/>
        <w:topLinePunct w:val="0"/>
        <w:autoSpaceDE/>
        <w:autoSpaceDN/>
        <w:bidi w:val="0"/>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五、主要经验及做法、存在的问题及原因分析</w:t>
      </w:r>
    </w:p>
    <w:p>
      <w:pPr>
        <w:pageBreakBefore w:val="0"/>
        <w:widowControl/>
        <w:kinsoku/>
        <w:wordWrap/>
        <w:topLinePunct w:val="0"/>
        <w:autoSpaceDE/>
        <w:autoSpaceDN/>
        <w:bidi w:val="0"/>
        <w:spacing w:line="600" w:lineRule="exact"/>
        <w:ind w:firstLine="600" w:firstLineChars="200"/>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rPr>
        <w:t>通过绩效评价发现，赫山区医保</w:t>
      </w:r>
      <w:r>
        <w:rPr>
          <w:rFonts w:hint="eastAsia" w:ascii="仿宋" w:hAnsi="仿宋" w:eastAsia="仿宋" w:cs="仿宋"/>
          <w:sz w:val="30"/>
          <w:szCs w:val="30"/>
          <w:lang w:eastAsia="zh-CN"/>
        </w:rPr>
        <w:t>中心</w:t>
      </w:r>
      <w:r>
        <w:rPr>
          <w:rFonts w:hint="eastAsia" w:ascii="仿宋" w:hAnsi="仿宋" w:eastAsia="仿宋" w:cs="仿宋"/>
          <w:sz w:val="30"/>
          <w:szCs w:val="30"/>
        </w:rPr>
        <w:t>医疗救助工作还存在以下问题：</w:t>
      </w:r>
    </w:p>
    <w:p>
      <w:pPr>
        <w:pageBreakBefore w:val="0"/>
        <w:widowControl/>
        <w:kinsoku/>
        <w:wordWrap/>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（一）基金监控有效性待健全。</w:t>
      </w:r>
      <w:r>
        <w:rPr>
          <w:rFonts w:hint="eastAsia" w:ascii="仿宋" w:hAnsi="仿宋" w:eastAsia="仿宋" w:cs="仿宋"/>
          <w:bCs/>
          <w:sz w:val="30"/>
          <w:szCs w:val="30"/>
        </w:rPr>
        <w:t>赫山区</w:t>
      </w:r>
      <w:r>
        <w:rPr>
          <w:rFonts w:hint="eastAsia" w:ascii="仿宋" w:hAnsi="仿宋" w:eastAsia="仿宋" w:cs="仿宋"/>
          <w:sz w:val="30"/>
          <w:szCs w:val="30"/>
        </w:rPr>
        <w:t>医疗保障部门对本地区医疗救助资金的绩效运行的监管工作有待加强。</w:t>
      </w:r>
    </w:p>
    <w:p>
      <w:pPr>
        <w:pageBreakBefore w:val="0"/>
        <w:widowControl/>
        <w:kinsoku/>
        <w:wordWrap/>
        <w:topLinePunct w:val="0"/>
        <w:autoSpaceDE/>
        <w:autoSpaceDN/>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（二）绩效评价机制待健全。</w:t>
      </w:r>
      <w:bookmarkStart w:id="6" w:name="_Hlk88336578"/>
      <w:r>
        <w:rPr>
          <w:rFonts w:hint="eastAsia" w:ascii="仿宋" w:hAnsi="仿宋" w:eastAsia="仿宋" w:cs="仿宋"/>
          <w:sz w:val="30"/>
          <w:szCs w:val="30"/>
        </w:rPr>
        <w:t>医疗保障部门项目效绩监控有待加强，绩效评价报告有待规范，评价结果应用及时性待加强。</w:t>
      </w:r>
    </w:p>
    <w:p>
      <w:pPr>
        <w:pageBreakBefore w:val="0"/>
        <w:widowControl/>
        <w:kinsoku/>
        <w:wordWrap/>
        <w:topLinePunct w:val="0"/>
        <w:autoSpaceDE/>
        <w:autoSpaceDN/>
        <w:bidi w:val="0"/>
        <w:spacing w:line="60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六、有关建议</w:t>
      </w:r>
    </w:p>
    <w:p>
      <w:pPr>
        <w:pStyle w:val="7"/>
        <w:pageBreakBefore w:val="0"/>
        <w:widowControl/>
        <w:kinsoku/>
        <w:wordWrap/>
        <w:topLinePunct w:val="0"/>
        <w:autoSpaceDE/>
        <w:autoSpaceDN/>
        <w:bidi w:val="0"/>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shd w:val="clear" w:color="auto" w:fill="FFFFFF"/>
        </w:rPr>
        <w:t>健全绩效监控与评价机制。</w:t>
      </w:r>
      <w:r>
        <w:rPr>
          <w:rFonts w:hint="eastAsia" w:ascii="仿宋" w:hAnsi="仿宋" w:eastAsia="仿宋" w:cs="仿宋"/>
          <w:sz w:val="30"/>
          <w:szCs w:val="30"/>
        </w:rPr>
        <w:t>科学合理设置绩效目标，严格做好绩效监控，逐步建立重大政策、项目绩效跟踪机制。对预算绩效目标实现程度和预算执行进度实行“双监控”，加强预算执行监测，科学使用资金，切实提高预算执行效率。强化评价结果应用，逐步建立健全绩效评价结果反馈制度和绩效问题整改责任制，形成反馈、整改、提升绩效的良性循环。</w:t>
      </w:r>
    </w:p>
    <w:bookmarkEnd w:id="6"/>
    <w:p>
      <w:pPr>
        <w:pStyle w:val="7"/>
        <w:ind w:firstLine="640"/>
      </w:pPr>
    </w:p>
    <w:p>
      <w:pPr>
        <w:pStyle w:val="7"/>
        <w:ind w:firstLine="640"/>
      </w:pPr>
    </w:p>
    <w:p>
      <w:pPr>
        <w:pStyle w:val="7"/>
        <w:ind w:firstLine="640"/>
      </w:pPr>
    </w:p>
    <w:p>
      <w:pPr>
        <w:pStyle w:val="7"/>
        <w:ind w:firstLine="640"/>
      </w:pPr>
    </w:p>
    <w:p>
      <w:pPr>
        <w:pStyle w:val="7"/>
        <w:ind w:firstLine="640"/>
      </w:pPr>
    </w:p>
    <w:p>
      <w:pPr>
        <w:pStyle w:val="7"/>
        <w:ind w:firstLine="640"/>
      </w:pPr>
    </w:p>
    <w:p>
      <w:pPr>
        <w:pStyle w:val="7"/>
        <w:ind w:firstLine="640"/>
      </w:pPr>
    </w:p>
    <w:p>
      <w:pPr>
        <w:pStyle w:val="7"/>
        <w:ind w:firstLine="640"/>
      </w:pPr>
    </w:p>
    <w:p>
      <w:pPr>
        <w:pStyle w:val="7"/>
        <w:ind w:firstLine="640"/>
      </w:pPr>
    </w:p>
    <w:p>
      <w:pPr>
        <w:pStyle w:val="7"/>
        <w:ind w:firstLine="640"/>
      </w:pPr>
    </w:p>
    <w:p>
      <w:pPr>
        <w:pStyle w:val="7"/>
        <w:ind w:firstLine="640"/>
      </w:pPr>
      <w:bookmarkStart w:id="7" w:name="_GoBack"/>
      <w:bookmarkEnd w:id="7"/>
    </w:p>
    <w:p>
      <w:pPr>
        <w:pStyle w:val="7"/>
        <w:ind w:firstLine="640"/>
      </w:pPr>
    </w:p>
    <w:p>
      <w:pPr>
        <w:spacing w:afterLines="50" w:line="400" w:lineRule="exact"/>
        <w:ind w:firstLine="0" w:firstLineChars="0"/>
        <w:jc w:val="center"/>
        <w:rPr>
          <w:rFonts w:ascii="方正小标宋简体" w:hAnsi="Times New Roman" w:eastAsia="方正小标宋简体" w:cs="方正小标宋_GBK"/>
          <w:sz w:val="36"/>
          <w:szCs w:val="36"/>
        </w:rPr>
      </w:pPr>
      <w:r>
        <w:rPr>
          <w:rFonts w:hint="eastAsia" w:ascii="方正小标宋简体" w:hAnsi="Times New Roman" w:eastAsia="方正小标宋简体" w:cs="方正小标宋_GBK"/>
          <w:sz w:val="36"/>
          <w:szCs w:val="36"/>
        </w:rPr>
        <w:t>202</w:t>
      </w:r>
      <w:r>
        <w:rPr>
          <w:rFonts w:hint="eastAsia" w:ascii="方正小标宋简体" w:hAnsi="Times New Roman" w:eastAsia="方正小标宋简体" w:cs="方正小标宋_GBK"/>
          <w:sz w:val="36"/>
          <w:szCs w:val="36"/>
          <w:lang w:val="en-US" w:eastAsia="zh-CN"/>
        </w:rPr>
        <w:t>1</w:t>
      </w:r>
      <w:r>
        <w:rPr>
          <w:rFonts w:hint="eastAsia" w:ascii="方正小标宋简体" w:hAnsi="Times New Roman" w:eastAsia="方正小标宋简体" w:cs="方正小标宋_GBK"/>
          <w:sz w:val="36"/>
          <w:szCs w:val="36"/>
        </w:rPr>
        <w:t>年度项目支出绩效自评指标计分表</w:t>
      </w:r>
    </w:p>
    <w:tbl>
      <w:tblPr>
        <w:tblStyle w:val="9"/>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98"/>
        <w:gridCol w:w="640"/>
        <w:gridCol w:w="2600"/>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一级</w:t>
            </w:r>
            <w:r>
              <w:rPr>
                <w:rFonts w:ascii="宋体" w:hAnsi="Times New Roman" w:eastAsia="宋体" w:cs="Times New Roman"/>
                <w:b/>
                <w:bCs/>
                <w:sz w:val="21"/>
              </w:rPr>
              <w:br w:type="textWrapping"/>
            </w:r>
            <w:r>
              <w:rPr>
                <w:rFonts w:hint="eastAsia" w:ascii="宋体" w:hAnsi="宋体" w:eastAsia="宋体" w:cs="宋体"/>
                <w:b/>
                <w:bCs/>
                <w:sz w:val="21"/>
              </w:rPr>
              <w:t>指标</w:t>
            </w:r>
          </w:p>
        </w:tc>
        <w:tc>
          <w:tcPr>
            <w:tcW w:w="247"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二级</w:t>
            </w:r>
            <w:r>
              <w:rPr>
                <w:rFonts w:ascii="宋体" w:hAnsi="Times New Roman" w:eastAsia="宋体" w:cs="Times New Roman"/>
                <w:b/>
                <w:bCs/>
                <w:sz w:val="21"/>
              </w:rPr>
              <w:br w:type="textWrapping"/>
            </w:r>
            <w:r>
              <w:rPr>
                <w:rFonts w:hint="eastAsia" w:ascii="宋体" w:hAnsi="宋体" w:eastAsia="宋体" w:cs="宋体"/>
                <w:b/>
                <w:bCs/>
                <w:sz w:val="21"/>
              </w:rPr>
              <w:t>指标</w:t>
            </w:r>
          </w:p>
        </w:tc>
        <w:tc>
          <w:tcPr>
            <w:tcW w:w="454"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三级指标</w:t>
            </w:r>
          </w:p>
        </w:tc>
        <w:tc>
          <w:tcPr>
            <w:tcW w:w="294" w:type="pct"/>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自评分</w:t>
            </w:r>
          </w:p>
        </w:tc>
        <w:tc>
          <w:tcPr>
            <w:tcW w:w="1428"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指标解释</w:t>
            </w:r>
          </w:p>
        </w:tc>
        <w:tc>
          <w:tcPr>
            <w:tcW w:w="2282"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b/>
                <w:bCs/>
                <w:sz w:val="21"/>
              </w:rPr>
            </w:pPr>
            <w:r>
              <w:rPr>
                <w:rFonts w:hint="eastAsia" w:ascii="宋体" w:hAnsi="宋体" w:eastAsia="宋体" w:cs="宋体"/>
                <w:b/>
                <w:bCs/>
                <w:sz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决</w:t>
            </w:r>
            <w:r>
              <w:rPr>
                <w:rFonts w:ascii="宋体" w:hAnsi="宋体" w:eastAsia="宋体" w:cs="宋体"/>
                <w:sz w:val="21"/>
              </w:rPr>
              <w:t xml:space="preserve">  </w:t>
            </w:r>
            <w:r>
              <w:rPr>
                <w:rFonts w:hint="eastAsia" w:ascii="宋体" w:hAnsi="宋体" w:eastAsia="宋体" w:cs="宋体"/>
                <w:sz w:val="21"/>
              </w:rPr>
              <w:t>策（</w:t>
            </w:r>
            <w:r>
              <w:rPr>
                <w:rFonts w:ascii="宋体" w:hAnsi="宋体" w:eastAsia="宋体" w:cs="宋体"/>
                <w:sz w:val="21"/>
              </w:rPr>
              <w:t>20</w:t>
            </w:r>
            <w:r>
              <w:rPr>
                <w:rFonts w:hint="eastAsia" w:ascii="宋体" w:hAnsi="宋体" w:eastAsia="宋体" w:cs="宋体"/>
                <w:sz w:val="21"/>
              </w:rPr>
              <w:t>分）</w:t>
            </w:r>
          </w:p>
        </w:tc>
        <w:tc>
          <w:tcPr>
            <w:tcW w:w="247" w:type="pct"/>
            <w:vMerge w:val="restar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预算支出决策</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（项目立项）（</w:t>
            </w:r>
            <w:r>
              <w:rPr>
                <w:rFonts w:ascii="宋体" w:hAnsi="宋体" w:eastAsia="宋体" w:cs="宋体"/>
                <w:sz w:val="21"/>
              </w:rPr>
              <w:t>8</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预算支出决策（项目立项）依据</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充分性（</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①决策（立项）是否符合国家相关法律法规、国民经济发展规划和相关政策；</w:t>
            </w:r>
            <w:r>
              <w:rPr>
                <w:rFonts w:ascii="宋体" w:hAnsi="Times New Roman" w:eastAsia="宋体" w:cs="Times New Roman"/>
                <w:sz w:val="21"/>
              </w:rPr>
              <w:br w:type="textWrapping"/>
            </w:r>
            <w:r>
              <w:rPr>
                <w:rFonts w:hint="eastAsia" w:ascii="宋体" w:hAnsi="宋体" w:eastAsia="宋体" w:cs="宋体"/>
                <w:sz w:val="21"/>
              </w:rPr>
              <w:t>②决策（立项）是否符合行业发展规划和政策要求；</w:t>
            </w:r>
            <w:r>
              <w:rPr>
                <w:rFonts w:ascii="宋体" w:hAnsi="Times New Roman" w:eastAsia="宋体" w:cs="Times New Roman"/>
                <w:sz w:val="21"/>
              </w:rPr>
              <w:br w:type="textWrapping"/>
            </w:r>
            <w:r>
              <w:rPr>
                <w:rFonts w:hint="eastAsia" w:ascii="宋体" w:hAnsi="宋体" w:eastAsia="宋体" w:cs="宋体"/>
                <w:sz w:val="21"/>
              </w:rPr>
              <w:t>③决策（立项）是否与部门职责范围相符，属于部门履职所需；</w:t>
            </w:r>
            <w:r>
              <w:rPr>
                <w:rFonts w:ascii="宋体" w:hAnsi="Times New Roman" w:eastAsia="宋体" w:cs="Times New Roman"/>
                <w:sz w:val="21"/>
              </w:rPr>
              <w:br w:type="textWrapping"/>
            </w:r>
            <w:r>
              <w:rPr>
                <w:rFonts w:hint="eastAsia" w:ascii="宋体" w:hAnsi="宋体" w:eastAsia="宋体" w:cs="宋体"/>
                <w:sz w:val="21"/>
              </w:rPr>
              <w:t>④预算支出是否属于公共财政支持范围，是否符合中央、地方事权支出责任划分原则；</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p>
        </w:tc>
        <w:tc>
          <w:tcPr>
            <w:tcW w:w="247" w:type="pct"/>
            <w:vMerge w:val="continue"/>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决策(立项）程序规范性(</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left="105" w:leftChars="50" w:firstLine="0" w:firstLineChars="0"/>
              <w:rPr>
                <w:rFonts w:ascii="宋体" w:hAnsi="Times New Roman" w:eastAsia="宋体" w:cs="Times New Roman"/>
                <w:sz w:val="21"/>
              </w:rPr>
            </w:pPr>
            <w:r>
              <w:rPr>
                <w:rFonts w:hint="eastAsia" w:ascii="宋体" w:hAnsi="宋体" w:eastAsia="宋体" w:cs="宋体"/>
                <w:sz w:val="21"/>
              </w:rPr>
              <w:t>①预算支出是否按照规定的程序申请设立；</w:t>
            </w:r>
          </w:p>
          <w:p>
            <w:pPr>
              <w:spacing w:line="240" w:lineRule="exact"/>
              <w:ind w:left="105" w:leftChars="50" w:firstLine="0" w:firstLineChars="0"/>
              <w:rPr>
                <w:rFonts w:ascii="宋体" w:hAnsi="Times New Roman" w:eastAsia="宋体" w:cs="Times New Roman"/>
                <w:sz w:val="21"/>
              </w:rPr>
            </w:pPr>
            <w:r>
              <w:rPr>
                <w:rFonts w:hint="eastAsia" w:ascii="宋体" w:hAnsi="宋体" w:eastAsia="宋体" w:cs="宋体"/>
                <w:sz w:val="21"/>
              </w:rPr>
              <w:t>②审批文件、材料是否符合相关要求；</w:t>
            </w:r>
          </w:p>
          <w:p>
            <w:pPr>
              <w:spacing w:line="240" w:lineRule="exact"/>
              <w:ind w:left="105" w:leftChars="50" w:firstLine="0" w:firstLineChars="0"/>
              <w:rPr>
                <w:rFonts w:ascii="宋体" w:hAnsi="Times New Roman" w:eastAsia="宋体" w:cs="Times New Roman"/>
                <w:sz w:val="21"/>
              </w:rPr>
            </w:pPr>
            <w:r>
              <w:rPr>
                <w:rFonts w:hint="eastAsia" w:ascii="宋体" w:hAnsi="宋体" w:eastAsia="宋体" w:cs="宋体"/>
                <w:sz w:val="21"/>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ind w:firstLine="0" w:firstLineChars="0"/>
              <w:rPr>
                <w:rFonts w:ascii="宋体" w:hAnsi="Times New Roman" w:eastAsia="宋体" w:cs="Times New Roman"/>
                <w:sz w:val="21"/>
              </w:rPr>
            </w:pPr>
          </w:p>
        </w:tc>
        <w:tc>
          <w:tcPr>
            <w:tcW w:w="247" w:type="pct"/>
            <w:vMerge w:val="restart"/>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绩效</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目标（</w:t>
            </w:r>
            <w:r>
              <w:rPr>
                <w:rFonts w:ascii="宋体" w:hAnsi="宋体" w:eastAsia="宋体" w:cs="宋体"/>
                <w:sz w:val="21"/>
              </w:rPr>
              <w:t>6</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绩效目标</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合理性（</w:t>
            </w:r>
            <w:r>
              <w:rPr>
                <w:rFonts w:ascii="宋体" w:hAnsi="宋体" w:eastAsia="宋体" w:cs="宋体"/>
                <w:sz w:val="21"/>
              </w:rPr>
              <w:t>3</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（如未设定预算绩效目标，也可考核其他工作任务目标）</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①预算支出是否有绩效目标；</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②预算支出绩效目标与实际工作内容是否具有相关性；</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firstLine="0" w:firstLineChars="0"/>
              <w:rPr>
                <w:rFonts w:ascii="宋体" w:hAnsi="Times New Roman" w:eastAsia="宋体" w:cs="Times New Roman"/>
                <w:sz w:val="21"/>
              </w:rPr>
            </w:pPr>
          </w:p>
        </w:tc>
        <w:tc>
          <w:tcPr>
            <w:tcW w:w="247" w:type="pct"/>
            <w:vMerge w:val="continue"/>
            <w:vAlign w:val="center"/>
          </w:tcPr>
          <w:p>
            <w:pPr>
              <w:spacing w:line="240" w:lineRule="exact"/>
              <w:ind w:firstLine="0" w:firstLineChars="0"/>
              <w:jc w:val="center"/>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绩效指标</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明确性（</w:t>
            </w:r>
            <w:r>
              <w:rPr>
                <w:rFonts w:ascii="宋体" w:hAnsi="宋体" w:eastAsia="宋体" w:cs="宋体"/>
                <w:sz w:val="21"/>
              </w:rPr>
              <w:t>3</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①是否将预算支出绩效目标细化分解为具体的绩效指标；</w:t>
            </w:r>
            <w:r>
              <w:rPr>
                <w:rFonts w:ascii="宋体" w:hAnsi="Times New Roman" w:eastAsia="宋体" w:cs="Times New Roman"/>
                <w:sz w:val="21"/>
              </w:rPr>
              <w:br w:type="textWrapping"/>
            </w:r>
            <w:r>
              <w:rPr>
                <w:rFonts w:hint="eastAsia" w:ascii="宋体" w:hAnsi="宋体" w:eastAsia="宋体" w:cs="宋体"/>
                <w:sz w:val="21"/>
              </w:rPr>
              <w:t>②是否通过清晰、可衡量的指标值予以体现；</w:t>
            </w:r>
            <w:r>
              <w:rPr>
                <w:rFonts w:ascii="宋体" w:hAnsi="Times New Roman" w:eastAsia="宋体" w:cs="Times New Roman"/>
                <w:sz w:val="21"/>
              </w:rPr>
              <w:br w:type="textWrapping"/>
            </w:r>
            <w:r>
              <w:rPr>
                <w:rFonts w:hint="eastAsia" w:ascii="宋体" w:hAnsi="宋体" w:eastAsia="宋体" w:cs="宋体"/>
                <w:sz w:val="21"/>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ind w:firstLine="0" w:firstLineChars="0"/>
              <w:rPr>
                <w:rFonts w:ascii="宋体" w:hAnsi="Times New Roman" w:eastAsia="宋体" w:cs="Times New Roman"/>
                <w:sz w:val="21"/>
              </w:rPr>
            </w:pPr>
          </w:p>
        </w:tc>
        <w:tc>
          <w:tcPr>
            <w:tcW w:w="247" w:type="pct"/>
            <w:vMerge w:val="restart"/>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资金</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投入（</w:t>
            </w:r>
            <w:r>
              <w:rPr>
                <w:rFonts w:ascii="宋体" w:hAnsi="宋体" w:eastAsia="宋体" w:cs="宋体"/>
                <w:sz w:val="21"/>
              </w:rPr>
              <w:t>6</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预算编制</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科学性（</w:t>
            </w:r>
            <w:r>
              <w:rPr>
                <w:rFonts w:ascii="宋体" w:hAnsi="宋体" w:eastAsia="宋体" w:cs="宋体"/>
                <w:sz w:val="21"/>
              </w:rPr>
              <w:t>3</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①预算编制是否经过科学论证；</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②预算内容与支出内容是否匹配；</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③预算额度测算依据是否充分，是否按照标准编制；</w:t>
            </w:r>
          </w:p>
          <w:p>
            <w:pPr>
              <w:spacing w:line="22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firstLine="0" w:firstLineChars="0"/>
              <w:rPr>
                <w:rFonts w:ascii="宋体" w:hAnsi="Times New Roman" w:eastAsia="宋体" w:cs="Times New Roman"/>
                <w:sz w:val="21"/>
              </w:rPr>
            </w:pPr>
          </w:p>
        </w:tc>
        <w:tc>
          <w:tcPr>
            <w:tcW w:w="247" w:type="pct"/>
            <w:vMerge w:val="continue"/>
            <w:vAlign w:val="center"/>
          </w:tcPr>
          <w:p>
            <w:pPr>
              <w:spacing w:line="240" w:lineRule="exact"/>
              <w:ind w:firstLine="0" w:firstLineChars="0"/>
              <w:jc w:val="center"/>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资金分配</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合理性（</w:t>
            </w:r>
            <w:r>
              <w:rPr>
                <w:rFonts w:ascii="宋体" w:hAnsi="宋体" w:eastAsia="宋体" w:cs="宋体"/>
                <w:sz w:val="21"/>
              </w:rPr>
              <w:t>3</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right="105" w:rightChars="50" w:firstLine="105" w:firstLineChars="50"/>
              <w:rPr>
                <w:rFonts w:ascii="宋体" w:hAnsi="Times New Roman" w:eastAsia="宋体" w:cs="Times New Roman"/>
                <w:sz w:val="21"/>
              </w:rPr>
            </w:pPr>
            <w:r>
              <w:rPr>
                <w:rFonts w:hint="eastAsia" w:ascii="宋体" w:hAnsi="宋体" w:eastAsia="宋体" w:cs="宋体"/>
                <w:sz w:val="21"/>
              </w:rPr>
              <w:t>①预算资金分配依据是否充分；</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过</w:t>
            </w:r>
          </w:p>
          <w:p>
            <w:pPr>
              <w:spacing w:line="240" w:lineRule="exact"/>
              <w:ind w:firstLine="0" w:firstLineChars="0"/>
              <w:jc w:val="center"/>
              <w:rPr>
                <w:rFonts w:ascii="宋体" w:hAnsi="Times New Roman" w:eastAsia="宋体" w:cs="Times New Roman"/>
                <w:sz w:val="21"/>
              </w:rPr>
            </w:pPr>
          </w:p>
          <w:p>
            <w:pPr>
              <w:spacing w:line="240" w:lineRule="exact"/>
              <w:ind w:firstLine="0" w:firstLineChars="0"/>
              <w:jc w:val="center"/>
              <w:rPr>
                <w:rFonts w:ascii="宋体" w:hAnsi="Times New Roman" w:eastAsia="宋体" w:cs="Times New Roman"/>
                <w:sz w:val="21"/>
              </w:rPr>
            </w:pP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程（</w:t>
            </w:r>
            <w:r>
              <w:rPr>
                <w:rFonts w:ascii="宋体" w:hAnsi="宋体" w:eastAsia="宋体" w:cs="宋体"/>
                <w:sz w:val="21"/>
              </w:rPr>
              <w:t>20</w:t>
            </w:r>
            <w:r>
              <w:rPr>
                <w:rFonts w:hint="eastAsia" w:ascii="宋体" w:hAnsi="宋体" w:eastAsia="宋体" w:cs="宋体"/>
                <w:sz w:val="21"/>
              </w:rPr>
              <w:t>分）</w:t>
            </w:r>
          </w:p>
        </w:tc>
        <w:tc>
          <w:tcPr>
            <w:tcW w:w="247" w:type="pct"/>
            <w:vMerge w:val="restar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资金</w:t>
            </w:r>
            <w:r>
              <w:rPr>
                <w:rFonts w:ascii="宋体" w:hAnsi="Times New Roman" w:eastAsia="宋体" w:cs="Times New Roman"/>
                <w:sz w:val="21"/>
              </w:rPr>
              <w:br w:type="textWrapping"/>
            </w:r>
            <w:r>
              <w:rPr>
                <w:rFonts w:hint="eastAsia" w:ascii="宋体" w:hAnsi="宋体" w:eastAsia="宋体" w:cs="宋体"/>
                <w:sz w:val="21"/>
              </w:rPr>
              <w:t>管理（</w:t>
            </w:r>
            <w:r>
              <w:rPr>
                <w:rFonts w:ascii="宋体" w:hAnsi="宋体" w:eastAsia="宋体" w:cs="宋体"/>
                <w:sz w:val="21"/>
              </w:rPr>
              <w:t>12</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资金</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到位率（</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资金到位率</w:t>
            </w:r>
            <w:r>
              <w:rPr>
                <w:rFonts w:ascii="宋体" w:hAnsi="宋体" w:eastAsia="宋体" w:cs="宋体"/>
                <w:sz w:val="21"/>
              </w:rPr>
              <w:t>=</w:t>
            </w:r>
            <w:r>
              <w:rPr>
                <w:rFonts w:hint="eastAsia" w:ascii="宋体" w:hAnsi="宋体" w:eastAsia="宋体" w:cs="宋体"/>
                <w:sz w:val="21"/>
              </w:rPr>
              <w:t>（实际到位资金</w:t>
            </w:r>
            <w:r>
              <w:rPr>
                <w:rFonts w:ascii="宋体" w:hAnsi="宋体" w:eastAsia="宋体" w:cs="宋体"/>
                <w:sz w:val="21"/>
              </w:rPr>
              <w:t>/</w:t>
            </w:r>
            <w:r>
              <w:rPr>
                <w:rFonts w:hint="eastAsia" w:ascii="宋体" w:hAnsi="宋体" w:eastAsia="宋体" w:cs="宋体"/>
                <w:sz w:val="21"/>
              </w:rPr>
              <w:t>预算资金）×</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实际到位资金：一定时期（本年度或预算支出期）内落实到具体预算支出的资金。</w:t>
            </w:r>
            <w:r>
              <w:rPr>
                <w:rFonts w:ascii="宋体" w:hAnsi="Times New Roman" w:eastAsia="宋体" w:cs="Times New Roman"/>
                <w:sz w:val="21"/>
              </w:rPr>
              <w:br w:type="textWrapping"/>
            </w:r>
            <w:r>
              <w:rPr>
                <w:rFonts w:hint="eastAsia" w:ascii="宋体" w:hAnsi="宋体" w:eastAsia="宋体" w:cs="宋体"/>
                <w:sz w:val="21"/>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ind w:firstLine="0" w:firstLineChars="0"/>
              <w:jc w:val="center"/>
              <w:rPr>
                <w:rFonts w:ascii="宋体" w:hAnsi="Times New Roman" w:eastAsia="宋体" w:cs="Times New Roman"/>
                <w:sz w:val="21"/>
              </w:rPr>
            </w:pPr>
          </w:p>
        </w:tc>
        <w:tc>
          <w:tcPr>
            <w:tcW w:w="247" w:type="pct"/>
            <w:vMerge w:val="continue"/>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预算</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执行率（</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3.8</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预算执行率</w:t>
            </w:r>
            <w:r>
              <w:rPr>
                <w:rFonts w:ascii="宋体" w:hAnsi="宋体" w:eastAsia="宋体" w:cs="宋体"/>
                <w:sz w:val="21"/>
              </w:rPr>
              <w:t>=</w:t>
            </w:r>
            <w:r>
              <w:rPr>
                <w:rFonts w:hint="eastAsia" w:ascii="宋体" w:hAnsi="宋体" w:eastAsia="宋体" w:cs="宋体"/>
                <w:sz w:val="21"/>
              </w:rPr>
              <w:t>（实际支出资金</w:t>
            </w:r>
            <w:r>
              <w:rPr>
                <w:rFonts w:ascii="宋体" w:hAnsi="宋体" w:eastAsia="宋体" w:cs="宋体"/>
                <w:sz w:val="21"/>
              </w:rPr>
              <w:t>/</w:t>
            </w:r>
            <w:r>
              <w:rPr>
                <w:rFonts w:hint="eastAsia" w:ascii="宋体" w:hAnsi="宋体" w:eastAsia="宋体" w:cs="宋体"/>
                <w:sz w:val="21"/>
              </w:rPr>
              <w:t>实际到位资金）×</w:t>
            </w:r>
            <w:r>
              <w:rPr>
                <w:rFonts w:ascii="宋体" w:hAnsi="宋体" w:eastAsia="宋体" w:cs="宋体"/>
                <w:sz w:val="21"/>
              </w:rPr>
              <w:t>100%</w:t>
            </w:r>
            <w:r>
              <w:rPr>
                <w:rFonts w:hint="eastAsia" w:ascii="宋体" w:hAnsi="宋体" w:eastAsia="宋体" w:cs="宋体"/>
                <w:sz w:val="21"/>
              </w:rPr>
              <w:t>。</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firstLine="0" w:firstLineChars="0"/>
              <w:jc w:val="center"/>
              <w:rPr>
                <w:rFonts w:ascii="宋体" w:hAnsi="Times New Roman" w:eastAsia="宋体" w:cs="Times New Roman"/>
                <w:sz w:val="21"/>
              </w:rPr>
            </w:pPr>
          </w:p>
        </w:tc>
        <w:tc>
          <w:tcPr>
            <w:tcW w:w="247" w:type="pct"/>
            <w:vMerge w:val="continue"/>
            <w:vAlign w:val="center"/>
          </w:tcPr>
          <w:p>
            <w:pPr>
              <w:spacing w:line="240" w:lineRule="exact"/>
              <w:ind w:firstLine="0" w:firstLineChars="0"/>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资金使用</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合规性（</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①是否符合国家财经法规和财务管理制度以及有关专项资金管理办法的规定；</w:t>
            </w:r>
          </w:p>
          <w:p>
            <w:pPr>
              <w:spacing w:line="240" w:lineRule="exact"/>
              <w:ind w:right="105" w:rightChars="50" w:firstLine="105" w:firstLineChars="50"/>
              <w:rPr>
                <w:rFonts w:ascii="宋体" w:hAnsi="Times New Roman" w:eastAsia="宋体" w:cs="Times New Roman"/>
                <w:sz w:val="21"/>
              </w:rPr>
            </w:pPr>
            <w:r>
              <w:rPr>
                <w:rFonts w:hint="eastAsia" w:ascii="宋体" w:hAnsi="宋体" w:eastAsia="宋体" w:cs="宋体"/>
                <w:sz w:val="21"/>
              </w:rPr>
              <w:t>②资金的拨付是否有完整的审批程序和手续；</w:t>
            </w:r>
          </w:p>
          <w:p>
            <w:pPr>
              <w:spacing w:line="240" w:lineRule="exact"/>
              <w:ind w:right="105" w:rightChars="50" w:firstLine="105" w:firstLineChars="50"/>
              <w:rPr>
                <w:rFonts w:ascii="宋体" w:hAnsi="Times New Roman" w:eastAsia="宋体" w:cs="Times New Roman"/>
                <w:sz w:val="21"/>
              </w:rPr>
            </w:pPr>
            <w:r>
              <w:rPr>
                <w:rFonts w:hint="eastAsia" w:ascii="宋体" w:hAnsi="宋体" w:eastAsia="宋体" w:cs="宋体"/>
                <w:sz w:val="21"/>
              </w:rPr>
              <w:t>③是否符合预算支出预算批复或合同规定的用途；</w:t>
            </w:r>
          </w:p>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p>
        </w:tc>
        <w:tc>
          <w:tcPr>
            <w:tcW w:w="247" w:type="pct"/>
            <w:vMerge w:val="restar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组织</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实施（</w:t>
            </w:r>
            <w:r>
              <w:rPr>
                <w:rFonts w:ascii="宋体" w:hAnsi="宋体" w:eastAsia="宋体" w:cs="宋体"/>
                <w:sz w:val="21"/>
              </w:rPr>
              <w:t>8</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管理制度</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健全性（</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3.5</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①是否已制定或具有相应的业务管理制度；</w:t>
            </w:r>
            <w:r>
              <w:rPr>
                <w:rFonts w:ascii="宋体" w:hAnsi="Times New Roman" w:eastAsia="宋体" w:cs="Times New Roman"/>
                <w:sz w:val="21"/>
              </w:rPr>
              <w:br w:type="textWrapping"/>
            </w:r>
            <w:r>
              <w:rPr>
                <w:rFonts w:hint="eastAsia" w:ascii="宋体" w:hAnsi="宋体" w:eastAsia="宋体" w:cs="宋体"/>
                <w:sz w:val="21"/>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firstLine="0" w:firstLineChars="0"/>
              <w:rPr>
                <w:rFonts w:ascii="宋体" w:hAnsi="Times New Roman" w:eastAsia="宋体" w:cs="Times New Roman"/>
                <w:sz w:val="21"/>
              </w:rPr>
            </w:pPr>
          </w:p>
        </w:tc>
        <w:tc>
          <w:tcPr>
            <w:tcW w:w="247" w:type="pct"/>
            <w:vMerge w:val="continue"/>
            <w:vAlign w:val="center"/>
          </w:tcPr>
          <w:p>
            <w:pPr>
              <w:spacing w:line="240" w:lineRule="exact"/>
              <w:ind w:firstLine="0" w:firstLineChars="0"/>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制度执行</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有效性（</w:t>
            </w:r>
            <w:r>
              <w:rPr>
                <w:rFonts w:ascii="宋体" w:hAnsi="宋体" w:eastAsia="宋体" w:cs="宋体"/>
                <w:sz w:val="21"/>
              </w:rPr>
              <w:t>4</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eastAsia" w:ascii="宋体" w:hAnsi="Times New Roman" w:eastAsia="宋体" w:cs="Times New Roman"/>
                <w:sz w:val="21"/>
                <w:lang w:val="en-US" w:eastAsia="zh-CN"/>
              </w:rPr>
            </w:pPr>
            <w:r>
              <w:rPr>
                <w:rFonts w:hint="eastAsia" w:ascii="宋体" w:hAnsi="Times New Roman" w:eastAsia="宋体" w:cs="Times New Roman"/>
                <w:sz w:val="21"/>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评价要点：</w:t>
            </w:r>
            <w:r>
              <w:rPr>
                <w:rFonts w:ascii="宋体" w:hAnsi="Times New Roman" w:eastAsia="宋体" w:cs="Times New Roman"/>
                <w:sz w:val="21"/>
              </w:rPr>
              <w:br w:type="textWrapping"/>
            </w:r>
            <w:r>
              <w:rPr>
                <w:rFonts w:hint="eastAsia" w:ascii="宋体" w:hAnsi="宋体" w:eastAsia="宋体" w:cs="宋体"/>
                <w:sz w:val="21"/>
              </w:rPr>
              <w:t>①是否遵守相关法律法规和相关管理规定；</w:t>
            </w:r>
            <w:r>
              <w:rPr>
                <w:rFonts w:ascii="宋体" w:hAnsi="Times New Roman" w:eastAsia="宋体" w:cs="Times New Roman"/>
                <w:sz w:val="21"/>
              </w:rPr>
              <w:br w:type="textWrapping"/>
            </w:r>
            <w:r>
              <w:rPr>
                <w:rFonts w:hint="eastAsia" w:ascii="宋体" w:hAnsi="宋体" w:eastAsia="宋体" w:cs="宋体"/>
                <w:sz w:val="21"/>
              </w:rPr>
              <w:t>②预算支出调整及支出调整手续是否完备；</w:t>
            </w:r>
            <w:r>
              <w:rPr>
                <w:rFonts w:ascii="宋体" w:hAnsi="Times New Roman" w:eastAsia="宋体" w:cs="Times New Roman"/>
                <w:sz w:val="21"/>
              </w:rPr>
              <w:br w:type="textWrapping"/>
            </w:r>
            <w:r>
              <w:rPr>
                <w:rFonts w:hint="eastAsia" w:ascii="宋体" w:hAnsi="宋体" w:eastAsia="宋体" w:cs="宋体"/>
                <w:sz w:val="21"/>
              </w:rPr>
              <w:t>③预算支出合同书、验收报告、技术鉴定等资料是否齐全并及时归档；</w:t>
            </w:r>
            <w:r>
              <w:rPr>
                <w:rFonts w:ascii="宋体" w:hAnsi="Times New Roman" w:eastAsia="宋体" w:cs="Times New Roman"/>
                <w:sz w:val="21"/>
              </w:rPr>
              <w:br w:type="textWrapping"/>
            </w:r>
            <w:r>
              <w:rPr>
                <w:rFonts w:hint="eastAsia" w:ascii="宋体" w:hAnsi="宋体" w:eastAsia="宋体" w:cs="宋体"/>
                <w:sz w:val="21"/>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w:t>
            </w:r>
            <w:r>
              <w:rPr>
                <w:rFonts w:ascii="宋体" w:hAnsi="宋体" w:eastAsia="宋体" w:cs="宋体"/>
                <w:sz w:val="21"/>
              </w:rPr>
              <w:t xml:space="preserve">   </w:t>
            </w:r>
            <w:r>
              <w:rPr>
                <w:rFonts w:hint="eastAsia" w:ascii="宋体" w:hAnsi="宋体" w:eastAsia="宋体" w:cs="宋体"/>
                <w:sz w:val="21"/>
              </w:rPr>
              <w:t>出（</w:t>
            </w:r>
            <w:r>
              <w:rPr>
                <w:rFonts w:ascii="宋体" w:hAnsi="宋体" w:eastAsia="宋体" w:cs="宋体"/>
                <w:sz w:val="21"/>
              </w:rPr>
              <w:t>40</w:t>
            </w:r>
            <w:r>
              <w:rPr>
                <w:rFonts w:hint="eastAsia" w:ascii="宋体" w:hAnsi="宋体" w:eastAsia="宋体" w:cs="宋体"/>
                <w:sz w:val="21"/>
              </w:rPr>
              <w:t>分）</w:t>
            </w:r>
          </w:p>
        </w:tc>
        <w:tc>
          <w:tcPr>
            <w:tcW w:w="247"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数量（</w:t>
            </w:r>
            <w:r>
              <w:rPr>
                <w:rFonts w:ascii="宋体" w:hAnsi="宋体" w:eastAsia="宋体" w:cs="宋体"/>
                <w:sz w:val="21"/>
              </w:rPr>
              <w:t>10</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实际</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完成率（</w:t>
            </w:r>
            <w:r>
              <w:rPr>
                <w:rFonts w:ascii="宋体" w:hAnsi="宋体" w:eastAsia="宋体" w:cs="宋体"/>
                <w:sz w:val="21"/>
              </w:rPr>
              <w:t>10</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实际完成率</w:t>
            </w:r>
            <w:r>
              <w:rPr>
                <w:rFonts w:ascii="宋体" w:hAnsi="宋体" w:eastAsia="宋体" w:cs="宋体"/>
                <w:sz w:val="21"/>
              </w:rPr>
              <w:t>=</w:t>
            </w:r>
            <w:r>
              <w:rPr>
                <w:rFonts w:hint="eastAsia" w:ascii="宋体" w:hAnsi="宋体" w:eastAsia="宋体" w:cs="宋体"/>
                <w:sz w:val="21"/>
              </w:rPr>
              <w:t>（实际产出数</w:t>
            </w:r>
            <w:r>
              <w:rPr>
                <w:rFonts w:ascii="宋体" w:hAnsi="宋体" w:eastAsia="宋体" w:cs="宋体"/>
                <w:sz w:val="21"/>
              </w:rPr>
              <w:t>/</w:t>
            </w:r>
            <w:r>
              <w:rPr>
                <w:rFonts w:hint="eastAsia" w:ascii="宋体" w:hAnsi="宋体" w:eastAsia="宋体" w:cs="宋体"/>
                <w:sz w:val="21"/>
              </w:rPr>
              <w:t>计划产出数）×</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实际产出数：一定时期（本年度或预算支出期）内预算支出实际产出的产品或提供的服务数量。</w:t>
            </w:r>
            <w:r>
              <w:rPr>
                <w:rFonts w:ascii="宋体" w:hAnsi="Times New Roman" w:eastAsia="宋体" w:cs="Times New Roman"/>
                <w:sz w:val="21"/>
              </w:rPr>
              <w:br w:type="textWrapping"/>
            </w:r>
            <w:r>
              <w:rPr>
                <w:rFonts w:hint="eastAsia" w:ascii="宋体" w:hAnsi="宋体" w:eastAsia="宋体" w:cs="宋体"/>
                <w:sz w:val="21"/>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p>
        </w:tc>
        <w:tc>
          <w:tcPr>
            <w:tcW w:w="247" w:type="pc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质量（</w:t>
            </w:r>
            <w:r>
              <w:rPr>
                <w:rFonts w:ascii="宋体" w:hAnsi="宋体" w:eastAsia="宋体" w:cs="宋体"/>
                <w:sz w:val="21"/>
              </w:rPr>
              <w:t>10</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质量</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达标率（</w:t>
            </w:r>
            <w:r>
              <w:rPr>
                <w:rFonts w:ascii="宋体" w:hAnsi="宋体" w:eastAsia="宋体" w:cs="宋体"/>
                <w:sz w:val="21"/>
              </w:rPr>
              <w:t>10</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质量达标率</w:t>
            </w:r>
            <w:r>
              <w:rPr>
                <w:rFonts w:ascii="宋体" w:hAnsi="宋体" w:eastAsia="宋体" w:cs="宋体"/>
                <w:sz w:val="21"/>
              </w:rPr>
              <w:t>=</w:t>
            </w:r>
            <w:r>
              <w:rPr>
                <w:rFonts w:hint="eastAsia" w:ascii="宋体" w:hAnsi="宋体" w:eastAsia="宋体" w:cs="宋体"/>
                <w:sz w:val="21"/>
              </w:rPr>
              <w:t>（质量达标产出数</w:t>
            </w:r>
            <w:r>
              <w:rPr>
                <w:rFonts w:ascii="宋体" w:hAnsi="宋体" w:eastAsia="宋体" w:cs="宋体"/>
                <w:sz w:val="21"/>
              </w:rPr>
              <w:t>/</w:t>
            </w:r>
            <w:r>
              <w:rPr>
                <w:rFonts w:hint="eastAsia" w:ascii="宋体" w:hAnsi="宋体" w:eastAsia="宋体" w:cs="宋体"/>
                <w:sz w:val="21"/>
              </w:rPr>
              <w:t>实际产出数）×</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firstLine="0" w:firstLineChars="0"/>
              <w:rPr>
                <w:rFonts w:ascii="宋体" w:hAnsi="Times New Roman" w:eastAsia="宋体" w:cs="Times New Roman"/>
                <w:sz w:val="21"/>
              </w:rPr>
            </w:pPr>
            <w:r>
              <w:rPr>
                <w:rFonts w:hint="eastAsia" w:ascii="宋体" w:hAnsi="宋体" w:eastAsia="宋体" w:cs="宋体"/>
                <w:sz w:val="21"/>
              </w:rPr>
              <w:t>产</w:t>
            </w:r>
            <w:r>
              <w:rPr>
                <w:rFonts w:ascii="宋体" w:hAnsi="宋体" w:eastAsia="宋体" w:cs="宋体"/>
                <w:sz w:val="21"/>
              </w:rPr>
              <w:t xml:space="preserve">   </w:t>
            </w:r>
            <w:r>
              <w:rPr>
                <w:rFonts w:hint="eastAsia" w:ascii="宋体" w:hAnsi="宋体" w:eastAsia="宋体" w:cs="宋体"/>
                <w:sz w:val="21"/>
              </w:rPr>
              <w:t>出（</w:t>
            </w:r>
            <w:r>
              <w:rPr>
                <w:rFonts w:ascii="宋体" w:hAnsi="宋体" w:eastAsia="宋体" w:cs="宋体"/>
                <w:sz w:val="21"/>
              </w:rPr>
              <w:t>40</w:t>
            </w:r>
            <w:r>
              <w:rPr>
                <w:rFonts w:hint="eastAsia" w:ascii="宋体" w:hAnsi="宋体" w:eastAsia="宋体" w:cs="宋体"/>
                <w:sz w:val="21"/>
              </w:rPr>
              <w:t>分）</w:t>
            </w:r>
          </w:p>
        </w:tc>
        <w:tc>
          <w:tcPr>
            <w:tcW w:w="247" w:type="pct"/>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时效（</w:t>
            </w:r>
            <w:r>
              <w:rPr>
                <w:rFonts w:ascii="宋体" w:hAnsi="宋体" w:eastAsia="宋体" w:cs="宋体"/>
                <w:sz w:val="21"/>
              </w:rPr>
              <w:t>10</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完成</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及时性（</w:t>
            </w:r>
            <w:r>
              <w:rPr>
                <w:rFonts w:ascii="宋体" w:hAnsi="宋体" w:eastAsia="宋体" w:cs="宋体"/>
                <w:sz w:val="21"/>
              </w:rPr>
              <w:t>10</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实际完成时间：预算支出实施单位完成该预算支出实际所耗用的时间。</w:t>
            </w:r>
            <w:r>
              <w:rPr>
                <w:rFonts w:ascii="宋体" w:hAnsi="Times New Roman" w:eastAsia="宋体" w:cs="Times New Roman"/>
                <w:sz w:val="21"/>
              </w:rPr>
              <w:br w:type="textWrapping"/>
            </w:r>
            <w:r>
              <w:rPr>
                <w:rFonts w:hint="eastAsia" w:ascii="宋体" w:hAnsi="宋体" w:eastAsia="宋体" w:cs="宋体"/>
                <w:sz w:val="21"/>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firstLine="0" w:firstLineChars="0"/>
              <w:rPr>
                <w:rFonts w:ascii="宋体" w:hAnsi="Times New Roman" w:eastAsia="宋体" w:cs="Times New Roman"/>
                <w:sz w:val="21"/>
              </w:rPr>
            </w:pPr>
          </w:p>
        </w:tc>
        <w:tc>
          <w:tcPr>
            <w:tcW w:w="247" w:type="pct"/>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产出</w:t>
            </w:r>
          </w:p>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成本（</w:t>
            </w:r>
            <w:r>
              <w:rPr>
                <w:rFonts w:ascii="宋体" w:hAnsi="宋体" w:eastAsia="宋体" w:cs="宋体"/>
                <w:sz w:val="21"/>
              </w:rPr>
              <w:t>10</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成本</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节约率（</w:t>
            </w:r>
            <w:r>
              <w:rPr>
                <w:rFonts w:ascii="宋体" w:hAnsi="宋体" w:eastAsia="宋体" w:cs="宋体"/>
                <w:sz w:val="21"/>
              </w:rPr>
              <w:t>10</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成本节约率</w:t>
            </w:r>
            <w:r>
              <w:rPr>
                <w:rFonts w:ascii="宋体" w:hAnsi="宋体" w:eastAsia="宋体" w:cs="宋体"/>
                <w:sz w:val="21"/>
              </w:rPr>
              <w:t>=[</w:t>
            </w:r>
            <w:r>
              <w:rPr>
                <w:rFonts w:hint="eastAsia" w:ascii="宋体" w:hAnsi="宋体" w:eastAsia="宋体" w:cs="宋体"/>
                <w:sz w:val="21"/>
              </w:rPr>
              <w:t>（计划成本</w:t>
            </w:r>
            <w:r>
              <w:rPr>
                <w:rFonts w:ascii="宋体" w:hAnsi="Times New Roman" w:eastAsia="宋体" w:cs="宋体"/>
                <w:sz w:val="21"/>
              </w:rPr>
              <w:t>-</w:t>
            </w:r>
            <w:r>
              <w:rPr>
                <w:rFonts w:hint="eastAsia" w:ascii="宋体" w:hAnsi="宋体" w:eastAsia="宋体" w:cs="宋体"/>
                <w:sz w:val="21"/>
              </w:rPr>
              <w:t>实际成本）</w:t>
            </w:r>
            <w:r>
              <w:rPr>
                <w:rFonts w:ascii="宋体" w:hAnsi="宋体" w:eastAsia="宋体" w:cs="宋体"/>
                <w:sz w:val="21"/>
              </w:rPr>
              <w:t>/</w:t>
            </w:r>
            <w:r>
              <w:rPr>
                <w:rFonts w:hint="eastAsia" w:ascii="宋体" w:hAnsi="宋体" w:eastAsia="宋体" w:cs="宋体"/>
                <w:sz w:val="21"/>
              </w:rPr>
              <w:t>计划成本</w:t>
            </w:r>
            <w:r>
              <w:rPr>
                <w:rFonts w:ascii="宋体" w:hAnsi="宋体" w:eastAsia="宋体" w:cs="宋体"/>
                <w:sz w:val="21"/>
              </w:rPr>
              <w:t>]</w:t>
            </w:r>
            <w:r>
              <w:rPr>
                <w:rFonts w:hint="eastAsia" w:ascii="宋体" w:hAnsi="宋体" w:eastAsia="宋体" w:cs="宋体"/>
                <w:sz w:val="21"/>
              </w:rPr>
              <w:t>×</w:t>
            </w:r>
            <w:r>
              <w:rPr>
                <w:rFonts w:ascii="宋体" w:hAnsi="宋体" w:eastAsia="宋体" w:cs="宋体"/>
                <w:sz w:val="21"/>
              </w:rPr>
              <w:t>100%</w:t>
            </w:r>
            <w:r>
              <w:rPr>
                <w:rFonts w:hint="eastAsia" w:ascii="宋体" w:hAnsi="宋体" w:eastAsia="宋体" w:cs="宋体"/>
                <w:sz w:val="21"/>
              </w:rPr>
              <w:t>。</w:t>
            </w:r>
            <w:r>
              <w:rPr>
                <w:rFonts w:ascii="宋体" w:hAnsi="Times New Roman" w:eastAsia="宋体" w:cs="Times New Roman"/>
                <w:sz w:val="21"/>
              </w:rPr>
              <w:br w:type="textWrapping"/>
            </w:r>
            <w:r>
              <w:rPr>
                <w:rFonts w:hint="eastAsia" w:ascii="宋体" w:hAnsi="宋体" w:eastAsia="宋体" w:cs="宋体"/>
                <w:sz w:val="21"/>
              </w:rPr>
              <w:t>实际成本：预算支出实施单位如期、保质、保量完成既定工作目标实际所耗费的支出。</w:t>
            </w:r>
            <w:r>
              <w:rPr>
                <w:rFonts w:ascii="宋体" w:hAnsi="Times New Roman" w:eastAsia="宋体" w:cs="Times New Roman"/>
                <w:sz w:val="21"/>
              </w:rPr>
              <w:br w:type="textWrapping"/>
            </w:r>
            <w:r>
              <w:rPr>
                <w:rFonts w:hint="eastAsia" w:ascii="宋体" w:hAnsi="宋体" w:eastAsia="宋体" w:cs="宋体"/>
                <w:sz w:val="21"/>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效</w:t>
            </w:r>
            <w:r>
              <w:rPr>
                <w:rFonts w:ascii="宋体" w:hAnsi="宋体" w:eastAsia="宋体" w:cs="宋体"/>
                <w:sz w:val="21"/>
              </w:rPr>
              <w:t xml:space="preserve">   </w:t>
            </w:r>
            <w:r>
              <w:rPr>
                <w:rFonts w:hint="eastAsia" w:ascii="宋体" w:hAnsi="宋体" w:eastAsia="宋体" w:cs="宋体"/>
                <w:sz w:val="21"/>
              </w:rPr>
              <w:t>益（</w:t>
            </w:r>
            <w:r>
              <w:rPr>
                <w:rFonts w:ascii="宋体" w:hAnsi="宋体" w:eastAsia="宋体" w:cs="宋体"/>
                <w:sz w:val="21"/>
              </w:rPr>
              <w:t>20</w:t>
            </w:r>
            <w:r>
              <w:rPr>
                <w:rFonts w:hint="eastAsia" w:ascii="宋体" w:hAnsi="宋体" w:eastAsia="宋体" w:cs="宋体"/>
                <w:sz w:val="21"/>
              </w:rPr>
              <w:t>分）</w:t>
            </w:r>
          </w:p>
        </w:tc>
        <w:tc>
          <w:tcPr>
            <w:tcW w:w="247" w:type="pct"/>
            <w:vMerge w:val="restart"/>
            <w:tcMar>
              <w:top w:w="10" w:type="dxa"/>
              <w:left w:w="10" w:type="dxa"/>
              <w:bottom w:w="0" w:type="dxa"/>
              <w:right w:w="10" w:type="dxa"/>
            </w:tcMar>
            <w:vAlign w:val="center"/>
          </w:tcPr>
          <w:p>
            <w:pPr>
              <w:spacing w:line="240" w:lineRule="exact"/>
              <w:ind w:firstLine="0" w:firstLineChars="0"/>
              <w:jc w:val="center"/>
              <w:rPr>
                <w:rFonts w:ascii="宋体" w:hAnsi="Times New Roman" w:eastAsia="宋体" w:cs="Times New Roman"/>
                <w:sz w:val="21"/>
              </w:rPr>
            </w:pPr>
            <w:r>
              <w:rPr>
                <w:rFonts w:hint="eastAsia" w:ascii="宋体" w:hAnsi="宋体" w:eastAsia="宋体" w:cs="宋体"/>
                <w:sz w:val="21"/>
              </w:rPr>
              <w:t>预算支出</w:t>
            </w:r>
            <w:r>
              <w:rPr>
                <w:rFonts w:ascii="宋体" w:hAnsi="Times New Roman" w:eastAsia="宋体" w:cs="Times New Roman"/>
                <w:sz w:val="21"/>
              </w:rPr>
              <w:br w:type="textWrapping"/>
            </w:r>
            <w:r>
              <w:rPr>
                <w:rFonts w:hint="eastAsia" w:ascii="宋体" w:hAnsi="宋体" w:eastAsia="宋体" w:cs="宋体"/>
                <w:sz w:val="21"/>
              </w:rPr>
              <w:t>效益（</w:t>
            </w:r>
            <w:r>
              <w:rPr>
                <w:rFonts w:ascii="宋体" w:hAnsi="宋体" w:eastAsia="宋体" w:cs="宋体"/>
                <w:sz w:val="21"/>
              </w:rPr>
              <w:t>20</w:t>
            </w:r>
            <w:r>
              <w:rPr>
                <w:rFonts w:hint="eastAsia" w:ascii="宋体" w:hAnsi="宋体" w:eastAsia="宋体" w:cs="宋体"/>
                <w:sz w:val="21"/>
              </w:rPr>
              <w:t>分）</w:t>
            </w: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实施效益（</w:t>
            </w:r>
            <w:r>
              <w:rPr>
                <w:rFonts w:ascii="宋体" w:hAnsi="宋体" w:eastAsia="宋体" w:cs="宋体"/>
                <w:sz w:val="21"/>
              </w:rPr>
              <w:t>10</w:t>
            </w:r>
            <w:r>
              <w:rPr>
                <w:rFonts w:hint="eastAsia" w:ascii="宋体" w:hAnsi="宋体" w:eastAsia="宋体" w:cs="宋体"/>
                <w:sz w:val="21"/>
              </w:rPr>
              <w:t>分）</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firstLine="0" w:firstLineChars="0"/>
              <w:rPr>
                <w:rFonts w:ascii="宋体" w:hAnsi="Times New Roman" w:eastAsia="宋体" w:cs="Times New Roman"/>
                <w:sz w:val="21"/>
              </w:rPr>
            </w:pPr>
          </w:p>
        </w:tc>
        <w:tc>
          <w:tcPr>
            <w:tcW w:w="247" w:type="pct"/>
            <w:vMerge w:val="continue"/>
            <w:vAlign w:val="center"/>
          </w:tcPr>
          <w:p>
            <w:pPr>
              <w:spacing w:line="240" w:lineRule="exact"/>
              <w:ind w:firstLine="0" w:firstLineChars="0"/>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社会公众</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或服务（</w:t>
            </w:r>
            <w:r>
              <w:rPr>
                <w:rFonts w:ascii="宋体" w:hAnsi="宋体" w:eastAsia="宋体" w:cs="宋体"/>
                <w:sz w:val="21"/>
              </w:rPr>
              <w:t>10</w:t>
            </w:r>
            <w:r>
              <w:rPr>
                <w:rFonts w:hint="eastAsia" w:ascii="宋体" w:hAnsi="宋体" w:eastAsia="宋体" w:cs="宋体"/>
                <w:sz w:val="21"/>
              </w:rPr>
              <w:t>分）对</w:t>
            </w:r>
          </w:p>
          <w:p>
            <w:pPr>
              <w:spacing w:line="240" w:lineRule="exact"/>
              <w:ind w:left="105" w:leftChars="50" w:right="105" w:rightChars="50" w:firstLine="0" w:firstLineChars="0"/>
              <w:jc w:val="center"/>
              <w:rPr>
                <w:rFonts w:ascii="宋体" w:hAnsi="Times New Roman" w:eastAsia="宋体" w:cs="Times New Roman"/>
                <w:sz w:val="21"/>
              </w:rPr>
            </w:pPr>
            <w:r>
              <w:rPr>
                <w:rFonts w:hint="eastAsia" w:ascii="宋体" w:hAnsi="宋体" w:eastAsia="宋体" w:cs="宋体"/>
                <w:sz w:val="21"/>
              </w:rPr>
              <w:t>象满意度</w:t>
            </w:r>
          </w:p>
        </w:tc>
        <w:tc>
          <w:tcPr>
            <w:tcW w:w="294" w:type="pct"/>
          </w:tcPr>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ascii="宋体" w:hAnsi="Times New Roman" w:eastAsia="宋体" w:cs="Times New Roman"/>
                <w:sz w:val="21"/>
              </w:rPr>
            </w:pPr>
          </w:p>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r>
              <w:rPr>
                <w:rFonts w:hint="eastAsia" w:ascii="宋体" w:hAnsi="宋体" w:eastAsia="宋体" w:cs="宋体"/>
                <w:sz w:val="21"/>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ind w:firstLine="0" w:firstLineChars="0"/>
              <w:rPr>
                <w:rFonts w:ascii="宋体" w:hAnsi="Times New Roman" w:eastAsia="宋体" w:cs="Times New Roman"/>
                <w:sz w:val="21"/>
              </w:rPr>
            </w:pPr>
            <w:r>
              <w:rPr>
                <w:rFonts w:hint="eastAsia" w:ascii="宋体" w:hAnsi="宋体" w:eastAsia="宋体" w:cs="宋体"/>
                <w:sz w:val="21"/>
              </w:rPr>
              <w:t>总分</w:t>
            </w:r>
          </w:p>
        </w:tc>
        <w:tc>
          <w:tcPr>
            <w:tcW w:w="247" w:type="pct"/>
            <w:vAlign w:val="center"/>
          </w:tcPr>
          <w:p>
            <w:pPr>
              <w:spacing w:line="240" w:lineRule="exact"/>
              <w:ind w:firstLine="0" w:firstLineChars="0"/>
              <w:rPr>
                <w:rFonts w:ascii="宋体" w:hAnsi="Times New Roman" w:eastAsia="宋体" w:cs="Times New Roman"/>
                <w:sz w:val="21"/>
              </w:rPr>
            </w:pPr>
          </w:p>
        </w:tc>
        <w:tc>
          <w:tcPr>
            <w:tcW w:w="454" w:type="pct"/>
            <w:tcMar>
              <w:top w:w="10" w:type="dxa"/>
              <w:left w:w="10" w:type="dxa"/>
              <w:bottom w:w="0" w:type="dxa"/>
              <w:right w:w="10" w:type="dxa"/>
            </w:tcMar>
            <w:vAlign w:val="center"/>
          </w:tcPr>
          <w:p>
            <w:pPr>
              <w:spacing w:line="240" w:lineRule="exact"/>
              <w:ind w:left="105" w:leftChars="50" w:right="105" w:rightChars="50" w:firstLine="0" w:firstLineChars="0"/>
              <w:jc w:val="center"/>
              <w:rPr>
                <w:rFonts w:ascii="宋体" w:hAnsi="Times New Roman" w:eastAsia="宋体" w:cs="Times New Roman"/>
                <w:sz w:val="21"/>
              </w:rPr>
            </w:pPr>
          </w:p>
        </w:tc>
        <w:tc>
          <w:tcPr>
            <w:tcW w:w="294" w:type="pct"/>
          </w:tcPr>
          <w:p>
            <w:pPr>
              <w:spacing w:line="240" w:lineRule="exact"/>
              <w:ind w:left="105" w:leftChars="50" w:right="105" w:rightChars="50" w:firstLine="0" w:firstLineChars="0"/>
              <w:rPr>
                <w:rFonts w:hint="default" w:ascii="宋体" w:hAnsi="Times New Roman" w:eastAsia="宋体" w:cs="Times New Roman"/>
                <w:sz w:val="21"/>
                <w:lang w:val="en-US" w:eastAsia="zh-CN"/>
              </w:rPr>
            </w:pPr>
            <w:r>
              <w:rPr>
                <w:rFonts w:hint="eastAsia" w:ascii="宋体" w:hAnsi="Times New Roman" w:eastAsia="宋体" w:cs="Times New Roman"/>
                <w:sz w:val="21"/>
                <w:lang w:val="en-US" w:eastAsia="zh-CN"/>
              </w:rPr>
              <w:t>99.3</w:t>
            </w:r>
          </w:p>
        </w:tc>
        <w:tc>
          <w:tcPr>
            <w:tcW w:w="1428"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p>
        </w:tc>
        <w:tc>
          <w:tcPr>
            <w:tcW w:w="2282" w:type="pct"/>
            <w:tcMar>
              <w:top w:w="10" w:type="dxa"/>
              <w:left w:w="10" w:type="dxa"/>
              <w:bottom w:w="0" w:type="dxa"/>
              <w:right w:w="10" w:type="dxa"/>
            </w:tcMar>
            <w:vAlign w:val="center"/>
          </w:tcPr>
          <w:p>
            <w:pPr>
              <w:spacing w:line="240" w:lineRule="exact"/>
              <w:ind w:left="105" w:leftChars="50" w:right="105" w:rightChars="50" w:firstLine="0" w:firstLineChars="0"/>
              <w:rPr>
                <w:rFonts w:ascii="宋体" w:hAnsi="Times New Roman" w:eastAsia="宋体" w:cs="Times New Roman"/>
                <w:sz w:val="21"/>
              </w:rPr>
            </w:pPr>
          </w:p>
        </w:tc>
      </w:tr>
    </w:tbl>
    <w:p>
      <w:pPr>
        <w:pStyle w:val="7"/>
        <w:ind w:firstLine="640"/>
      </w:pPr>
    </w:p>
    <w:p>
      <w:pPr>
        <w:pStyle w:val="8"/>
        <w:ind w:firstLine="360"/>
      </w:pPr>
    </w:p>
    <w:bookmarkEnd w:id="3"/>
    <w:bookmarkEnd w:id="4"/>
    <w:bookmarkEnd w:id="5"/>
    <w:p>
      <w:pPr>
        <w:ind w:firstLine="0" w:firstLineChars="0"/>
      </w:pPr>
    </w:p>
    <w:p/>
    <w:p/>
    <w:sectPr>
      <w:pgSz w:w="11906" w:h="16838"/>
      <w:pgMar w:top="1134" w:right="1531" w:bottom="1134"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A9A3D"/>
    <w:multiLevelType w:val="singleLevel"/>
    <w:tmpl w:val="A37A9A3D"/>
    <w:lvl w:ilvl="0" w:tentative="0">
      <w:start w:val="2"/>
      <w:numFmt w:val="chineseCounting"/>
      <w:suff w:val="nothing"/>
      <w:lvlText w:val="%1、"/>
      <w:lvlJc w:val="left"/>
      <w:rPr>
        <w:rFonts w:hint="eastAsia"/>
      </w:rPr>
    </w:lvl>
  </w:abstractNum>
  <w:abstractNum w:abstractNumId="1">
    <w:nsid w:val="D2951B53"/>
    <w:multiLevelType w:val="singleLevel"/>
    <w:tmpl w:val="D2951B53"/>
    <w:lvl w:ilvl="0" w:tentative="0">
      <w:start w:val="2"/>
      <w:numFmt w:val="decimal"/>
      <w:suff w:val="space"/>
      <w:lvlText w:val="%1."/>
      <w:lvlJc w:val="left"/>
    </w:lvl>
  </w:abstractNum>
  <w:abstractNum w:abstractNumId="2">
    <w:nsid w:val="F98215CD"/>
    <w:multiLevelType w:val="singleLevel"/>
    <w:tmpl w:val="F98215CD"/>
    <w:lvl w:ilvl="0" w:tentative="0">
      <w:start w:val="3"/>
      <w:numFmt w:val="chineseCounting"/>
      <w:suff w:val="nothing"/>
      <w:lvlText w:val="（%1）"/>
      <w:lvlJc w:val="left"/>
      <w:rPr>
        <w:rFonts w:hint="eastAsia"/>
      </w:rPr>
    </w:lvl>
  </w:abstractNum>
  <w:abstractNum w:abstractNumId="3">
    <w:nsid w:val="375E964D"/>
    <w:multiLevelType w:val="singleLevel"/>
    <w:tmpl w:val="375E964D"/>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2D3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szCs w:val="24"/>
    </w:rPr>
  </w:style>
  <w:style w:type="paragraph" w:styleId="3">
    <w:name w:val="heading 1"/>
    <w:basedOn w:val="1"/>
    <w:next w:val="1"/>
    <w:unhideWhenUsed/>
    <w:qFormat/>
    <w:uiPriority w:val="0"/>
    <w:pPr>
      <w:keepNext/>
      <w:keepLines/>
      <w:spacing w:before="340" w:after="330" w:line="576" w:lineRule="auto"/>
      <w:outlineLvl w:val="0"/>
    </w:pPr>
    <w:rPr>
      <w:rFonts w:hint="default"/>
      <w:b/>
      <w:kern w:val="44"/>
      <w:sz w:val="44"/>
      <w:szCs w:val="24"/>
    </w:rPr>
  </w:style>
  <w:style w:type="paragraph" w:styleId="4">
    <w:name w:val="heading 2"/>
    <w:basedOn w:val="1"/>
    <w:next w:val="1"/>
    <w:unhideWhenUsed/>
    <w:qFormat/>
    <w:uiPriority w:val="99"/>
    <w:pPr>
      <w:keepNext/>
      <w:keepLines/>
      <w:spacing w:before="260" w:after="260" w:line="413" w:lineRule="auto"/>
      <w:outlineLvl w:val="1"/>
    </w:pPr>
    <w:rPr>
      <w:rFonts w:hint="default" w:ascii="Arial" w:hAnsi="Arial" w:eastAsia="黑体"/>
      <w:b/>
      <w:sz w:val="32"/>
      <w:szCs w:val="24"/>
    </w:rPr>
  </w:style>
  <w:style w:type="paragraph" w:styleId="5">
    <w:name w:val="heading 3"/>
    <w:basedOn w:val="1"/>
    <w:next w:val="1"/>
    <w:unhideWhenUsed/>
    <w:qFormat/>
    <w:uiPriority w:val="0"/>
    <w:pPr>
      <w:keepNext/>
      <w:keepLines/>
      <w:spacing w:line="596" w:lineRule="exact"/>
      <w:outlineLvl w:val="2"/>
    </w:pPr>
    <w:rPr>
      <w:b/>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4"/>
    </w:rPr>
  </w:style>
  <w:style w:type="paragraph" w:styleId="6">
    <w:name w:val="index 5"/>
    <w:basedOn w:val="1"/>
    <w:next w:val="1"/>
    <w:unhideWhenUsed/>
    <w:qFormat/>
    <w:uiPriority w:val="0"/>
    <w:pPr>
      <w:ind w:left="1680"/>
    </w:pPr>
    <w:rPr>
      <w:rFonts w:hint="default"/>
      <w:sz w:val="21"/>
      <w:szCs w:val="24"/>
    </w:rPr>
  </w:style>
  <w:style w:type="paragraph" w:styleId="7">
    <w:name w:val="Body Text"/>
    <w:basedOn w:val="1"/>
    <w:unhideWhenUsed/>
    <w:qFormat/>
    <w:uiPriority w:val="99"/>
    <w:pPr>
      <w:spacing w:after="120"/>
    </w:pPr>
  </w:style>
  <w:style w:type="paragraph" w:styleId="8">
    <w:name w:val="footer"/>
    <w:basedOn w:val="1"/>
    <w:next w:val="6"/>
    <w:unhideWhenUsed/>
    <w:qFormat/>
    <w:uiPriority w:val="99"/>
    <w:pPr>
      <w:tabs>
        <w:tab w:val="center" w:pos="4153"/>
        <w:tab w:val="right" w:pos="8306"/>
      </w:tabs>
      <w:snapToGrid w:val="0"/>
      <w:jc w:val="left"/>
    </w:pPr>
    <w:rPr>
      <w:rFonts w:hint="default"/>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2023-06-25T05:12:27Z</dcterms:created>
  <dc:creator>admin-3</dc:creator>
  <cp:lastModifiedBy>admin-3</cp:lastModifiedBy>
  <dcterms:modified xsi:type="dcterms:W3CDTF">2023-06-25T05:12:46Z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33599E86DF684795865388D71917AE3C_12</vt:lpwstr>
  </property>
</Properties>
</file>