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b w:val="0"/>
          <w:bCs/>
          <w:sz w:val="36"/>
          <w:szCs w:val="36"/>
          <w:lang w:eastAsia="zh-CN"/>
        </w:rPr>
      </w:pPr>
    </w:p>
    <w:p>
      <w:pPr>
        <w:pStyle w:val="3"/>
        <w:keepNext/>
        <w:keepLines/>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b w:val="0"/>
          <w:bCs/>
          <w:sz w:val="36"/>
          <w:szCs w:val="36"/>
        </w:rPr>
      </w:pPr>
      <w:bookmarkStart w:id="0" w:name="_GoBack"/>
      <w:bookmarkEnd w:id="0"/>
      <w:r>
        <w:rPr>
          <w:rFonts w:hint="eastAsia" w:ascii="黑体" w:hAnsi="黑体" w:eastAsia="黑体" w:cs="黑体"/>
          <w:b w:val="0"/>
          <w:bCs/>
          <w:sz w:val="36"/>
          <w:szCs w:val="36"/>
          <w:lang w:eastAsia="zh-CN"/>
        </w:rPr>
        <w:t>益阳市赫山区医疗保障事务中心</w:t>
      </w:r>
      <w:r>
        <w:rPr>
          <w:rFonts w:hint="eastAsia" w:ascii="黑体" w:hAnsi="黑体" w:eastAsia="黑体" w:cs="黑体"/>
          <w:b w:val="0"/>
          <w:bCs/>
          <w:sz w:val="36"/>
          <w:szCs w:val="36"/>
        </w:rPr>
        <w:t>20</w:t>
      </w:r>
      <w:r>
        <w:rPr>
          <w:rFonts w:hint="eastAsia" w:ascii="黑体" w:hAnsi="黑体" w:eastAsia="黑体" w:cs="黑体"/>
          <w:b w:val="0"/>
          <w:bCs/>
          <w:sz w:val="36"/>
          <w:szCs w:val="36"/>
          <w:lang w:val="en-US" w:eastAsia="zh-CN"/>
        </w:rPr>
        <w:t>21</w:t>
      </w:r>
      <w:r>
        <w:rPr>
          <w:rFonts w:hint="eastAsia" w:ascii="黑体" w:hAnsi="黑体" w:eastAsia="黑体" w:cs="黑体"/>
          <w:b w:val="0"/>
          <w:bCs/>
          <w:sz w:val="36"/>
          <w:szCs w:val="36"/>
        </w:rPr>
        <w:t>年度部门</w:t>
      </w:r>
    </w:p>
    <w:p>
      <w:pPr>
        <w:pStyle w:val="3"/>
        <w:keepNext/>
        <w:keepLines/>
        <w:pageBreakBefore w:val="0"/>
        <w:widowControl/>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rPr>
        <w:t>整体支出绩效评价报告</w:t>
      </w:r>
    </w:p>
    <w:p>
      <w:pPr>
        <w:rPr>
          <w:rFonts w:hint="eastAsia"/>
        </w:rPr>
      </w:pPr>
    </w:p>
    <w:p>
      <w:pPr>
        <w:pageBreakBefore w:val="0"/>
        <w:widowControl/>
        <w:shd w:val="clear" w:color="auto" w:fill="FFFFFF"/>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为进一步规范财政资金管理，牢固树立预算绩效理念，强化部门支出责任，提高财政资金使用效益，根据《益阳市赫山区财政局关于做好2021年度预算绩效自评工作的通知》（益赫财绩〔2022〕1号）的文件要求，对2021年度部门整体支出绩效进行了自评，具体情况如下：</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黑体" w:hAnsi="黑体" w:eastAsia="黑体" w:cs="黑体"/>
          <w:color w:val="333333"/>
          <w:sz w:val="30"/>
          <w:szCs w:val="30"/>
        </w:rPr>
      </w:pPr>
      <w:r>
        <w:rPr>
          <w:rFonts w:hint="eastAsia" w:ascii="黑体" w:hAnsi="黑体" w:eastAsia="黑体" w:cs="黑体"/>
          <w:b/>
          <w:color w:val="333333"/>
          <w:kern w:val="0"/>
          <w:sz w:val="30"/>
          <w:szCs w:val="30"/>
          <w:shd w:val="clear" w:color="auto" w:fill="FFFFFF"/>
          <w:lang w:val="en-US" w:eastAsia="zh-CN" w:bidi="ar"/>
        </w:rPr>
        <w:t>一、基本情况</w:t>
      </w:r>
    </w:p>
    <w:p>
      <w:pPr>
        <w:pageBreakBefore w:val="0"/>
        <w:numPr>
          <w:ilvl w:val="0"/>
          <w:numId w:val="0"/>
        </w:numPr>
        <w:kinsoku/>
        <w:wordWrap/>
        <w:overflowPunct/>
        <w:topLinePunct w:val="0"/>
        <w:bidi w:val="0"/>
        <w:spacing w:line="600" w:lineRule="exact"/>
        <w:ind w:firstLine="600" w:firstLineChars="200"/>
        <w:textAlignment w:val="auto"/>
        <w:rPr>
          <w:rFonts w:hint="eastAsia" w:ascii="仿宋" w:hAnsi="仿宋" w:eastAsia="仿宋" w:cs="仿宋"/>
          <w:color w:val="000000"/>
          <w:kern w:val="0"/>
          <w:sz w:val="30"/>
          <w:szCs w:val="30"/>
          <w:highlight w:val="none"/>
          <w:shd w:val="clear" w:color="auto" w:fill="FFFFFF"/>
          <w:lang w:val="en-US" w:eastAsia="zh-CN" w:bidi="ar"/>
        </w:rPr>
      </w:pPr>
      <w:r>
        <w:rPr>
          <w:rFonts w:hint="eastAsia" w:ascii="仿宋" w:hAnsi="仿宋" w:eastAsia="仿宋" w:cs="仿宋"/>
          <w:color w:val="000000"/>
          <w:kern w:val="0"/>
          <w:sz w:val="30"/>
          <w:szCs w:val="30"/>
          <w:highlight w:val="none"/>
          <w:shd w:val="clear" w:color="auto" w:fill="FFFFFF"/>
          <w:lang w:val="en-US" w:eastAsia="zh-CN" w:bidi="ar"/>
        </w:rPr>
        <w:t>赫山区医疗保障事务中心是益阳市赫山区医疗保障局的二级机构，是参照公务员管理的事业单位，执行政府会计准则制度。主要职责和宗旨是负责全区城镇职工医疗保险、城乡居民医疗保险的基金征缴、支付、管理工作。在职职工30人，全额29人、差额1人，退休人员14人。内设办公室、财务股、城镇职工医疗保险审核股、城乡居民医疗保险审核股、征缴信息股、稽查股、联合督查组七个股室。</w:t>
      </w:r>
    </w:p>
    <w:p>
      <w:pPr>
        <w:pageBreakBefore w:val="0"/>
        <w:numPr>
          <w:ilvl w:val="0"/>
          <w:numId w:val="0"/>
        </w:numPr>
        <w:kinsoku/>
        <w:wordWrap/>
        <w:overflowPunct/>
        <w:topLinePunct w:val="0"/>
        <w:bidi w:val="0"/>
        <w:spacing w:line="600" w:lineRule="exact"/>
        <w:ind w:firstLine="600" w:firstLineChars="200"/>
        <w:textAlignment w:val="auto"/>
        <w:rPr>
          <w:rFonts w:hint="eastAsia" w:ascii="仿宋" w:hAnsi="仿宋" w:eastAsia="仿宋" w:cs="仿宋"/>
          <w:color w:val="auto"/>
          <w:kern w:val="0"/>
          <w:sz w:val="30"/>
          <w:szCs w:val="30"/>
          <w:highlight w:val="none"/>
          <w:lang w:val="en-US"/>
        </w:rPr>
      </w:pPr>
      <w:r>
        <w:rPr>
          <w:rFonts w:hint="eastAsia" w:ascii="仿宋" w:hAnsi="仿宋" w:eastAsia="仿宋" w:cs="仿宋"/>
          <w:color w:val="auto"/>
          <w:kern w:val="0"/>
          <w:sz w:val="30"/>
          <w:szCs w:val="30"/>
          <w:highlight w:val="none"/>
          <w:lang w:val="en-US"/>
        </w:rPr>
        <w:t>主要职责是：承担区本级医疗保障参保登记和关系建立、终端、转移、接续、终止等经办事务；承办区本级医疗保障基金（费）、离休干部统筹金的管理、运营、结算等经办事务；拟订区本级医保经办事务的操作流程及与流程相关的管理办法;拟订区本级基本医疗保险个人账户管理工作的规范、对账制度及统筹基金的事务管理规范;拟订与税务、财政、国库等部门的医疗保障金对账管理办法并组织实施;参与拟定与职责范围内的保障经办事务相关的药品目录、诊疗项目目录、医疗服务设施标准、住院服务标准、康复性治疗目录以及费用结算办法;建立健全医药机构动态的准入退出机制;负责对职责范围内的保障基金财务报表的汇总编制，编制全区医疗保障基金预决算，定期公布基金收支情况，承担基金内部审计工作;承担区医保局交办的其他事项。</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黑体" w:hAnsi="黑体" w:eastAsia="黑体" w:cs="黑体"/>
          <w:b/>
          <w:color w:val="333333"/>
          <w:kern w:val="0"/>
          <w:sz w:val="30"/>
          <w:szCs w:val="30"/>
          <w:shd w:val="clear" w:color="auto" w:fill="FFFFFF"/>
          <w:lang w:val="en-US" w:eastAsia="zh-CN" w:bidi="ar"/>
        </w:rPr>
      </w:pPr>
      <w:r>
        <w:rPr>
          <w:rFonts w:hint="eastAsia" w:ascii="黑体" w:hAnsi="黑体" w:eastAsia="黑体" w:cs="黑体"/>
          <w:b/>
          <w:color w:val="333333"/>
          <w:kern w:val="0"/>
          <w:sz w:val="30"/>
          <w:szCs w:val="30"/>
          <w:shd w:val="clear" w:color="auto" w:fill="FFFFFF"/>
          <w:lang w:val="en-US" w:eastAsia="zh-CN" w:bidi="ar"/>
        </w:rPr>
        <w:t>二、一般公共预算支出情况</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仿宋" w:hAnsi="仿宋" w:eastAsia="仿宋" w:cs="仿宋"/>
          <w:b/>
          <w:color w:val="333333"/>
          <w:sz w:val="30"/>
          <w:szCs w:val="30"/>
        </w:rPr>
      </w:pPr>
      <w:r>
        <w:rPr>
          <w:rFonts w:hint="eastAsia" w:ascii="仿宋" w:hAnsi="仿宋" w:eastAsia="仿宋" w:cs="仿宋"/>
          <w:b/>
          <w:color w:val="333333"/>
          <w:sz w:val="30"/>
          <w:szCs w:val="30"/>
          <w:shd w:val="clear" w:color="auto" w:fill="FFFFFF"/>
        </w:rPr>
        <w:t>（一）基本支出情况</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000000"/>
          <w:kern w:val="0"/>
          <w:sz w:val="30"/>
          <w:szCs w:val="30"/>
          <w:shd w:val="clear" w:color="auto" w:fill="FFFFFF"/>
          <w:lang w:val="en-US" w:eastAsia="zh-CN" w:bidi="ar"/>
        </w:rPr>
      </w:pPr>
      <w:r>
        <w:rPr>
          <w:rFonts w:hint="eastAsia" w:ascii="仿宋" w:hAnsi="仿宋" w:eastAsia="仿宋" w:cs="仿宋"/>
          <w:color w:val="000000"/>
          <w:kern w:val="0"/>
          <w:sz w:val="30"/>
          <w:szCs w:val="30"/>
          <w:shd w:val="clear" w:color="auto" w:fill="FFFFFF"/>
          <w:lang w:val="en-US" w:eastAsia="zh-CN" w:bidi="ar"/>
        </w:rPr>
        <w:t>基本支出是指为保障单位机构正常运转、完成日常工作任务而发生的各项支出，包括用于基本工资、津贴补贴等人员经费以及办公费、印刷费、水电费、办公设备购置等日常公用经费。2021年基本支出为485.71万元，较上年一般公共预算基本支出506.53万元，减少20.82万元，减少4.11%，其中人员经费417.80万元，占比86.02%；公用经费67.91万元，占比13.98%。</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仿宋" w:hAnsi="仿宋" w:eastAsia="仿宋" w:cs="仿宋"/>
          <w:color w:val="333333"/>
          <w:sz w:val="30"/>
          <w:szCs w:val="30"/>
        </w:rPr>
      </w:pPr>
      <w:r>
        <w:rPr>
          <w:rFonts w:hint="eastAsia" w:ascii="仿宋" w:hAnsi="仿宋" w:eastAsia="仿宋" w:cs="仿宋"/>
          <w:b/>
          <w:color w:val="333333"/>
          <w:kern w:val="0"/>
          <w:sz w:val="30"/>
          <w:szCs w:val="30"/>
          <w:shd w:val="clear" w:color="auto" w:fill="FFFFFF"/>
          <w:lang w:val="en-US" w:eastAsia="zh-CN" w:bidi="ar"/>
        </w:rPr>
        <w:t>（二）项目支出情况</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2021年项目支出为7336.8万元占总支出的92.64%。卫生与健康支出拨款收入为6203万元，占总支出比率为78.32%（其中包括：1.财政对城乡居民医疗的补助拨款4620.8万元，2.城乡医疗救助拨款收入为322.78万元，3.其他医疗救助支出1242.42万元，4.其他医疗保障管理事务拨款支出17万元）；其他扶贫支出收入1133.8万元，占总支出比率为14.32%；用于城乡医疗救助的彩票公益金支出77.34万元，占总支出比率为0.09%。2021年项目支出相比去年减少36811.93万元，主要是中央，省级，市级财政对城乡居民医疗的补助的项目指标由市里做决算。</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黑体" w:hAnsi="黑体" w:eastAsia="黑体" w:cs="黑体"/>
          <w:b w:val="0"/>
          <w:bCs/>
          <w:color w:val="333333"/>
          <w:sz w:val="30"/>
          <w:szCs w:val="30"/>
        </w:rPr>
      </w:pPr>
      <w:r>
        <w:rPr>
          <w:rFonts w:hint="eastAsia" w:ascii="黑体" w:hAnsi="黑体" w:eastAsia="黑体" w:cs="黑体"/>
          <w:b w:val="0"/>
          <w:bCs/>
          <w:color w:val="333333"/>
          <w:kern w:val="0"/>
          <w:sz w:val="30"/>
          <w:szCs w:val="30"/>
          <w:shd w:val="clear" w:color="auto" w:fill="FFFFFF"/>
          <w:lang w:val="en-US" w:eastAsia="zh-CN" w:bidi="ar"/>
        </w:rPr>
        <w:t>三、政府性基金预算支出情况</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2021年政府性基金预算收入为用于城乡医疗救助的彩票公益金支出收入77.34万元，支出为用于城乡医疗救助的彩票公益金支出77.34万元</w:t>
      </w:r>
      <w:r>
        <w:rPr>
          <w:rFonts w:hint="eastAsia" w:ascii="仿宋" w:hAnsi="仿宋" w:eastAsia="仿宋" w:cs="仿宋"/>
          <w:color w:val="333333"/>
          <w:kern w:val="0"/>
          <w:sz w:val="30"/>
          <w:szCs w:val="30"/>
          <w:shd w:val="clear" w:color="auto" w:fill="FFFFFF"/>
          <w:lang w:val="en-US" w:eastAsia="zh-CN" w:bidi="ar"/>
        </w:rPr>
        <w:t>。</w:t>
      </w:r>
      <w:r>
        <w:rPr>
          <w:rFonts w:hint="eastAsia" w:ascii="仿宋" w:hAnsi="仿宋" w:eastAsia="仿宋" w:cs="仿宋"/>
          <w:color w:val="000000"/>
          <w:kern w:val="0"/>
          <w:sz w:val="30"/>
          <w:szCs w:val="30"/>
          <w:shd w:val="clear" w:color="auto" w:fill="FFFFFF"/>
          <w:lang w:val="en-US" w:eastAsia="zh-CN" w:bidi="ar"/>
        </w:rPr>
        <w:t>相比去年，预算收入，支出均减少3020.83万元。原因是今年没有抗疫相关支出。</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黑体" w:hAnsi="黑体" w:eastAsia="黑体" w:cs="黑体"/>
          <w:b w:val="0"/>
          <w:bCs/>
          <w:color w:val="333333"/>
          <w:kern w:val="0"/>
          <w:sz w:val="30"/>
          <w:szCs w:val="30"/>
          <w:shd w:val="clear" w:color="auto" w:fill="FFFFFF"/>
          <w:lang w:val="en-US" w:eastAsia="zh-CN" w:bidi="ar"/>
        </w:rPr>
      </w:pPr>
      <w:r>
        <w:rPr>
          <w:rFonts w:hint="eastAsia" w:ascii="黑体" w:hAnsi="黑体" w:eastAsia="黑体" w:cs="黑体"/>
          <w:b w:val="0"/>
          <w:bCs/>
          <w:color w:val="333333"/>
          <w:kern w:val="0"/>
          <w:sz w:val="30"/>
          <w:szCs w:val="30"/>
          <w:shd w:val="clear" w:color="auto" w:fill="FFFFFF"/>
          <w:lang w:val="en-US" w:eastAsia="zh-CN" w:bidi="ar"/>
        </w:rPr>
        <w:t>四、国有资本经营预算支出情况</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000000"/>
          <w:kern w:val="0"/>
          <w:sz w:val="30"/>
          <w:szCs w:val="30"/>
          <w:shd w:val="clear" w:color="auto" w:fill="FFFFFF"/>
          <w:lang w:val="en-US" w:eastAsia="zh-CN" w:bidi="ar"/>
        </w:rPr>
      </w:pPr>
      <w:r>
        <w:rPr>
          <w:rFonts w:hint="eastAsia" w:ascii="仿宋" w:hAnsi="仿宋" w:eastAsia="仿宋" w:cs="仿宋"/>
          <w:color w:val="000000"/>
          <w:kern w:val="0"/>
          <w:sz w:val="30"/>
          <w:szCs w:val="30"/>
          <w:shd w:val="clear" w:color="auto" w:fill="FFFFFF"/>
          <w:lang w:val="en-US" w:eastAsia="zh-CN" w:bidi="ar"/>
        </w:rPr>
        <w:t> 本单位无国有资本经营预算支出。</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黑体" w:hAnsi="黑体" w:eastAsia="黑体" w:cs="黑体"/>
          <w:b w:val="0"/>
          <w:bCs/>
          <w:color w:val="333333"/>
          <w:kern w:val="0"/>
          <w:sz w:val="30"/>
          <w:szCs w:val="30"/>
          <w:shd w:val="clear" w:color="auto" w:fill="FFFFFF"/>
          <w:lang w:val="en-US" w:eastAsia="zh-CN" w:bidi="ar"/>
        </w:rPr>
      </w:pPr>
      <w:r>
        <w:rPr>
          <w:rFonts w:hint="eastAsia" w:ascii="黑体" w:hAnsi="黑体" w:eastAsia="黑体" w:cs="黑体"/>
          <w:b w:val="0"/>
          <w:bCs/>
          <w:color w:val="333333"/>
          <w:kern w:val="0"/>
          <w:sz w:val="30"/>
          <w:szCs w:val="30"/>
          <w:shd w:val="clear" w:color="auto" w:fill="FFFFFF"/>
          <w:lang w:val="en-US" w:eastAsia="zh-CN" w:bidi="ar"/>
        </w:rPr>
        <w:t>五、社会保险基金预算支出情况</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城乡居民医保2021年预计全年支出75058.96万元，城镇职工预计全年支出22070万元。（注：由于8月底国家医保信息平台上线后，新系统暂无统计功能，部分数据无法精准统计）</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1.基本医疗保障情况。截止12月中旬，城乡居民：住院补偿153219人次，统筹支出50345.54万元；门诊补偿206385人次，统筹支出11195.46万元； 城镇职工：住院统筹支出9182万元;门诊统筹支出689万元;生育医疗费用支出142万元;生育津贴支出586万元；职工个人账户支出8688万元；其他医疗支出1658万元。</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2.大病补偿情况。2021年，城乡居民大病商业保险受理案件6030起，补偿4420万元。城乡居民意外保险受理案件4450起，补偿1836万元。</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3.医疗救助保障情况：2021年住院医疗救助29189人次，救助金额1098.93万元（包含重特大疾病救助19085人次，金额345.25万元）；门诊医疗救助26330人次，救助金额181.68万元；资助特困人员、低保对象、建档立卡贫困人口等 19400 名贫困人口参保，全额或差额补助困难群众个人缴费部分共计 359.66 万元。</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4.疫情防控保障情况：城乡居民新冠疫苗接种已实际支出7261.96万元，还需支出3984.04万元；城镇职工新冠疫苗接种已实际支出874万元。</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黑体" w:hAnsi="黑体" w:eastAsia="黑体" w:cs="黑体"/>
          <w:color w:val="333333"/>
          <w:sz w:val="30"/>
          <w:szCs w:val="30"/>
        </w:rPr>
      </w:pPr>
      <w:r>
        <w:rPr>
          <w:rFonts w:hint="eastAsia" w:ascii="黑体" w:hAnsi="黑体" w:eastAsia="黑体" w:cs="黑体"/>
          <w:b/>
          <w:color w:val="333333"/>
          <w:kern w:val="0"/>
          <w:sz w:val="30"/>
          <w:szCs w:val="30"/>
          <w:shd w:val="clear" w:color="auto" w:fill="FFFFFF"/>
          <w:lang w:val="en-US" w:eastAsia="zh-CN" w:bidi="ar"/>
        </w:rPr>
        <w:t>六、部门整体支出绩效情况</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上级各项资金都按时到位，按资金来源的要求专款专用。全区医保资金金额大，覆盖面广，受益人数多。为了管理好这些资金，2021年我区医疗保障工作在区委、区政府和上级主管部门的正确领导下，在区直各有关部门的大力支持和配合下，认真贯彻落实上级医疗保障有关政策法规及文件精神，在确保基金安全的前提下，充分发挥基金效益，参保群众受益度不断提高，社会效益明显。参保对象对工作满意度95%。完善一站式服务平台，提高了群众报账效率、优化报账流程。参保群众对城乡居民医保工作开展比较满意。现行的城乡居民医保制度更优质、更实际，参保居民的获得感和满意度不断提高。</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黑体" w:hAnsi="黑体" w:eastAsia="黑体" w:cs="黑体"/>
          <w:b/>
          <w:color w:val="333333"/>
          <w:kern w:val="0"/>
          <w:sz w:val="30"/>
          <w:szCs w:val="30"/>
          <w:shd w:val="clear" w:color="auto" w:fill="FFFFFF"/>
          <w:lang w:val="en-US" w:eastAsia="zh-CN" w:bidi="ar"/>
        </w:rPr>
      </w:pPr>
      <w:r>
        <w:rPr>
          <w:rFonts w:hint="eastAsia" w:ascii="黑体" w:hAnsi="黑体" w:eastAsia="黑体" w:cs="黑体"/>
          <w:b/>
          <w:color w:val="333333"/>
          <w:kern w:val="0"/>
          <w:sz w:val="30"/>
          <w:szCs w:val="30"/>
          <w:shd w:val="clear" w:color="auto" w:fill="FFFFFF"/>
          <w:lang w:val="en-US" w:eastAsia="zh-CN" w:bidi="ar"/>
        </w:rPr>
        <w:t>七、存在的问题及原因分析</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仿宋" w:hAnsi="仿宋" w:eastAsia="仿宋" w:cs="仿宋"/>
          <w:b/>
          <w:bCs/>
          <w:color w:val="333333"/>
          <w:sz w:val="30"/>
          <w:szCs w:val="30"/>
        </w:rPr>
      </w:pPr>
      <w:r>
        <w:rPr>
          <w:rFonts w:hint="eastAsia" w:ascii="仿宋" w:hAnsi="仿宋" w:eastAsia="仿宋" w:cs="仿宋"/>
          <w:b/>
          <w:bCs/>
          <w:color w:val="000000"/>
          <w:kern w:val="0"/>
          <w:sz w:val="30"/>
          <w:szCs w:val="30"/>
          <w:shd w:val="clear" w:color="auto" w:fill="FFFFFF"/>
          <w:lang w:val="en-US" w:eastAsia="zh-CN" w:bidi="ar"/>
        </w:rPr>
        <w:t>（一）筹资年年提标，筹资压力加大</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2021年个人缴费标准由280元提高到320元，个人缴费标准逐年增加，部分群众交了没享受过报销，不能接受缴费年年涨的事实，不愿意交钱参保；部分在外地务工人员，在当地参加了医疗保险，由于政策要求不能重复参保重复报销，所以这一部分人在赫山就不再参保了，乡镇、街道筹资压力加大，若参保率下降，基金盘量减小，我区医保基金存在安全隐患。</w:t>
      </w:r>
    </w:p>
    <w:p>
      <w:pPr>
        <w:pStyle w:val="7"/>
        <w:pageBreakBefore w:val="0"/>
        <w:shd w:val="clear" w:color="auto" w:fill="FFFFFF"/>
        <w:kinsoku/>
        <w:wordWrap/>
        <w:overflowPunct/>
        <w:topLinePunct w:val="0"/>
        <w:bidi w:val="0"/>
        <w:spacing w:before="0" w:beforeAutospacing="0" w:after="0" w:afterAutospacing="0" w:line="600" w:lineRule="exact"/>
        <w:ind w:firstLine="602" w:firstLineChars="200"/>
        <w:textAlignment w:val="auto"/>
        <w:rPr>
          <w:rFonts w:hint="eastAsia" w:ascii="仿宋" w:hAnsi="仿宋" w:eastAsia="仿宋" w:cs="仿宋"/>
          <w:color w:val="333333"/>
          <w:sz w:val="30"/>
          <w:szCs w:val="30"/>
        </w:rPr>
      </w:pPr>
      <w:r>
        <w:rPr>
          <w:rFonts w:hint="eastAsia" w:ascii="仿宋" w:hAnsi="仿宋" w:eastAsia="仿宋" w:cs="仿宋"/>
          <w:b/>
          <w:bCs/>
          <w:color w:val="000000"/>
          <w:kern w:val="0"/>
          <w:sz w:val="30"/>
          <w:szCs w:val="30"/>
          <w:shd w:val="clear" w:color="auto" w:fill="FFFFFF"/>
          <w:lang w:val="en-US" w:eastAsia="zh-CN" w:bidi="ar"/>
        </w:rPr>
        <w:t>（二）医疗费用增长过快，基金面临压力</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近几年，由于参保群众就医需求提高，医疗机构受利益的驱动，各种检查、用药费用居高不下，参保群众住院费用越来越高，参保群众住院费用逐年增长，医保基金的增长幅度远远不及住院费用的增长速度。开通省、市即时结算以后，医疗机构我们无法监管，方便了参保群众的同时医保基金也面临不小的压力。</w:t>
      </w:r>
    </w:p>
    <w:p>
      <w:pPr>
        <w:pStyle w:val="7"/>
        <w:pageBreakBefore w:val="0"/>
        <w:shd w:val="clear" w:color="auto" w:fill="FFFFFF"/>
        <w:kinsoku/>
        <w:wordWrap/>
        <w:overflowPunct/>
        <w:topLinePunct w:val="0"/>
        <w:bidi w:val="0"/>
        <w:spacing w:before="0" w:beforeAutospacing="0" w:after="0" w:afterAutospacing="0" w:line="600" w:lineRule="exact"/>
        <w:ind w:firstLine="602" w:firstLineChars="200"/>
        <w:textAlignment w:val="auto"/>
        <w:rPr>
          <w:rFonts w:hint="eastAsia" w:ascii="仿宋" w:hAnsi="仿宋" w:eastAsia="仿宋" w:cs="仿宋"/>
          <w:b/>
          <w:bCs/>
          <w:color w:val="000000"/>
          <w:kern w:val="0"/>
          <w:sz w:val="30"/>
          <w:szCs w:val="30"/>
          <w:shd w:val="clear" w:color="auto" w:fill="FFFFFF"/>
          <w:lang w:val="en-US" w:eastAsia="zh-CN" w:bidi="ar"/>
        </w:rPr>
      </w:pPr>
      <w:r>
        <w:rPr>
          <w:rFonts w:hint="eastAsia" w:ascii="仿宋" w:hAnsi="仿宋" w:eastAsia="仿宋" w:cs="仿宋"/>
          <w:b/>
          <w:bCs/>
          <w:color w:val="000000"/>
          <w:kern w:val="0"/>
          <w:sz w:val="30"/>
          <w:szCs w:val="30"/>
          <w:shd w:val="clear" w:color="auto" w:fill="FFFFFF"/>
          <w:lang w:val="en-US" w:eastAsia="zh-CN" w:bidi="ar"/>
        </w:rPr>
        <w:t>（三）医院违规现象存在，监管难度增大</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一是门诊病人住院化。不应该收住院的门诊病人收住院治疗来增加医疗费用，一张床位住多个病人。二是检查用药主观化。不要检查的项目统统用上来，不要用的抗生素、价格高的中药和西药一并用上。三是追求利润最大化。没有上的服务项目收了费用；转诊病人还在虚记医疗费用；故意拖延住院时间套取医疗费用等。因协议医院太多，稽查人手有限，给监管带来了很大的难度。</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黑体" w:hAnsi="黑体" w:eastAsia="黑体" w:cs="黑体"/>
          <w:color w:val="333333"/>
          <w:sz w:val="30"/>
          <w:szCs w:val="30"/>
        </w:rPr>
      </w:pPr>
      <w:r>
        <w:rPr>
          <w:rFonts w:hint="eastAsia" w:ascii="黑体" w:hAnsi="黑体" w:eastAsia="黑体" w:cs="黑体"/>
          <w:b/>
          <w:color w:val="333333"/>
          <w:kern w:val="0"/>
          <w:sz w:val="30"/>
          <w:szCs w:val="30"/>
          <w:shd w:val="clear" w:color="auto" w:fill="FFFFFF"/>
          <w:lang w:val="en-US" w:eastAsia="zh-CN" w:bidi="ar"/>
        </w:rPr>
        <w:t>八、下一步改进措施</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仿宋" w:hAnsi="仿宋" w:eastAsia="仿宋" w:cs="仿宋"/>
          <w:color w:val="333333"/>
          <w:sz w:val="30"/>
          <w:szCs w:val="30"/>
        </w:rPr>
      </w:pPr>
      <w:r>
        <w:rPr>
          <w:rFonts w:hint="eastAsia" w:ascii="仿宋" w:hAnsi="仿宋" w:eastAsia="仿宋" w:cs="仿宋"/>
          <w:b/>
          <w:color w:val="333333"/>
          <w:kern w:val="0"/>
          <w:sz w:val="30"/>
          <w:szCs w:val="30"/>
          <w:shd w:val="clear" w:color="auto" w:fill="FFFFFF"/>
          <w:lang w:val="en-US" w:eastAsia="zh-CN" w:bidi="ar"/>
        </w:rPr>
        <w:t>（一）进一步确保基金征缴稳健发展</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调整和完善筹资机制，明确政府、用人单位、个人的责任，形成合理分担机制，提高可持续性。税务部门、医保部门进一步完善征缴系统，加强征收人员培训，加大筹资宣传力度，及时做好相关数据对接，确保医保系统与征缴系统“无缝对接”。确保困难群众及时享受相应医保待遇。</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仿宋" w:hAnsi="仿宋" w:eastAsia="仿宋" w:cs="仿宋"/>
          <w:color w:val="333333"/>
          <w:sz w:val="30"/>
          <w:szCs w:val="30"/>
        </w:rPr>
      </w:pPr>
      <w:r>
        <w:rPr>
          <w:rFonts w:hint="eastAsia" w:ascii="仿宋" w:hAnsi="仿宋" w:eastAsia="仿宋" w:cs="仿宋"/>
          <w:b/>
          <w:color w:val="000000"/>
          <w:kern w:val="0"/>
          <w:sz w:val="30"/>
          <w:szCs w:val="30"/>
          <w:shd w:val="clear" w:color="auto" w:fill="FFFFFF"/>
          <w:lang w:val="en-US" w:eastAsia="zh-CN" w:bidi="ar"/>
        </w:rPr>
        <w:t>（二）进一步健全医疗保障制度体系</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一是全面实施基本医疗保险和生育保险市级统筹，按全市统一的基本政策和待遇标准，即统一政策、统一经办流程、统一经办机构、统一信息化建设四个统一。二是规范医疗救助资金管理。实现基本医保、大病保险、医疗救助等制度之间的互补联动，有机衔接。三是强力推进普通门诊、“两病”门诊、特殊病种门诊统筹工作的实施。四是大力推动单病种付费，减少基本医疗统筹支付，并将单病种收付费实施情况纳入协议医疗机构协议管理。</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仿宋" w:hAnsi="仿宋" w:eastAsia="仿宋" w:cs="仿宋"/>
          <w:color w:val="333333"/>
          <w:sz w:val="30"/>
          <w:szCs w:val="30"/>
        </w:rPr>
      </w:pPr>
      <w:r>
        <w:rPr>
          <w:rFonts w:hint="eastAsia" w:ascii="仿宋" w:hAnsi="仿宋" w:eastAsia="仿宋" w:cs="仿宋"/>
          <w:b/>
          <w:color w:val="000000"/>
          <w:kern w:val="0"/>
          <w:sz w:val="30"/>
          <w:szCs w:val="30"/>
          <w:shd w:val="clear" w:color="auto" w:fill="FFFFFF"/>
          <w:lang w:val="en-US" w:eastAsia="zh-CN" w:bidi="ar"/>
        </w:rPr>
        <w:t>（三）进一步落实待遇保障政策</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一抓住院报销待遇。依照医保市级统筹政策规定，最大限度提高住院病人特别是重症、大病患者报销比例。二抓门诊统筹。高调落实高血压、糖尿病门诊待遇和43种慢性病长期在家服药治疗的报销落地。三抓特困群体基本医疗政策性保障和医疗精准救助，最大限度地减轻群众医疗费用负担。</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仿宋" w:hAnsi="仿宋" w:eastAsia="仿宋" w:cs="仿宋"/>
          <w:color w:val="333333"/>
          <w:sz w:val="30"/>
          <w:szCs w:val="30"/>
        </w:rPr>
      </w:pPr>
      <w:r>
        <w:rPr>
          <w:rFonts w:hint="eastAsia" w:ascii="仿宋" w:hAnsi="仿宋" w:eastAsia="仿宋" w:cs="仿宋"/>
          <w:b/>
          <w:color w:val="000000"/>
          <w:kern w:val="0"/>
          <w:sz w:val="30"/>
          <w:szCs w:val="30"/>
          <w:shd w:val="clear" w:color="auto" w:fill="FFFFFF"/>
          <w:lang w:val="en-US" w:eastAsia="zh-CN" w:bidi="ar"/>
        </w:rPr>
        <w:t>（四）进一步加大医保基金监管力度</w:t>
      </w:r>
    </w:p>
    <w:p>
      <w:pPr>
        <w:pageBreakBefore w:val="0"/>
        <w:shd w:val="clear" w:color="auto" w:fill="FFFFFF"/>
        <w:kinsoku/>
        <w:wordWrap/>
        <w:overflowPunct/>
        <w:topLinePunct w:val="0"/>
        <w:bidi w:val="0"/>
        <w:spacing w:line="600" w:lineRule="exact"/>
        <w:ind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000000"/>
          <w:kern w:val="0"/>
          <w:sz w:val="30"/>
          <w:szCs w:val="30"/>
          <w:shd w:val="clear" w:color="auto" w:fill="FFFFFF"/>
          <w:lang w:val="en-US" w:eastAsia="zh-CN" w:bidi="ar"/>
        </w:rPr>
        <w:t>细化医保参保系统与税务征缴系统有效对接，实时掌握参保缴费进度和参保人员身份信息，坚决杜绝重复参保行为。持续开展打击欺诈骗保专项行动，继续坚持问题导向，及时摸排问题线索，严肃查处欺诈骗保行为。重点加大对协议医疗机构和协议零售药店的稽核力度，运用现场稽查、网上审核、病历抽查、人脸识别远程查房等手段进行稽核，重点治理无指征住院、小病大治、过度医疗等套取骗取医保基金等问题，把人民群众“救命钱”用在刀刃上。</w:t>
      </w:r>
    </w:p>
    <w:p>
      <w:pPr>
        <w:pageBreakBefore w:val="0"/>
        <w:shd w:val="clear" w:color="auto" w:fill="FFFFFF"/>
        <w:kinsoku/>
        <w:wordWrap/>
        <w:overflowPunct/>
        <w:topLinePunct w:val="0"/>
        <w:bidi w:val="0"/>
        <w:spacing w:line="600" w:lineRule="exact"/>
        <w:ind w:firstLine="602" w:firstLineChars="200"/>
        <w:jc w:val="left"/>
        <w:textAlignment w:val="auto"/>
        <w:rPr>
          <w:rFonts w:hint="eastAsia" w:ascii="黑体" w:hAnsi="黑体" w:eastAsia="黑体" w:cs="黑体"/>
          <w:color w:val="333333"/>
          <w:sz w:val="30"/>
          <w:szCs w:val="30"/>
        </w:rPr>
      </w:pPr>
      <w:r>
        <w:rPr>
          <w:rFonts w:hint="eastAsia" w:ascii="黑体" w:hAnsi="黑体" w:eastAsia="黑体" w:cs="黑体"/>
          <w:b/>
          <w:color w:val="333333"/>
          <w:kern w:val="0"/>
          <w:sz w:val="30"/>
          <w:szCs w:val="30"/>
          <w:shd w:val="clear" w:color="auto" w:fill="FFFFFF"/>
          <w:lang w:val="en-US" w:eastAsia="zh-CN" w:bidi="ar"/>
        </w:rPr>
        <w:t>九、其他需要说明的情况</w:t>
      </w:r>
    </w:p>
    <w:p>
      <w:pPr>
        <w:pStyle w:val="7"/>
        <w:pageBreakBefore w:val="0"/>
        <w:shd w:val="clear" w:color="auto" w:fill="FFFFFF"/>
        <w:kinsoku/>
        <w:wordWrap/>
        <w:overflowPunct/>
        <w:topLinePunct w:val="0"/>
        <w:bidi w:val="0"/>
        <w:spacing w:before="0" w:beforeAutospacing="0" w:after="0" w:afterAutospacing="0" w:line="600" w:lineRule="exact"/>
        <w:ind w:firstLine="600" w:firstLineChars="200"/>
        <w:textAlignment w:val="auto"/>
        <w:rPr>
          <w:rFonts w:hint="eastAsia" w:ascii="仿宋" w:hAnsi="仿宋" w:eastAsia="仿宋" w:cs="仿宋"/>
          <w:color w:val="333333"/>
          <w:sz w:val="30"/>
          <w:szCs w:val="30"/>
        </w:rPr>
      </w:pPr>
      <w:r>
        <w:rPr>
          <w:rFonts w:hint="eastAsia" w:ascii="仿宋" w:hAnsi="仿宋" w:eastAsia="仿宋" w:cs="仿宋"/>
          <w:color w:val="000000"/>
          <w:sz w:val="30"/>
          <w:szCs w:val="30"/>
          <w:shd w:val="clear" w:color="auto" w:fill="FFFFFF"/>
        </w:rPr>
        <w:t>无其他需要说明的情况。</w:t>
      </w:r>
    </w:p>
    <w:p>
      <w:pPr>
        <w:pStyle w:val="7"/>
        <w:pageBreakBefore w:val="0"/>
        <w:shd w:val="clear" w:color="auto" w:fill="FFFFFF"/>
        <w:kinsoku/>
        <w:wordWrap/>
        <w:overflowPunct/>
        <w:topLinePunct w:val="0"/>
        <w:bidi w:val="0"/>
        <w:spacing w:before="0" w:beforeAutospacing="0" w:after="0" w:afterAutospacing="0" w:line="600" w:lineRule="exact"/>
        <w:ind w:firstLine="600" w:firstLineChars="200"/>
        <w:textAlignment w:val="auto"/>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lang w:val="en-US" w:eastAsia="zh-CN"/>
        </w:rPr>
        <w:t>附件：2021年度部门整体支出绩效自评指标计分表</w:t>
      </w:r>
    </w:p>
    <w:p>
      <w:pPr>
        <w:pageBreakBefore w:val="0"/>
        <w:shd w:val="clear" w:color="auto" w:fill="FFFFFF"/>
        <w:kinsoku/>
        <w:wordWrap/>
        <w:overflowPunct/>
        <w:topLinePunct w:val="0"/>
        <w:bidi w:val="0"/>
        <w:spacing w:line="600" w:lineRule="exact"/>
        <w:ind w:firstLine="600" w:firstLineChars="200"/>
        <w:jc w:val="right"/>
        <w:textAlignment w:val="auto"/>
        <w:rPr>
          <w:rFonts w:hint="eastAsia" w:ascii="仿宋" w:hAnsi="仿宋" w:eastAsia="仿宋" w:cs="仿宋"/>
          <w:color w:val="000000"/>
          <w:kern w:val="0"/>
          <w:sz w:val="30"/>
          <w:szCs w:val="30"/>
          <w:shd w:val="clear" w:color="auto" w:fill="FFFFFF"/>
          <w:lang w:val="en-US" w:eastAsia="zh-CN" w:bidi="ar"/>
        </w:rPr>
      </w:pPr>
      <w:r>
        <w:rPr>
          <w:rFonts w:hint="eastAsia" w:ascii="仿宋" w:hAnsi="仿宋" w:eastAsia="仿宋" w:cs="仿宋"/>
          <w:color w:val="000000"/>
          <w:kern w:val="0"/>
          <w:sz w:val="30"/>
          <w:szCs w:val="30"/>
          <w:shd w:val="clear" w:color="auto" w:fill="FFFFFF"/>
          <w:lang w:val="en-US" w:eastAsia="zh-CN" w:bidi="ar"/>
        </w:rPr>
        <w:t> </w:t>
      </w:r>
    </w:p>
    <w:p>
      <w:pPr>
        <w:pageBreakBefore w:val="0"/>
        <w:shd w:val="clear" w:color="auto" w:fill="FFFFFF"/>
        <w:kinsoku/>
        <w:wordWrap/>
        <w:overflowPunct/>
        <w:topLinePunct w:val="0"/>
        <w:bidi w:val="0"/>
        <w:spacing w:line="600" w:lineRule="exact"/>
        <w:ind w:firstLine="600" w:firstLineChars="200"/>
        <w:jc w:val="center"/>
        <w:textAlignment w:val="auto"/>
        <w:rPr>
          <w:rFonts w:hint="eastAsia" w:ascii="黑体" w:hAnsi="黑体" w:eastAsia="黑体" w:cs="黑体"/>
          <w:color w:val="333333"/>
          <w:kern w:val="0"/>
          <w:sz w:val="30"/>
          <w:szCs w:val="30"/>
          <w:shd w:val="clear" w:color="auto" w:fill="FFFFFF"/>
          <w:lang w:val="en-US" w:eastAsia="zh-CN" w:bidi="ar"/>
        </w:rPr>
      </w:pPr>
    </w:p>
    <w:p>
      <w:pPr>
        <w:pageBreakBefore w:val="0"/>
        <w:shd w:val="clear" w:color="auto" w:fill="FFFFFF"/>
        <w:kinsoku/>
        <w:wordWrap/>
        <w:overflowPunct/>
        <w:topLinePunct w:val="0"/>
        <w:bidi w:val="0"/>
        <w:spacing w:line="600" w:lineRule="exact"/>
        <w:ind w:firstLine="600" w:firstLineChars="200"/>
        <w:jc w:val="center"/>
        <w:textAlignment w:val="auto"/>
        <w:rPr>
          <w:rFonts w:hint="eastAsia" w:ascii="黑体" w:hAnsi="黑体" w:eastAsia="黑体" w:cs="黑体"/>
          <w:color w:val="333333"/>
          <w:kern w:val="0"/>
          <w:sz w:val="30"/>
          <w:szCs w:val="30"/>
          <w:shd w:val="clear" w:color="auto" w:fill="FFFFFF"/>
          <w:lang w:val="en-US" w:eastAsia="zh-CN" w:bidi="ar"/>
        </w:rPr>
      </w:pPr>
    </w:p>
    <w:p>
      <w:pPr>
        <w:pageBreakBefore w:val="0"/>
        <w:shd w:val="clear" w:color="auto" w:fill="FFFFFF"/>
        <w:kinsoku/>
        <w:wordWrap/>
        <w:overflowPunct/>
        <w:topLinePunct w:val="0"/>
        <w:bidi w:val="0"/>
        <w:spacing w:line="600" w:lineRule="exact"/>
        <w:ind w:firstLine="600" w:firstLineChars="200"/>
        <w:jc w:val="center"/>
        <w:textAlignment w:val="auto"/>
        <w:rPr>
          <w:rFonts w:hint="eastAsia" w:ascii="黑体" w:hAnsi="黑体" w:eastAsia="黑体" w:cs="黑体"/>
          <w:color w:val="333333"/>
          <w:kern w:val="0"/>
          <w:sz w:val="30"/>
          <w:szCs w:val="30"/>
          <w:shd w:val="clear" w:color="auto" w:fill="FFFFFF"/>
          <w:lang w:val="en-US" w:eastAsia="zh-CN" w:bidi="ar"/>
        </w:rPr>
      </w:pPr>
    </w:p>
    <w:p>
      <w:pPr>
        <w:pageBreakBefore w:val="0"/>
        <w:shd w:val="clear" w:color="auto" w:fill="FFFFFF"/>
        <w:kinsoku/>
        <w:wordWrap/>
        <w:overflowPunct/>
        <w:topLinePunct w:val="0"/>
        <w:bidi w:val="0"/>
        <w:spacing w:line="600" w:lineRule="exact"/>
        <w:ind w:firstLine="600" w:firstLineChars="200"/>
        <w:jc w:val="center"/>
        <w:textAlignment w:val="auto"/>
        <w:rPr>
          <w:rFonts w:hint="eastAsia" w:ascii="黑体" w:hAnsi="黑体" w:eastAsia="黑体" w:cs="黑体"/>
          <w:color w:val="333333"/>
          <w:kern w:val="0"/>
          <w:sz w:val="30"/>
          <w:szCs w:val="30"/>
          <w:shd w:val="clear" w:color="auto" w:fill="FFFFFF"/>
          <w:lang w:val="en-US" w:eastAsia="zh-CN" w:bidi="ar"/>
        </w:rPr>
      </w:pPr>
    </w:p>
    <w:p>
      <w:pPr>
        <w:pageBreakBefore w:val="0"/>
        <w:shd w:val="clear" w:color="auto" w:fill="FFFFFF"/>
        <w:kinsoku/>
        <w:wordWrap/>
        <w:overflowPunct/>
        <w:topLinePunct w:val="0"/>
        <w:bidi w:val="0"/>
        <w:spacing w:line="600" w:lineRule="exact"/>
        <w:ind w:firstLine="600" w:firstLineChars="200"/>
        <w:jc w:val="center"/>
        <w:textAlignment w:val="auto"/>
        <w:rPr>
          <w:rFonts w:hint="eastAsia"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lang w:val="en-US" w:eastAsia="zh-CN" w:bidi="ar"/>
        </w:rPr>
        <w:t>2021年度部门整体支出绩效自评指标计分表</w:t>
      </w:r>
    </w:p>
    <w:tbl>
      <w:tblPr>
        <w:tblStyle w:val="8"/>
        <w:tblW w:w="9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283"/>
        <w:gridCol w:w="512"/>
        <w:gridCol w:w="585"/>
        <w:gridCol w:w="349"/>
        <w:gridCol w:w="1837"/>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一级</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指标</w:t>
            </w:r>
          </w:p>
        </w:tc>
        <w:tc>
          <w:tcPr>
            <w:tcW w:w="570"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二级指标</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三级指标</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自评分</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指标解释</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投   入（20分）</w:t>
            </w:r>
          </w:p>
        </w:tc>
        <w:tc>
          <w:tcPr>
            <w:tcW w:w="570"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目标</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设定（5分）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绩效目标合理性（2分）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部门所设立的整体绩效目标依据是否充分，是否符合客观实际，用以反映和考核部门整体绩效目标与部门履职、年度工作任务的相符性情况。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绩效指标明确性（3分）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3</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部门依据整体绩效目标所设定的绩效指标是否清晰、细化、可衡量，用以反映和考核部门整体绩效目标的明细化情况。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预算</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配置（15分）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在职人员控制率（5分）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部门本年度实际在职人员数与编制数的比率，用以反映和考核部门对人员成本的控制程度。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“三公经费”</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变动率（5分）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部门本年度“三公经费”预算数与上年度“三公经费”预算数的变动比率，用以反映和考核部门对控制重点行政成本的努力程度。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重点支出安排率（5分）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部门本年度预算安排的重点项目支出与部门项目总支出的比率，用以反映和考核部门对履行主要职责或完成重点任务的保障程度。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过程（30分）</w:t>
            </w:r>
          </w:p>
        </w:tc>
        <w:tc>
          <w:tcPr>
            <w:tcW w:w="570"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预算</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执行</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（20分）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预算完成率（4分）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4</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部门本年度预算完成数与预算数的比率，用以反映和考核部门预算完成程度。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预算调整率（2分）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部门本年度预算调整数与预算数的比率，用以反映和考核部门预算的调整程度。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支付进度率（2分）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部门实际支付进度与既定支付进度的比率，用以反映和考核部门预算执行的及时性和均衡性程度。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ind w:left="113"/>
              <w:jc w:val="center"/>
              <w:rPr>
                <w:rFonts w:hint="default"/>
                <w:sz w:val="21"/>
                <w:szCs w:val="24"/>
              </w:rPr>
            </w:pPr>
            <w:r>
              <w:rPr>
                <w:rFonts w:hint="eastAsia" w:ascii="宋体" w:hAnsi="宋体" w:cs="宋体"/>
                <w:color w:val="333333"/>
                <w:kern w:val="0"/>
                <w:sz w:val="21"/>
                <w:szCs w:val="21"/>
                <w:lang w:val="en-US" w:eastAsia="zh-CN" w:bidi="ar"/>
              </w:rPr>
              <w:t>过             程（30分）</w:t>
            </w:r>
          </w:p>
        </w:tc>
        <w:tc>
          <w:tcPr>
            <w:tcW w:w="570"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预算</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执行</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（20分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结转结余控制率（4分）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3</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部门本年度结转结余总额与上年结转结余总额增减比例，用以反映和考核部门对存量资金的实际控制程度。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公用经费</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控制率（2分）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部门本年度实际支出的公用经费总额与预算安排的公用经费总额的比率，用以反映和考核部门对机构运转成本的实际控制程度。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“三公经费”控制率（2分）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部门本年度“三公经费”实际支出数与预算安排数的比率，用以反映和考核部门对“三公经费”的实际控制程度。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政府采购</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执行率（4分）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3</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部门本年度实际政府采购金额与年初政府采购预算的比率，用以反映和考核部门政府采购预算执行情况。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预算</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管理</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管理制度</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健全性（2分）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部门为加强预算管理、规范财务行为而制定的管理制度是否健全完整，用以反映和考核部门预算管理制度对完成主要职责或促进事业发展的保障情况。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资金使用</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合规性（1分）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1</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部门使用预算资金是否符合相关的预算财务管理制度的规定，用以反映和考核部门预算资金的规范运行情况。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预决算信</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息公开性（1分）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1</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部门是否按照政府信息公开有关规定公开相关预决算信息，用以反映和考核部门预决算管理的公开透明情况。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基础信息</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完善性（1分）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1</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部门基础信息是否完善，用以反映和考核基础信息对预算管理工作的支撑情况。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资产</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管理</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管理制度</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健全性（2分）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部门为加强资产管理、规范资产管理行为而制定的管理制度是否健全完整，用以反映和考核部门资产管理制度对完成主要职责或促进社会发展的保障情况。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restart"/>
            <w:tcBorders>
              <w:tl2br w:val="nil"/>
              <w:tr2bl w:val="nil"/>
            </w:tcBorders>
            <w:shd w:val="clear" w:color="auto" w:fill="FFFFFF"/>
            <w:noWrap w:val="0"/>
            <w:tcMar>
              <w:top w:w="0" w:type="dxa"/>
              <w:left w:w="0" w:type="dxa"/>
              <w:bottom w:w="0" w:type="dxa"/>
              <w:right w:w="0" w:type="dxa"/>
            </w:tcMar>
            <w:vAlign w:val="center"/>
          </w:tcPr>
          <w:p>
            <w:pPr>
              <w:spacing w:line="480" w:lineRule="atLeast"/>
              <w:ind w:left="113"/>
              <w:jc w:val="center"/>
              <w:rPr>
                <w:rFonts w:hint="default"/>
                <w:sz w:val="21"/>
                <w:szCs w:val="24"/>
              </w:rPr>
            </w:pPr>
            <w:r>
              <w:rPr>
                <w:rFonts w:hint="eastAsia" w:ascii="宋体" w:hAnsi="宋体" w:cs="宋体"/>
                <w:color w:val="333333"/>
                <w:kern w:val="0"/>
                <w:sz w:val="21"/>
                <w:szCs w:val="21"/>
                <w:lang w:val="en-US" w:eastAsia="zh-CN" w:bidi="ar"/>
              </w:rPr>
              <w:t>过             程（30分）</w:t>
            </w:r>
          </w:p>
        </w:tc>
        <w:tc>
          <w:tcPr>
            <w:tcW w:w="570" w:type="dxa"/>
            <w:vMerge w:val="restart"/>
            <w:tcBorders>
              <w:tl2br w:val="nil"/>
              <w:tr2bl w:val="nil"/>
            </w:tcBorders>
            <w:shd w:val="clear" w:color="auto" w:fill="FFFFFF"/>
            <w:noWrap w:val="0"/>
            <w:tcMar>
              <w:top w:w="0" w:type="dxa"/>
              <w:left w:w="0" w:type="dxa"/>
              <w:bottom w:w="0" w:type="dxa"/>
              <w:right w:w="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资产</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管理</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资产管理</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安全性（2分）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2</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部门的资产是否保存完整、使用合规、配置合理、处置规范、收入及时足额上缴，用以反映和考核部门资产安全运行情况。</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固定资产</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利用率（1分）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1</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部门实际在用固定资产总额与所有固定资产总额的比率，用以反映和考核部门固定资产使用效率程度。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产   出（30分）</w:t>
            </w:r>
          </w:p>
        </w:tc>
        <w:tc>
          <w:tcPr>
            <w:tcW w:w="570"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职责</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履行</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实际完成率（8分）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7</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部门履行职责而实际完成工作数与计划工作数的比率，用以反映和考核部门履职工作任务目标的实现程度。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完成及时率（4分）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4</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部门在规定时限内及时完成的实际工作数与计划工作数的比率,用以反映和考核部门履职时效目标的实现程度。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完成及时率=（及时完成实际工作数/计划工作数）×100%。1-4季度各得1分</w:t>
            </w:r>
          </w:p>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质量达标率（8分）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7</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达到质量标准（绩效标准值）的实际工作数与计划工作数的比率,用以反映和考核部门履职质量目标的实现程度。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重点工作</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办结率（10分）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9</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部门年度重点工作实际完成数与交办或下达数的比率，用以反映部门对重点工作的办理落实程度。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效   果（20分）</w:t>
            </w:r>
          </w:p>
        </w:tc>
        <w:tc>
          <w:tcPr>
            <w:tcW w:w="570"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履职</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效益（20分）</w:t>
            </w: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经济效益（5分）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部门履行职责对经济发展所带来的直接或间接影响。</w:t>
            </w:r>
          </w:p>
        </w:tc>
        <w:tc>
          <w:tcPr>
            <w:tcW w:w="4122" w:type="dxa"/>
            <w:vMerge w:val="restart"/>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社会效益（5分）</w:t>
            </w:r>
          </w:p>
        </w:tc>
        <w:tc>
          <w:tcPr>
            <w:tcW w:w="446" w:type="dxa"/>
            <w:tcBorders>
              <w:tl2br w:val="nil"/>
              <w:tr2bl w:val="nil"/>
            </w:tcBorders>
            <w:shd w:val="clear" w:color="auto" w:fill="FFFFFF"/>
            <w:noWrap w:val="0"/>
            <w:tcMar>
              <w:top w:w="0" w:type="dxa"/>
              <w:left w:w="0" w:type="dxa"/>
              <w:bottom w:w="0" w:type="dxa"/>
              <w:right w:w="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部门履行职责对社会发展所带来的直接或间接影响。</w:t>
            </w:r>
          </w:p>
        </w:tc>
        <w:tc>
          <w:tcPr>
            <w:tcW w:w="4122"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生态效益（5分）</w:t>
            </w:r>
          </w:p>
        </w:tc>
        <w:tc>
          <w:tcPr>
            <w:tcW w:w="446" w:type="dxa"/>
            <w:tcBorders>
              <w:tl2br w:val="nil"/>
              <w:tr2bl w:val="nil"/>
            </w:tcBorders>
            <w:shd w:val="clear" w:color="auto" w:fill="FFFFFF"/>
            <w:noWrap w:val="0"/>
            <w:tcMar>
              <w:top w:w="0" w:type="dxa"/>
              <w:left w:w="0" w:type="dxa"/>
              <w:bottom w:w="0" w:type="dxa"/>
              <w:right w:w="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部门履行职责对生态环境所带来的直接或间接影响。</w:t>
            </w:r>
          </w:p>
        </w:tc>
        <w:tc>
          <w:tcPr>
            <w:tcW w:w="4122"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547"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570" w:type="dxa"/>
            <w:vMerge w:val="continue"/>
            <w:tcBorders>
              <w:tl2br w:val="nil"/>
              <w:tr2bl w:val="nil"/>
            </w:tcBorders>
            <w:shd w:val="clear" w:color="auto" w:fill="FFFFFF"/>
            <w:noWrap w:val="0"/>
            <w:tcMar>
              <w:top w:w="10" w:type="dxa"/>
              <w:left w:w="10" w:type="dxa"/>
              <w:bottom w:w="0" w:type="dxa"/>
              <w:right w:w="10" w:type="dxa"/>
            </w:tcMar>
            <w:vAlign w:val="center"/>
          </w:tcPr>
          <w:p>
            <w:pPr>
              <w:rPr>
                <w:rFonts w:hint="eastAsia" w:ascii="微软雅黑" w:hAnsi="微软雅黑" w:eastAsia="微软雅黑" w:cs="微软雅黑"/>
                <w:color w:val="333333"/>
                <w:sz w:val="24"/>
                <w:szCs w:val="24"/>
              </w:rPr>
            </w:pPr>
          </w:p>
        </w:tc>
        <w:tc>
          <w:tcPr>
            <w:tcW w:w="703"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社会公众</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或服务对</w:t>
            </w:r>
          </w:p>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象满意度（5分）</w:t>
            </w:r>
          </w:p>
        </w:tc>
        <w:tc>
          <w:tcPr>
            <w:tcW w:w="44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center"/>
              <w:rPr>
                <w:rFonts w:hint="default"/>
                <w:sz w:val="21"/>
                <w:szCs w:val="24"/>
              </w:rPr>
            </w:pPr>
            <w:r>
              <w:rPr>
                <w:rFonts w:hint="eastAsia" w:ascii="宋体" w:hAnsi="宋体" w:cs="宋体"/>
                <w:color w:val="333333"/>
                <w:kern w:val="0"/>
                <w:sz w:val="21"/>
                <w:szCs w:val="21"/>
                <w:lang w:val="en-US" w:eastAsia="zh-CN" w:bidi="ar"/>
              </w:rPr>
              <w:t>5</w:t>
            </w:r>
          </w:p>
        </w:tc>
        <w:tc>
          <w:tcPr>
            <w:tcW w:w="2976"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社会公众或部门的服务对象对部门履职效果的满意程度。</w:t>
            </w:r>
          </w:p>
        </w:tc>
        <w:tc>
          <w:tcPr>
            <w:tcW w:w="4122" w:type="dxa"/>
            <w:tcBorders>
              <w:tl2br w:val="nil"/>
              <w:tr2bl w:val="nil"/>
            </w:tcBorders>
            <w:shd w:val="clear" w:color="auto" w:fill="FFFFFF"/>
            <w:noWrap w:val="0"/>
            <w:tcMar>
              <w:top w:w="10" w:type="dxa"/>
              <w:left w:w="10" w:type="dxa"/>
              <w:bottom w:w="0" w:type="dxa"/>
              <w:right w:w="10" w:type="dxa"/>
            </w:tcMar>
            <w:vAlign w:val="center"/>
          </w:tcPr>
          <w:p>
            <w:pPr>
              <w:spacing w:line="480" w:lineRule="atLeast"/>
              <w:jc w:val="left"/>
              <w:rPr>
                <w:rFonts w:hint="default"/>
                <w:sz w:val="21"/>
                <w:szCs w:val="24"/>
              </w:rPr>
            </w:pPr>
            <w:r>
              <w:rPr>
                <w:rFonts w:hint="eastAsia" w:ascii="宋体" w:hAnsi="宋体" w:cs="宋体"/>
                <w:color w:val="333333"/>
                <w:kern w:val="0"/>
                <w:sz w:val="21"/>
                <w:szCs w:val="21"/>
                <w:lang w:val="en-US" w:eastAsia="zh-CN" w:bidi="ar"/>
              </w:rPr>
              <w:t>按收集到的服务对象的满意率计算得分（5分）</w:t>
            </w:r>
          </w:p>
        </w:tc>
      </w:tr>
    </w:tbl>
    <w:p>
      <w:pPr>
        <w:pStyle w:val="6"/>
        <w:rPr>
          <w:rFonts w:hint="eastAsia"/>
          <w:sz w:val="18"/>
          <w:szCs w:val="24"/>
        </w:rPr>
      </w:pPr>
    </w:p>
    <w:p>
      <w:pPr>
        <w:ind w:left="0" w:leftChars="0" w:firstLine="0" w:firstLineChars="0"/>
        <w:jc w:val="center"/>
        <w:rPr>
          <w:rFonts w:hint="eastAsia" w:ascii="黑体" w:hAnsi="黑体" w:eastAsia="黑体" w:cs="黑体"/>
          <w:kern w:val="0"/>
          <w:sz w:val="36"/>
          <w:szCs w:val="36"/>
        </w:rPr>
      </w:pPr>
    </w:p>
    <w:p>
      <w:pPr>
        <w:ind w:left="0" w:leftChars="0" w:firstLine="0" w:firstLineChars="0"/>
        <w:jc w:val="center"/>
        <w:rPr>
          <w:rFonts w:hint="eastAsia" w:ascii="黑体" w:hAnsi="黑体" w:eastAsia="黑体" w:cs="黑体"/>
          <w:kern w:val="0"/>
          <w:sz w:val="36"/>
          <w:szCs w:val="36"/>
        </w:rPr>
      </w:pPr>
    </w:p>
    <w:p>
      <w:pPr>
        <w:ind w:left="0" w:leftChars="0" w:firstLine="0" w:firstLineChars="0"/>
        <w:jc w:val="center"/>
        <w:rPr>
          <w:rFonts w:hint="eastAsia" w:ascii="黑体" w:hAnsi="黑体" w:eastAsia="黑体" w:cs="黑体"/>
          <w:kern w:val="0"/>
          <w:sz w:val="36"/>
          <w:szCs w:val="36"/>
        </w:rPr>
      </w:pPr>
    </w:p>
    <w:p>
      <w:pPr>
        <w:ind w:left="0" w:leftChars="0" w:firstLine="0" w:firstLineChars="0"/>
        <w:jc w:val="center"/>
        <w:rPr>
          <w:rFonts w:hint="eastAsia" w:ascii="黑体" w:hAnsi="黑体" w:eastAsia="黑体" w:cs="黑体"/>
          <w:kern w:val="0"/>
          <w:sz w:val="36"/>
          <w:szCs w:val="36"/>
        </w:rPr>
      </w:pPr>
    </w:p>
    <w:p>
      <w:pPr>
        <w:ind w:left="0" w:leftChars="0" w:firstLine="0" w:firstLineChars="0"/>
        <w:jc w:val="center"/>
        <w:rPr>
          <w:rFonts w:hint="eastAsia" w:ascii="黑体" w:hAnsi="黑体" w:eastAsia="黑体" w:cs="黑体"/>
          <w:kern w:val="0"/>
          <w:sz w:val="36"/>
          <w:szCs w:val="36"/>
        </w:rPr>
      </w:pPr>
    </w:p>
    <w:p>
      <w:pPr>
        <w:ind w:left="0" w:leftChars="0" w:firstLine="0" w:firstLineChars="0"/>
        <w:jc w:val="center"/>
        <w:rPr>
          <w:rFonts w:hint="eastAsia" w:ascii="黑体" w:hAnsi="黑体" w:eastAsia="黑体" w:cs="黑体"/>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550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default" w:ascii="Times New Roman" w:hAnsi="Times New Roman" w:eastAsia="宋体" w:cs="Times New Roman"/>
      <w:kern w:val="2"/>
      <w:sz w:val="21"/>
      <w:szCs w:val="24"/>
    </w:rPr>
  </w:style>
  <w:style w:type="paragraph" w:styleId="3">
    <w:name w:val="heading 1"/>
    <w:basedOn w:val="1"/>
    <w:next w:val="1"/>
    <w:unhideWhenUsed/>
    <w:qFormat/>
    <w:uiPriority w:val="0"/>
    <w:pPr>
      <w:keepNext/>
      <w:keepLines/>
      <w:spacing w:before="340" w:after="330" w:line="576" w:lineRule="auto"/>
      <w:outlineLvl w:val="0"/>
    </w:pPr>
    <w:rPr>
      <w:rFonts w:hint="default"/>
      <w:b/>
      <w:kern w:val="44"/>
      <w:sz w:val="44"/>
      <w:szCs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eastAsia"/>
      <w:sz w:val="21"/>
      <w:szCs w:val="24"/>
    </w:rPr>
  </w:style>
  <w:style w:type="paragraph" w:styleId="4">
    <w:name w:val="index 5"/>
    <w:basedOn w:val="1"/>
    <w:next w:val="1"/>
    <w:unhideWhenUsed/>
    <w:qFormat/>
    <w:uiPriority w:val="0"/>
    <w:pPr>
      <w:ind w:left="1680"/>
    </w:pPr>
    <w:rPr>
      <w:rFonts w:hint="default"/>
      <w:sz w:val="21"/>
      <w:szCs w:val="24"/>
    </w:rPr>
  </w:style>
  <w:style w:type="paragraph" w:styleId="5">
    <w:name w:val="annotation text"/>
    <w:basedOn w:val="1"/>
    <w:qFormat/>
    <w:uiPriority w:val="0"/>
    <w:pPr>
      <w:jc w:val="left"/>
    </w:pPr>
  </w:style>
  <w:style w:type="paragraph" w:styleId="6">
    <w:name w:val="footer"/>
    <w:basedOn w:val="1"/>
    <w:next w:val="4"/>
    <w:unhideWhenUsed/>
    <w:qFormat/>
    <w:uiPriority w:val="99"/>
    <w:pPr>
      <w:tabs>
        <w:tab w:val="center" w:pos="4153"/>
        <w:tab w:val="right" w:pos="8306"/>
      </w:tabs>
      <w:snapToGrid w:val="0"/>
      <w:jc w:val="left"/>
    </w:pPr>
    <w:rPr>
      <w:rFonts w:hint="default"/>
      <w:sz w:val="18"/>
      <w:szCs w:val="24"/>
    </w:rPr>
  </w:style>
  <w:style w:type="paragraph" w:styleId="7">
    <w:name w:val="Normal (Web)"/>
    <w:basedOn w:val="1"/>
    <w:unhideWhenUsed/>
    <w:qFormat/>
    <w:uiPriority w:val="99"/>
    <w:pPr>
      <w:spacing w:before="100" w:beforeAutospacing="1" w:after="100" w:afterAutospacing="1"/>
      <w:jc w:val="left"/>
    </w:pPr>
    <w:rPr>
      <w:rFonts w:hint="default"/>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2023-06-25T05:10:07Z</dcterms:created>
  <dc:creator>admin-3</dc:creator>
  <cp:lastModifiedBy>admin-3</cp:lastModifiedBy>
  <dcterms:modified xsi:type="dcterms:W3CDTF">2023-06-25T05:10:28Z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EC5B4144B04B4107AA04B881746DE11B_12</vt:lpwstr>
  </property>
</Properties>
</file>