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10" w:rsidRDefault="004F1AB9">
      <w:pPr>
        <w:pStyle w:val="a4"/>
        <w:shd w:val="clear" w:color="auto" w:fill="FFFFFF"/>
        <w:spacing w:line="600" w:lineRule="exact"/>
        <w:jc w:val="center"/>
        <w:rPr>
          <w:rFonts w:ascii="黑体" w:eastAsia="黑体" w:hAnsi="黑体" w:cs="黑体"/>
          <w:color w:val="000000" w:themeColor="text1"/>
          <w:sz w:val="36"/>
          <w:szCs w:val="36"/>
          <w:shd w:val="clear" w:color="auto" w:fill="FFFFFF"/>
        </w:rPr>
      </w:pPr>
      <w:r>
        <w:rPr>
          <w:rFonts w:ascii="黑体" w:eastAsia="黑体" w:hAnsi="黑体" w:cs="黑体" w:hint="eastAsia"/>
          <w:color w:val="000000" w:themeColor="text1"/>
          <w:sz w:val="36"/>
          <w:szCs w:val="36"/>
          <w:shd w:val="clear" w:color="auto" w:fill="FFFFFF"/>
        </w:rPr>
        <w:t>益阳市赫山区市场监督管理局</w:t>
      </w:r>
      <w:r>
        <w:rPr>
          <w:rFonts w:ascii="黑体" w:eastAsia="黑体" w:hAnsi="黑体" w:cs="黑体" w:hint="eastAsia"/>
          <w:color w:val="000000" w:themeColor="text1"/>
          <w:sz w:val="36"/>
          <w:szCs w:val="36"/>
          <w:shd w:val="clear" w:color="auto" w:fill="FFFFFF"/>
        </w:rPr>
        <w:t>2021</w:t>
      </w:r>
      <w:r>
        <w:rPr>
          <w:rFonts w:ascii="黑体" w:eastAsia="黑体" w:hAnsi="黑体" w:cs="黑体" w:hint="eastAsia"/>
          <w:color w:val="000000" w:themeColor="text1"/>
          <w:sz w:val="36"/>
          <w:szCs w:val="36"/>
          <w:shd w:val="clear" w:color="auto" w:fill="FFFFFF"/>
        </w:rPr>
        <w:t>年部门</w:t>
      </w:r>
    </w:p>
    <w:p w:rsidR="00066910" w:rsidRDefault="004F1AB9">
      <w:pPr>
        <w:pStyle w:val="a4"/>
        <w:shd w:val="clear" w:color="auto" w:fill="FFFFFF"/>
        <w:spacing w:line="600" w:lineRule="exact"/>
        <w:jc w:val="center"/>
        <w:rPr>
          <w:rFonts w:ascii="黑体" w:eastAsia="黑体" w:hAnsi="黑体" w:cs="黑体"/>
          <w:b/>
          <w:bCs/>
          <w:color w:val="000000" w:themeColor="text1"/>
          <w:sz w:val="36"/>
          <w:szCs w:val="36"/>
          <w:shd w:val="clear" w:color="auto" w:fill="FFFFFF"/>
        </w:rPr>
      </w:pPr>
      <w:r>
        <w:rPr>
          <w:rFonts w:ascii="黑体" w:eastAsia="黑体" w:hAnsi="黑体" w:cs="黑体" w:hint="eastAsia"/>
          <w:color w:val="000000" w:themeColor="text1"/>
          <w:sz w:val="36"/>
          <w:szCs w:val="36"/>
          <w:shd w:val="clear" w:color="auto" w:fill="FFFFFF"/>
        </w:rPr>
        <w:t>整体支出绩效评价报告</w:t>
      </w:r>
    </w:p>
    <w:p w:rsidR="00066910" w:rsidRDefault="00066910">
      <w:pPr>
        <w:pStyle w:val="a4"/>
        <w:shd w:val="clear" w:color="auto" w:fill="FFFFFF"/>
        <w:spacing w:line="600" w:lineRule="exact"/>
        <w:ind w:firstLineChars="200" w:firstLine="600"/>
        <w:jc w:val="center"/>
        <w:rPr>
          <w:rFonts w:ascii="仿宋" w:eastAsia="仿宋" w:hAnsi="仿宋" w:cs="仿宋"/>
          <w:color w:val="000000" w:themeColor="text1"/>
          <w:sz w:val="30"/>
          <w:szCs w:val="30"/>
        </w:rPr>
      </w:pP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根据《益阳市赫山区财政局关于做好</w:t>
      </w: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年度预算绩效自评工作的通知》（益赫财绩〔</w:t>
      </w:r>
      <w:r>
        <w:rPr>
          <w:rFonts w:ascii="仿宋" w:eastAsia="仿宋" w:hAnsi="仿宋" w:cs="仿宋" w:hint="eastAsia"/>
          <w:color w:val="000000" w:themeColor="text1"/>
          <w:kern w:val="0"/>
          <w:sz w:val="30"/>
          <w:szCs w:val="30"/>
        </w:rPr>
        <w:t>2022</w:t>
      </w:r>
      <w:r>
        <w:rPr>
          <w:rFonts w:ascii="仿宋" w:eastAsia="仿宋" w:hAnsi="仿宋" w:cs="仿宋" w:hint="eastAsia"/>
          <w:color w:val="000000" w:themeColor="text1"/>
          <w:kern w:val="0"/>
          <w:sz w:val="30"/>
          <w:szCs w:val="30"/>
        </w:rPr>
        <w:t>〕</w:t>
      </w:r>
      <w:r>
        <w:rPr>
          <w:rFonts w:ascii="仿宋" w:eastAsia="仿宋" w:hAnsi="仿宋" w:cs="仿宋" w:hint="eastAsia"/>
          <w:color w:val="000000" w:themeColor="text1"/>
          <w:kern w:val="0"/>
          <w:sz w:val="30"/>
          <w:szCs w:val="30"/>
        </w:rPr>
        <w:t>1</w:t>
      </w:r>
      <w:r>
        <w:rPr>
          <w:rFonts w:ascii="仿宋" w:eastAsia="仿宋" w:hAnsi="仿宋" w:cs="仿宋" w:hint="eastAsia"/>
          <w:color w:val="000000" w:themeColor="text1"/>
          <w:kern w:val="0"/>
          <w:sz w:val="30"/>
          <w:szCs w:val="30"/>
        </w:rPr>
        <w:t>号）文件精神，我单位从预算配置、预算执行、预算管理、职责履行、履职效益等五方面入手，对照《部门整体支出绩效评价指标表》，认真负责、客观公正地开展</w:t>
      </w: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年度部门整体支出绩效自评工作，自评综合得分</w:t>
      </w:r>
      <w:r>
        <w:rPr>
          <w:rFonts w:ascii="仿宋" w:eastAsia="仿宋" w:hAnsi="仿宋" w:cs="仿宋" w:hint="eastAsia"/>
          <w:color w:val="000000" w:themeColor="text1"/>
          <w:kern w:val="0"/>
          <w:sz w:val="30"/>
          <w:szCs w:val="30"/>
        </w:rPr>
        <w:t>93</w:t>
      </w:r>
      <w:r>
        <w:rPr>
          <w:rFonts w:ascii="仿宋" w:eastAsia="仿宋" w:hAnsi="仿宋" w:cs="仿宋" w:hint="eastAsia"/>
          <w:color w:val="000000" w:themeColor="text1"/>
          <w:kern w:val="0"/>
          <w:sz w:val="30"/>
          <w:szCs w:val="30"/>
        </w:rPr>
        <w:t>分，现将相关情况报告如下：</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t>一、单位基本情况</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一）负责市场综合监督管理。起草市场监督管理有关地方性规章，组织实施质量强区战略、食品安全战略、标准化战略和知识产权战略，拟订并组织实施有关规划，规范和维护市场秩序，营造诚实守信、公平竞争的市场环境。</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二）负责市场主体统一登记注册。指导各类企业、农民专业合作社和从事经营活动的单位、个体工商户等市场主体的登记注册工作。建立市场主体信息公示和共享机制，依法公示和共享有关信息，加强信用监管，推动市场主体信用体系建设。</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三）负责组织和指导市场监督综合执法工作。指导全区市场监管综合执法队伍整合和建设，推动实行统一的市场监管。组织查处辖区内违法案件、跨区域案件和上级市场监督管理部门交办案件。规范市场监管行政执法行为。</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（四）负责权限内反垄断统一执法。统筹推进竞争政策实施，</w:t>
      </w:r>
      <w:r>
        <w:rPr>
          <w:rFonts w:ascii="仿宋_GB2312" w:eastAsia="仿宋_GB2312" w:hAnsi="仿宋_GB2312" w:cs="仿宋_GB2312" w:hint="eastAsia"/>
          <w:color w:val="000000" w:themeColor="text1"/>
          <w:sz w:val="30"/>
          <w:szCs w:val="30"/>
        </w:rPr>
        <w:lastRenderedPageBreak/>
        <w:t>组织实施公平竞争审查制度。依法对经营者集中行为进行反垄断审查，根据授权负责垄断协议、滥用市场支配地位和滥用行政权力排除、限制竞争等反垄断执法工作。指导企业在国外的反垄断应诉工作。</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（五）负责监督管理市场秩序。依法监督管理市场交易、网络商品交易及有关服务的行为</w:t>
      </w:r>
      <w:r>
        <w:rPr>
          <w:rFonts w:ascii="仿宋_GB2312" w:eastAsia="仿宋_GB2312" w:hAnsi="仿宋_GB2312" w:cs="仿宋_GB2312" w:hint="eastAsia"/>
          <w:color w:val="000000" w:themeColor="text1"/>
          <w:sz w:val="30"/>
          <w:szCs w:val="30"/>
        </w:rPr>
        <w:t>。组织指导查处价格收费违法违规、不正当竞争、违法直销、传销、侵犯商标专利知识产权和制售假冒伪劣行为。指导广告业发展，监督管理广告活动。指导查处无照生产经营和相关无证生产经营行为。组织指导消费环境建设。</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（六）负责宏观质量管理。拟订推进质量强区战略并组织实施。统筹全区质量基础设施建设与应用，会同有关部门组织质量事故调查，按照上级要求承担消费品召回监督管理的部分工作，监督管理产品防伪工作。</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（七）负责产品质量安全监督管理。管理产品质量安全风险监控、全区监督抽查工作。落实质量分级制度、质量安全追溯制度。负责工业产</w:t>
      </w:r>
      <w:r>
        <w:rPr>
          <w:rFonts w:ascii="仿宋_GB2312" w:eastAsia="仿宋_GB2312" w:hAnsi="仿宋_GB2312" w:cs="仿宋_GB2312" w:hint="eastAsia"/>
          <w:color w:val="000000" w:themeColor="text1"/>
          <w:sz w:val="30"/>
          <w:szCs w:val="30"/>
        </w:rPr>
        <w:t>品生产许可管理。负责纤维质量监督管理。</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（八）负责特种设备安全监督管理。综合管理特种设备安全监察、监督工作。监督检查高耗能特种设备节能标准和锅炉环境保护标准的执行情况。按规定权限依法组织调查处理特种设备事故并进行统计分析。</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九）负责食品安全监督管理综合协调。拟订食品安全有关政策并组织实施。负责食品安全应急体系建设，组织指导重大食品安全事件应急处置和调查处理工作。建立健全食品安全重要信息直报制度。承担区食品安全委员会日常工作。</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lastRenderedPageBreak/>
        <w:t>（十）负责食品安全监督管理。建立覆盖食品生产、流通、消费全过程的监督检查制度和隐</w:t>
      </w:r>
      <w:r>
        <w:rPr>
          <w:rFonts w:ascii="仿宋_GB2312" w:eastAsia="仿宋_GB2312" w:hAnsi="仿宋_GB2312" w:cs="仿宋_GB2312" w:hint="eastAsia"/>
          <w:color w:val="000000" w:themeColor="text1"/>
          <w:sz w:val="30"/>
          <w:szCs w:val="30"/>
        </w:rPr>
        <w:t>患排查治理机制并组织实施，防范区域性、系统性食品安全风险。推动建立食品生产经营主体落实主体责任机制，健全食品安全追溯体系。组织开展食品安全监督抽检、风险监测、核查处置和风险预警、风险交流工作。组织实施权限内特殊食品备案和监督管理。负责食盐专营管理和食盐质量安全监督管理。</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（十一）负责统一管理计量工作。推行法定计量单位和国家计量制度，依职责管理计量器具及量值传递和比对工作。规范、监督商品量和市场计量行为。</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（十二）负责统一管理标准化工作。组织开展标准化示范工作。依据法定职责，对标准的制定进行指导监督，对标准的</w:t>
      </w:r>
      <w:r>
        <w:rPr>
          <w:rFonts w:ascii="仿宋_GB2312" w:eastAsia="仿宋_GB2312" w:hAnsi="仿宋_GB2312" w:cs="仿宋_GB2312" w:hint="eastAsia"/>
          <w:color w:val="000000" w:themeColor="text1"/>
          <w:sz w:val="30"/>
          <w:szCs w:val="30"/>
        </w:rPr>
        <w:t>实施进行监督检查。推行采用国际标准。</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（十三）负责统一管理检验检测工作。推进检验检测机构改革，规范检验检测市场，完善检验检测体系，指导协调检验检测行业发展。</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（十四）负责统一管理、监督和综合协调全区认证认可工作。依法监督管理全区认证认可和合格评定有关活动。</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（十五）负责市场监督管理、知识产权领域科技和信息化建设、新闻宣传、对外交流与合作。按规定承担技术性贸易措施有关工作。</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（十六）负责实施知识产权战略，推进知识产权强区建设。制定知识产权创造、保护、运用的政策措施并组织实施。负责知识产权公共服务体系建设，推动知识产权信息传播利用，统筹协</w:t>
      </w:r>
      <w:r>
        <w:rPr>
          <w:rFonts w:ascii="仿宋_GB2312" w:eastAsia="仿宋_GB2312" w:hAnsi="仿宋_GB2312" w:cs="仿宋_GB2312" w:hint="eastAsia"/>
          <w:color w:val="000000" w:themeColor="text1"/>
          <w:sz w:val="30"/>
          <w:szCs w:val="30"/>
        </w:rPr>
        <w:lastRenderedPageBreak/>
        <w:t>调涉外知识产权有关事宜。</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（十七）负责保护知识产权。落实严格保护商标、专利、原产地地理标志等相关工作，负责知识产权保护体系建设，组织指导商标、专利、原产地地理标志专用权保护执法工作。</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（十八）负责知识产权创造运用。按权限负责商标、专利和原产地地理标志的管理。开展知识产权运营体系建设，指导重大经济活动知识产权评议，规范知识产权交易和无形资产评估，促</w:t>
      </w:r>
      <w:r>
        <w:rPr>
          <w:rFonts w:ascii="仿宋_GB2312" w:eastAsia="仿宋_GB2312" w:hAnsi="仿宋_GB2312" w:cs="仿宋_GB2312" w:hint="eastAsia"/>
          <w:color w:val="000000" w:themeColor="text1"/>
          <w:sz w:val="30"/>
          <w:szCs w:val="30"/>
        </w:rPr>
        <w:t>进知识产权转移转化。</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（十九）负责组织开展有关商品和服务领域消费维权工作，查处制售假冒伪劣等违法行为，指导消费者咨询、申诉、举报受理、处理和网络体系建设等工作，保护经营者、消费者合法权益。</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（二十）负责权限内药品（含中药、民族药，下同）、医疗器械、化妆品安全监督管理。依法组织查处药品、医疗器械、化妆品经营、使用环节违法违规行为。</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（二十一）负责权限内药品、医疗器械、化妆品标准管理和质量管理。监督实施药品、医疗器械、化妆品标准和分类管理制度。监督实施药品经营质量管理规范。监督实施医疗器械经营、使用质量管理规范</w:t>
      </w:r>
      <w:r>
        <w:rPr>
          <w:rFonts w:ascii="仿宋_GB2312" w:eastAsia="仿宋_GB2312" w:hAnsi="仿宋_GB2312" w:cs="仿宋_GB2312" w:hint="eastAsia"/>
          <w:color w:val="000000" w:themeColor="text1"/>
          <w:sz w:val="30"/>
          <w:szCs w:val="30"/>
        </w:rPr>
        <w:t>。监督实施化妆品经营、使用卫生标准和技术规范。配合有关部门实施国家基本药物制度。</w:t>
      </w:r>
    </w:p>
    <w:p w:rsidR="00066910" w:rsidRDefault="004F1AB9">
      <w:pPr>
        <w:wordWrap w:val="0"/>
        <w:topLinePunct/>
        <w:spacing w:line="570" w:lineRule="exact"/>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（二十二）负责权限内药品、医疗器械、化妆品上市后风险管理。组织开展药品不良反应、医疗器械不良事件和化妆品不良反应的监测、评价和处置工作。依法承担药品、医疗器械、化妆品安全应急管理工作。</w:t>
      </w:r>
    </w:p>
    <w:p w:rsidR="00066910" w:rsidRDefault="004F1AB9">
      <w:pPr>
        <w:spacing w:line="570" w:lineRule="exact"/>
        <w:ind w:firstLineChars="150" w:firstLine="450"/>
        <w:rPr>
          <w:rFonts w:ascii="仿宋_GB2312" w:eastAsia="仿宋_GB2312"/>
          <w:sz w:val="30"/>
          <w:szCs w:val="30"/>
        </w:rPr>
      </w:pPr>
      <w:r>
        <w:rPr>
          <w:rFonts w:ascii="仿宋_GB2312" w:eastAsia="仿宋_GB2312" w:hint="eastAsia"/>
          <w:sz w:val="30"/>
          <w:szCs w:val="30"/>
        </w:rPr>
        <w:t>（二十三）承办区委、区人民政府交办的其他任务。</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lastRenderedPageBreak/>
        <w:t>我局机关内设办公室、人事股、财务股、政策法规股、政务服务股、综合协调股、信用监督管理股、网络交易监督管理股、广告监督管理股、消费者权益保护股（区消费者委员会办公室）、反垄断和反不正当竞争股</w:t>
      </w:r>
      <w:r>
        <w:rPr>
          <w:rFonts w:ascii="仿宋" w:eastAsia="仿宋" w:hAnsi="仿宋" w:cs="仿宋" w:hint="eastAsia"/>
          <w:color w:val="000000" w:themeColor="text1"/>
          <w:kern w:val="0"/>
          <w:sz w:val="30"/>
          <w:szCs w:val="30"/>
        </w:rPr>
        <w:t xml:space="preserve"> </w:t>
      </w:r>
      <w:r>
        <w:rPr>
          <w:rFonts w:ascii="仿宋" w:eastAsia="仿宋" w:hAnsi="仿宋" w:cs="仿宋" w:hint="eastAsia"/>
          <w:color w:val="000000" w:themeColor="text1"/>
          <w:kern w:val="0"/>
          <w:sz w:val="30"/>
          <w:szCs w:val="30"/>
        </w:rPr>
        <w:t>（打击</w:t>
      </w:r>
      <w:r>
        <w:rPr>
          <w:rFonts w:ascii="仿宋" w:eastAsia="仿宋" w:hAnsi="仿宋" w:cs="仿宋" w:hint="eastAsia"/>
          <w:color w:val="000000" w:themeColor="text1"/>
          <w:kern w:val="0"/>
          <w:sz w:val="30"/>
          <w:szCs w:val="30"/>
        </w:rPr>
        <w:t>传销办公室）、食品生产安全监督管理股、食品流通安全监督管理股、餐饮安全监督管理股、药品安全监督管理股、医疗器械监督管理股、特殊食品化妆品安全监督管理股、盐业监督管理股、标准质量股（质量强区工作领导小组办公室）、计量和认证股、特种设备安全监察股（区特种设备事故调查处理办公室）、产品质量安全监管股、知识产权股、价格监督检查股、投诉举报股（</w:t>
      </w:r>
      <w:r>
        <w:rPr>
          <w:rFonts w:ascii="仿宋" w:eastAsia="仿宋" w:hAnsi="仿宋" w:cs="仿宋" w:hint="eastAsia"/>
          <w:color w:val="000000" w:themeColor="text1"/>
          <w:kern w:val="0"/>
          <w:sz w:val="30"/>
          <w:szCs w:val="30"/>
        </w:rPr>
        <w:t>12315</w:t>
      </w:r>
      <w:r>
        <w:rPr>
          <w:rFonts w:ascii="仿宋" w:eastAsia="仿宋" w:hAnsi="仿宋" w:cs="仿宋" w:hint="eastAsia"/>
          <w:color w:val="000000" w:themeColor="text1"/>
          <w:kern w:val="0"/>
          <w:sz w:val="30"/>
          <w:szCs w:val="30"/>
        </w:rPr>
        <w:t>指挥中心）</w:t>
      </w:r>
      <w:r>
        <w:rPr>
          <w:rFonts w:ascii="仿宋" w:eastAsia="仿宋" w:hAnsi="仿宋" w:cs="仿宋" w:hint="eastAsia"/>
          <w:color w:val="000000" w:themeColor="text1"/>
          <w:kern w:val="0"/>
          <w:sz w:val="30"/>
          <w:szCs w:val="30"/>
        </w:rPr>
        <w:t>25</w:t>
      </w:r>
      <w:r>
        <w:rPr>
          <w:rFonts w:ascii="仿宋" w:eastAsia="仿宋" w:hAnsi="仿宋" w:cs="仿宋" w:hint="eastAsia"/>
          <w:color w:val="000000" w:themeColor="text1"/>
          <w:kern w:val="0"/>
          <w:sz w:val="30"/>
          <w:szCs w:val="30"/>
        </w:rPr>
        <w:t>个股室、另机关党委、益阳市赫山区非公有制经济组织综合党委、工会组织、纪检监察等按相关规定设置。下设二级事业单位</w:t>
      </w:r>
      <w:r>
        <w:rPr>
          <w:rFonts w:ascii="仿宋" w:eastAsia="仿宋" w:hAnsi="仿宋" w:cs="仿宋" w:hint="eastAsia"/>
          <w:color w:val="000000" w:themeColor="text1"/>
          <w:kern w:val="0"/>
          <w:sz w:val="30"/>
          <w:szCs w:val="30"/>
        </w:rPr>
        <w:t>3</w:t>
      </w:r>
      <w:r>
        <w:rPr>
          <w:rFonts w:ascii="仿宋" w:eastAsia="仿宋" w:hAnsi="仿宋" w:cs="仿宋" w:hint="eastAsia"/>
          <w:color w:val="000000" w:themeColor="text1"/>
          <w:kern w:val="0"/>
          <w:sz w:val="30"/>
          <w:szCs w:val="30"/>
        </w:rPr>
        <w:t>个，分别为益阳市赫山区市场监督管理局执法</w:t>
      </w:r>
      <w:r>
        <w:rPr>
          <w:rFonts w:ascii="仿宋" w:eastAsia="仿宋" w:hAnsi="仿宋" w:cs="仿宋" w:hint="eastAsia"/>
          <w:color w:val="000000" w:themeColor="text1"/>
          <w:kern w:val="0"/>
          <w:sz w:val="30"/>
          <w:szCs w:val="30"/>
        </w:rPr>
        <w:t>大队、信息中心、益阳市赫山区个体私营经济发展指导中心；另设</w:t>
      </w:r>
      <w:r>
        <w:rPr>
          <w:rFonts w:ascii="仿宋" w:eastAsia="仿宋" w:hAnsi="仿宋" w:cs="仿宋" w:hint="eastAsia"/>
          <w:color w:val="000000" w:themeColor="text1"/>
          <w:kern w:val="0"/>
          <w:sz w:val="30"/>
          <w:szCs w:val="30"/>
        </w:rPr>
        <w:t>15</w:t>
      </w:r>
      <w:r>
        <w:rPr>
          <w:rFonts w:ascii="仿宋" w:eastAsia="仿宋" w:hAnsi="仿宋" w:cs="仿宋" w:hint="eastAsia"/>
          <w:color w:val="000000" w:themeColor="text1"/>
          <w:kern w:val="0"/>
          <w:sz w:val="30"/>
          <w:szCs w:val="30"/>
        </w:rPr>
        <w:t>个派驻乡镇街道市场监管所。各部门之间相互协调、相互配合，既分工又合作。</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截止</w:t>
      </w: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w:t>
      </w:r>
      <w:r>
        <w:rPr>
          <w:rFonts w:ascii="仿宋" w:eastAsia="仿宋" w:hAnsi="仿宋" w:cs="仿宋" w:hint="eastAsia"/>
          <w:color w:val="000000" w:themeColor="text1"/>
          <w:kern w:val="0"/>
          <w:sz w:val="30"/>
          <w:szCs w:val="30"/>
        </w:rPr>
        <w:t>12</w:t>
      </w:r>
      <w:r>
        <w:rPr>
          <w:rFonts w:ascii="仿宋" w:eastAsia="仿宋" w:hAnsi="仿宋" w:cs="仿宋" w:hint="eastAsia"/>
          <w:color w:val="000000" w:themeColor="text1"/>
          <w:kern w:val="0"/>
          <w:sz w:val="30"/>
          <w:szCs w:val="30"/>
        </w:rPr>
        <w:t>月</w:t>
      </w:r>
      <w:r>
        <w:rPr>
          <w:rFonts w:ascii="仿宋" w:eastAsia="仿宋" w:hAnsi="仿宋" w:cs="仿宋" w:hint="eastAsia"/>
          <w:color w:val="000000" w:themeColor="text1"/>
          <w:kern w:val="0"/>
          <w:sz w:val="30"/>
          <w:szCs w:val="30"/>
        </w:rPr>
        <w:t>31</w:t>
      </w:r>
      <w:r>
        <w:rPr>
          <w:rFonts w:ascii="仿宋" w:eastAsia="仿宋" w:hAnsi="仿宋" w:cs="仿宋" w:hint="eastAsia"/>
          <w:color w:val="000000" w:themeColor="text1"/>
          <w:kern w:val="0"/>
          <w:sz w:val="30"/>
          <w:szCs w:val="30"/>
        </w:rPr>
        <w:t>日区编办核定我单位编制</w:t>
      </w:r>
      <w:r>
        <w:rPr>
          <w:rFonts w:ascii="仿宋" w:eastAsia="仿宋" w:hAnsi="仿宋" w:cs="仿宋" w:hint="eastAsia"/>
          <w:color w:val="000000" w:themeColor="text1"/>
          <w:kern w:val="0"/>
          <w:sz w:val="30"/>
          <w:szCs w:val="30"/>
        </w:rPr>
        <w:t>282</w:t>
      </w:r>
      <w:r>
        <w:rPr>
          <w:rFonts w:ascii="仿宋" w:eastAsia="仿宋" w:hAnsi="仿宋" w:cs="仿宋" w:hint="eastAsia"/>
          <w:color w:val="000000" w:themeColor="text1"/>
          <w:kern w:val="0"/>
          <w:sz w:val="30"/>
          <w:szCs w:val="30"/>
        </w:rPr>
        <w:t>名，在职人数</w:t>
      </w:r>
      <w:r>
        <w:rPr>
          <w:rFonts w:ascii="仿宋" w:eastAsia="仿宋" w:hAnsi="仿宋" w:cs="仿宋" w:hint="eastAsia"/>
          <w:color w:val="000000" w:themeColor="text1"/>
          <w:kern w:val="0"/>
          <w:sz w:val="30"/>
          <w:szCs w:val="30"/>
        </w:rPr>
        <w:t>245</w:t>
      </w:r>
      <w:r>
        <w:rPr>
          <w:rFonts w:ascii="仿宋" w:eastAsia="仿宋" w:hAnsi="仿宋" w:cs="仿宋" w:hint="eastAsia"/>
          <w:color w:val="000000" w:themeColor="text1"/>
          <w:kern w:val="0"/>
          <w:sz w:val="30"/>
          <w:szCs w:val="30"/>
        </w:rPr>
        <w:t>人，行政编制</w:t>
      </w:r>
      <w:r>
        <w:rPr>
          <w:rFonts w:ascii="仿宋" w:eastAsia="仿宋" w:hAnsi="仿宋" w:cs="仿宋" w:hint="eastAsia"/>
          <w:color w:val="000000" w:themeColor="text1"/>
          <w:kern w:val="0"/>
          <w:sz w:val="30"/>
          <w:szCs w:val="30"/>
        </w:rPr>
        <w:t xml:space="preserve"> 126</w:t>
      </w:r>
      <w:r>
        <w:rPr>
          <w:rFonts w:ascii="仿宋" w:eastAsia="仿宋" w:hAnsi="仿宋" w:cs="仿宋" w:hint="eastAsia"/>
          <w:color w:val="000000" w:themeColor="text1"/>
          <w:kern w:val="0"/>
          <w:sz w:val="30"/>
          <w:szCs w:val="30"/>
        </w:rPr>
        <w:t>人，事业编制</w:t>
      </w:r>
      <w:r>
        <w:rPr>
          <w:rFonts w:ascii="仿宋" w:eastAsia="仿宋" w:hAnsi="仿宋" w:cs="仿宋" w:hint="eastAsia"/>
          <w:color w:val="000000" w:themeColor="text1"/>
          <w:kern w:val="0"/>
          <w:sz w:val="30"/>
          <w:szCs w:val="30"/>
        </w:rPr>
        <w:t>112</w:t>
      </w:r>
      <w:r>
        <w:rPr>
          <w:rFonts w:ascii="仿宋" w:eastAsia="仿宋" w:hAnsi="仿宋" w:cs="仿宋" w:hint="eastAsia"/>
          <w:color w:val="000000" w:themeColor="text1"/>
          <w:kern w:val="0"/>
          <w:sz w:val="30"/>
          <w:szCs w:val="30"/>
        </w:rPr>
        <w:t>人，机关工勤人员</w:t>
      </w:r>
      <w:r>
        <w:rPr>
          <w:rFonts w:ascii="仿宋" w:eastAsia="仿宋" w:hAnsi="仿宋" w:cs="仿宋" w:hint="eastAsia"/>
          <w:color w:val="000000" w:themeColor="text1"/>
          <w:kern w:val="0"/>
          <w:sz w:val="30"/>
          <w:szCs w:val="30"/>
        </w:rPr>
        <w:t>7</w:t>
      </w:r>
      <w:r>
        <w:rPr>
          <w:rFonts w:ascii="仿宋" w:eastAsia="仿宋" w:hAnsi="仿宋" w:cs="仿宋" w:hint="eastAsia"/>
          <w:color w:val="000000" w:themeColor="text1"/>
          <w:kern w:val="0"/>
          <w:sz w:val="30"/>
          <w:szCs w:val="30"/>
        </w:rPr>
        <w:t>人。在职人员控制率为</w:t>
      </w:r>
      <w:r>
        <w:rPr>
          <w:rFonts w:ascii="仿宋" w:eastAsia="仿宋" w:hAnsi="仿宋" w:cs="仿宋" w:hint="eastAsia"/>
          <w:color w:val="000000" w:themeColor="text1"/>
          <w:kern w:val="0"/>
          <w:sz w:val="30"/>
          <w:szCs w:val="30"/>
        </w:rPr>
        <w:t xml:space="preserve"> 86.88%</w:t>
      </w:r>
      <w:r>
        <w:rPr>
          <w:rFonts w:ascii="仿宋" w:eastAsia="仿宋" w:hAnsi="仿宋" w:cs="仿宋" w:hint="eastAsia"/>
          <w:color w:val="000000" w:themeColor="text1"/>
          <w:kern w:val="0"/>
          <w:sz w:val="30"/>
          <w:szCs w:val="30"/>
        </w:rPr>
        <w:t>。</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t>二、一般公共预算支出情况</w:t>
      </w:r>
    </w:p>
    <w:p w:rsidR="00066910" w:rsidRDefault="004F1AB9" w:rsidP="00376197">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年一般公共预算拨款支出</w:t>
      </w:r>
      <w:r>
        <w:rPr>
          <w:rFonts w:ascii="仿宋" w:eastAsia="仿宋" w:hAnsi="仿宋" w:cs="仿宋" w:hint="eastAsia"/>
          <w:color w:val="000000" w:themeColor="text1"/>
          <w:kern w:val="0"/>
          <w:sz w:val="30"/>
          <w:szCs w:val="30"/>
        </w:rPr>
        <w:t>4378</w:t>
      </w:r>
      <w:r>
        <w:rPr>
          <w:rFonts w:ascii="仿宋" w:eastAsia="仿宋" w:hAnsi="仿宋" w:cs="仿宋" w:hint="eastAsia"/>
          <w:color w:val="000000" w:themeColor="text1"/>
          <w:kern w:val="0"/>
          <w:sz w:val="30"/>
          <w:szCs w:val="30"/>
        </w:rPr>
        <w:t>万元，其中</w:t>
      </w:r>
      <w:r>
        <w:rPr>
          <w:rFonts w:ascii="仿宋" w:eastAsia="仿宋" w:hAnsi="仿宋" w:cs="仿宋" w:hint="eastAsia"/>
          <w:color w:val="000000" w:themeColor="text1"/>
          <w:kern w:val="0"/>
          <w:sz w:val="30"/>
          <w:szCs w:val="30"/>
        </w:rPr>
        <w:t>：</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（一）基本支出</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lastRenderedPageBreak/>
        <w:t>基本支出</w:t>
      </w:r>
      <w:r>
        <w:rPr>
          <w:rFonts w:ascii="仿宋" w:eastAsia="仿宋" w:hAnsi="仿宋" w:cs="仿宋" w:hint="eastAsia"/>
          <w:color w:val="000000" w:themeColor="text1"/>
          <w:kern w:val="0"/>
          <w:sz w:val="30"/>
          <w:szCs w:val="30"/>
        </w:rPr>
        <w:t>4378</w:t>
      </w:r>
      <w:r>
        <w:rPr>
          <w:rFonts w:ascii="仿宋" w:eastAsia="仿宋" w:hAnsi="仿宋" w:cs="仿宋" w:hint="eastAsia"/>
          <w:color w:val="000000" w:themeColor="text1"/>
          <w:kern w:val="0"/>
          <w:sz w:val="30"/>
          <w:szCs w:val="30"/>
        </w:rPr>
        <w:t>万元，包括人员经费</w:t>
      </w:r>
      <w:r>
        <w:rPr>
          <w:rFonts w:ascii="仿宋" w:eastAsia="仿宋" w:hAnsi="仿宋" w:cs="仿宋" w:hint="eastAsia"/>
          <w:color w:val="000000" w:themeColor="text1"/>
          <w:kern w:val="0"/>
          <w:sz w:val="30"/>
          <w:szCs w:val="30"/>
        </w:rPr>
        <w:t>3118.22</w:t>
      </w:r>
      <w:r>
        <w:rPr>
          <w:rFonts w:ascii="仿宋" w:eastAsia="仿宋" w:hAnsi="仿宋" w:cs="仿宋" w:hint="eastAsia"/>
          <w:color w:val="000000" w:themeColor="text1"/>
          <w:kern w:val="0"/>
          <w:sz w:val="30"/>
          <w:szCs w:val="30"/>
        </w:rPr>
        <w:t>万元和日常公用经费</w:t>
      </w:r>
      <w:r>
        <w:rPr>
          <w:rFonts w:ascii="仿宋" w:eastAsia="仿宋" w:hAnsi="仿宋" w:cs="仿宋" w:hint="eastAsia"/>
          <w:color w:val="000000" w:themeColor="text1"/>
          <w:kern w:val="0"/>
          <w:sz w:val="30"/>
          <w:szCs w:val="30"/>
        </w:rPr>
        <w:t>1259.78</w:t>
      </w:r>
      <w:r>
        <w:rPr>
          <w:rFonts w:ascii="仿宋" w:eastAsia="仿宋" w:hAnsi="仿宋" w:cs="仿宋" w:hint="eastAsia"/>
          <w:color w:val="000000" w:themeColor="text1"/>
          <w:kern w:val="0"/>
          <w:sz w:val="30"/>
          <w:szCs w:val="30"/>
        </w:rPr>
        <w:t>万元，</w:t>
      </w:r>
      <w:r>
        <w:rPr>
          <w:rFonts w:ascii="仿宋" w:eastAsia="仿宋" w:hAnsi="仿宋" w:cs="仿宋" w:hint="eastAsia"/>
          <w:color w:val="000000" w:themeColor="text1"/>
          <w:kern w:val="0"/>
          <w:sz w:val="30"/>
          <w:szCs w:val="30"/>
        </w:rPr>
        <w:t>较上年</w:t>
      </w:r>
      <w:r>
        <w:rPr>
          <w:rFonts w:ascii="仿宋" w:eastAsia="仿宋" w:hAnsi="仿宋" w:cs="仿宋" w:hint="eastAsia"/>
          <w:color w:val="000000" w:themeColor="text1"/>
          <w:kern w:val="0"/>
          <w:sz w:val="30"/>
          <w:szCs w:val="30"/>
        </w:rPr>
        <w:t>增加</w:t>
      </w:r>
      <w:r>
        <w:rPr>
          <w:rFonts w:ascii="仿宋" w:eastAsia="仿宋" w:hAnsi="仿宋" w:cs="仿宋" w:hint="eastAsia"/>
          <w:color w:val="000000" w:themeColor="text1"/>
          <w:kern w:val="0"/>
          <w:sz w:val="30"/>
          <w:szCs w:val="30"/>
        </w:rPr>
        <w:t>332.14</w:t>
      </w:r>
      <w:r>
        <w:rPr>
          <w:rFonts w:ascii="仿宋" w:eastAsia="仿宋" w:hAnsi="仿宋" w:cs="仿宋" w:hint="eastAsia"/>
          <w:color w:val="000000" w:themeColor="text1"/>
          <w:kern w:val="0"/>
          <w:sz w:val="30"/>
          <w:szCs w:val="30"/>
        </w:rPr>
        <w:t>万元，增长</w:t>
      </w:r>
      <w:r>
        <w:rPr>
          <w:rFonts w:ascii="仿宋" w:eastAsia="仿宋" w:hAnsi="仿宋" w:cs="仿宋" w:hint="eastAsia"/>
          <w:color w:val="000000" w:themeColor="text1"/>
          <w:kern w:val="0"/>
          <w:sz w:val="30"/>
          <w:szCs w:val="30"/>
        </w:rPr>
        <w:t>8.21%</w:t>
      </w:r>
      <w:r>
        <w:rPr>
          <w:rFonts w:ascii="仿宋" w:eastAsia="仿宋" w:hAnsi="仿宋" w:cs="仿宋" w:hint="eastAsia"/>
          <w:color w:val="000000" w:themeColor="text1"/>
          <w:kern w:val="0"/>
          <w:sz w:val="30"/>
          <w:szCs w:val="30"/>
        </w:rPr>
        <w:t>，增长</w:t>
      </w:r>
      <w:r>
        <w:rPr>
          <w:rFonts w:ascii="仿宋" w:eastAsia="仿宋" w:hAnsi="仿宋" w:cs="仿宋" w:hint="eastAsia"/>
          <w:color w:val="000000" w:themeColor="text1"/>
          <w:kern w:val="0"/>
          <w:sz w:val="30"/>
          <w:szCs w:val="30"/>
        </w:rPr>
        <w:t>的主要原因是人员工资的提高。</w:t>
      </w:r>
    </w:p>
    <w:p w:rsidR="00066910" w:rsidRDefault="004F1AB9">
      <w:pPr>
        <w:widowControl/>
        <w:shd w:val="clear" w:color="auto" w:fill="FFFFFF"/>
        <w:spacing w:line="600" w:lineRule="exact"/>
        <w:ind w:firstLineChars="200" w:firstLine="602"/>
        <w:rPr>
          <w:rFonts w:ascii="仿宋" w:eastAsia="仿宋" w:hAnsi="仿宋" w:cs="仿宋"/>
          <w:b/>
          <w:bCs/>
          <w:color w:val="000000" w:themeColor="text1"/>
          <w:kern w:val="0"/>
          <w:sz w:val="30"/>
          <w:szCs w:val="30"/>
        </w:rPr>
      </w:pPr>
      <w:r>
        <w:rPr>
          <w:rFonts w:ascii="仿宋" w:eastAsia="仿宋" w:hAnsi="仿宋" w:cs="仿宋" w:hint="eastAsia"/>
          <w:b/>
          <w:bCs/>
          <w:color w:val="000000" w:themeColor="text1"/>
          <w:kern w:val="0"/>
          <w:sz w:val="30"/>
          <w:szCs w:val="30"/>
        </w:rPr>
        <w:t>（二）项目支出情况</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年度赫山区市场监督管理局专项资金安排和使用管理情况为零。</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t>三、政府性基金预算支出情况</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年度赫山区市场监督管理局无政府性基金预算支出。</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t>四、国有资本经营预算支出情况</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年度赫山区市场监督管理局无国有资本经营预算支出。</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t>五、社会保险基金预算支出情况</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2021</w:t>
      </w:r>
      <w:r>
        <w:rPr>
          <w:rFonts w:ascii="仿宋" w:eastAsia="仿宋" w:hAnsi="仿宋" w:cs="仿宋" w:hint="eastAsia"/>
          <w:color w:val="000000" w:themeColor="text1"/>
          <w:kern w:val="0"/>
          <w:sz w:val="30"/>
          <w:szCs w:val="30"/>
        </w:rPr>
        <w:t>年度赫山区市场监督管理局无社会保险基金预算支出。</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t>六、部门整体支出绩效情况</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sz w:val="30"/>
          <w:szCs w:val="30"/>
        </w:rPr>
        <w:t>2021</w:t>
      </w:r>
      <w:r>
        <w:rPr>
          <w:rFonts w:ascii="仿宋" w:eastAsia="仿宋" w:hAnsi="仿宋" w:cs="仿宋" w:hint="eastAsia"/>
          <w:color w:val="000000" w:themeColor="text1"/>
          <w:sz w:val="30"/>
          <w:szCs w:val="30"/>
        </w:rPr>
        <w:t>年，赫山区市场监督管理局坚持以习近平新时代中国特色社会主义思想为指引，紧紧围绕推进“五区一高地”建设，真抓实干、奋发作为，市场监管体制、商事制度改革纵深推进，监管执法成效、监管服务能力不断提升，安全形势稳固向好，质量兴区战略成效显著，</w:t>
      </w:r>
      <w:r>
        <w:rPr>
          <w:rFonts w:ascii="仿宋" w:eastAsia="仿宋" w:hAnsi="仿宋" w:cs="仿宋" w:hint="eastAsia"/>
          <w:color w:val="000000" w:themeColor="text1"/>
          <w:kern w:val="0"/>
          <w:sz w:val="30"/>
          <w:szCs w:val="30"/>
        </w:rPr>
        <w:t>全面完成了年初绩效工作目标。</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sz w:val="30"/>
          <w:szCs w:val="30"/>
        </w:rPr>
        <w:t>一是深化改革实现新突破。各市场监管部门、各市场监管所以“营商环境大优化”行动为载体，以“保市场主体”为主线，全面推动商事制度改革，简化审批流程，建立标准化窗口，为新开办企业赠送印章，落实“非禁即入”要求，创新“四零四办”机制（通过网上办、就</w:t>
      </w:r>
      <w:r>
        <w:rPr>
          <w:rFonts w:ascii="仿宋" w:eastAsia="仿宋" w:hAnsi="仿宋" w:cs="仿宋" w:hint="eastAsia"/>
          <w:color w:val="000000" w:themeColor="text1"/>
          <w:sz w:val="30"/>
          <w:szCs w:val="30"/>
        </w:rPr>
        <w:t>近办、一次办、快速办，实现市场准入零</w:t>
      </w:r>
      <w:r>
        <w:rPr>
          <w:rFonts w:ascii="仿宋" w:eastAsia="仿宋" w:hAnsi="仿宋" w:cs="仿宋" w:hint="eastAsia"/>
          <w:color w:val="000000" w:themeColor="text1"/>
          <w:sz w:val="30"/>
          <w:szCs w:val="30"/>
        </w:rPr>
        <w:lastRenderedPageBreak/>
        <w:t>见面、零距离、零跑动、零延迟），持续为企业松绑减负加油。有效推进“双随机、一公开”监管工作，建立“一单两库”抽查机制，抽取检查对象</w:t>
      </w:r>
      <w:r>
        <w:rPr>
          <w:rFonts w:ascii="仿宋" w:eastAsia="仿宋" w:hAnsi="仿宋" w:cs="仿宋" w:hint="eastAsia"/>
          <w:color w:val="000000" w:themeColor="text1"/>
          <w:sz w:val="30"/>
          <w:szCs w:val="30"/>
        </w:rPr>
        <w:t>1435</w:t>
      </w:r>
      <w:r>
        <w:rPr>
          <w:rFonts w:ascii="仿宋" w:eastAsia="仿宋" w:hAnsi="仿宋" w:cs="仿宋" w:hint="eastAsia"/>
          <w:color w:val="000000" w:themeColor="text1"/>
          <w:sz w:val="30"/>
          <w:szCs w:val="30"/>
        </w:rPr>
        <w:t>个，已全部录入并公示，实现全覆盖、零遗漏。全区市场主体逆势增长，总量近</w:t>
      </w:r>
      <w:r>
        <w:rPr>
          <w:rFonts w:ascii="仿宋" w:eastAsia="仿宋" w:hAnsi="仿宋" w:cs="仿宋" w:hint="eastAsia"/>
          <w:color w:val="000000" w:themeColor="text1"/>
          <w:sz w:val="30"/>
          <w:szCs w:val="30"/>
        </w:rPr>
        <w:t>10</w:t>
      </w:r>
      <w:r>
        <w:rPr>
          <w:rFonts w:ascii="仿宋" w:eastAsia="仿宋" w:hAnsi="仿宋" w:cs="仿宋" w:hint="eastAsia"/>
          <w:color w:val="000000" w:themeColor="text1"/>
          <w:sz w:val="30"/>
          <w:szCs w:val="30"/>
        </w:rPr>
        <w:t>万户，</w:t>
      </w:r>
      <w:r>
        <w:rPr>
          <w:rFonts w:ascii="仿宋" w:eastAsia="仿宋" w:hAnsi="仿宋" w:cs="仿宋" w:hint="eastAsia"/>
          <w:color w:val="000000" w:themeColor="text1"/>
          <w:kern w:val="0"/>
          <w:sz w:val="30"/>
          <w:szCs w:val="30"/>
        </w:rPr>
        <w:t>全程电子化勇夺全市第一，电子化推进持续深化</w:t>
      </w:r>
      <w:r>
        <w:rPr>
          <w:rFonts w:ascii="仿宋" w:eastAsia="仿宋" w:hAnsi="仿宋" w:cs="仿宋" w:hint="eastAsia"/>
          <w:color w:val="000000" w:themeColor="text1"/>
          <w:sz w:val="30"/>
          <w:szCs w:val="30"/>
        </w:rPr>
        <w:t>。深入推进“诚信经营</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放心消费”示范创建活动，在商户较多、消费相对集中的桃花仑路沃尔玛至桃花仑小学地段开展了示范一条街创建，创建门店达</w:t>
      </w:r>
      <w:r>
        <w:rPr>
          <w:rFonts w:ascii="仿宋" w:eastAsia="仿宋" w:hAnsi="仿宋" w:cs="仿宋" w:hint="eastAsia"/>
          <w:color w:val="000000" w:themeColor="text1"/>
          <w:sz w:val="30"/>
          <w:szCs w:val="30"/>
        </w:rPr>
        <w:t>129</w:t>
      </w:r>
      <w:r>
        <w:rPr>
          <w:rFonts w:ascii="仿宋" w:eastAsia="仿宋" w:hAnsi="仿宋" w:cs="仿宋" w:hint="eastAsia"/>
          <w:color w:val="000000" w:themeColor="text1"/>
          <w:sz w:val="30"/>
          <w:szCs w:val="30"/>
        </w:rPr>
        <w:t>户。在沃尔玛三楼设立</w:t>
      </w:r>
      <w:r>
        <w:rPr>
          <w:rFonts w:ascii="仿宋" w:eastAsia="仿宋" w:hAnsi="仿宋" w:cs="仿宋" w:hint="eastAsia"/>
          <w:color w:val="000000" w:themeColor="text1"/>
          <w:sz w:val="30"/>
          <w:szCs w:val="30"/>
        </w:rPr>
        <w:t>12315</w:t>
      </w:r>
      <w:r>
        <w:rPr>
          <w:rFonts w:ascii="仿宋" w:eastAsia="仿宋" w:hAnsi="仿宋" w:cs="仿宋" w:hint="eastAsia"/>
          <w:color w:val="000000" w:themeColor="text1"/>
          <w:sz w:val="30"/>
          <w:szCs w:val="30"/>
        </w:rPr>
        <w:t>消费维权服务站，形成了社区、物业、超市、门店四</w:t>
      </w:r>
      <w:r>
        <w:rPr>
          <w:rFonts w:ascii="仿宋" w:eastAsia="仿宋" w:hAnsi="仿宋" w:cs="仿宋" w:hint="eastAsia"/>
          <w:color w:val="000000" w:themeColor="text1"/>
          <w:sz w:val="30"/>
          <w:szCs w:val="30"/>
        </w:rPr>
        <w:t>方联动的消费维权工作格局。</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sz w:val="30"/>
          <w:szCs w:val="30"/>
        </w:rPr>
        <w:t>二是市场监管取得新成效。各市场监管部门、各市场监管所真抓实干、争先创优，荣获全省食品安全工作先进单位，斩获市真抓实干督查激励“食品安全”和“质量强市”两大奖项。禁捕退捕工作得到上级部门肯定。坚决落实习近平总书记“四个最严”要求，着力加强食品、药品、特种设备、重要工业品质量安全监管，守住了不发生区域性、系统性、源发性安全事件和重特大安全事故的底线。抓严食品监管，开展了中小学校校园及周边“食品安全护苗行动”、食品安全“护老”行动、农村假冒伪劣食品等专项整治行动</w:t>
      </w:r>
      <w:r>
        <w:rPr>
          <w:rFonts w:ascii="仿宋" w:eastAsia="仿宋" w:hAnsi="仿宋" w:cs="仿宋" w:hint="eastAsia"/>
          <w:color w:val="000000" w:themeColor="text1"/>
          <w:sz w:val="30"/>
          <w:szCs w:val="30"/>
        </w:rPr>
        <w:t>17</w:t>
      </w:r>
      <w:r>
        <w:rPr>
          <w:rFonts w:ascii="仿宋" w:eastAsia="仿宋" w:hAnsi="仿宋" w:cs="仿宋" w:hint="eastAsia"/>
          <w:color w:val="000000" w:themeColor="text1"/>
          <w:sz w:val="30"/>
          <w:szCs w:val="30"/>
        </w:rPr>
        <w:t>次，共立案查处各类食</w:t>
      </w:r>
      <w:r>
        <w:rPr>
          <w:rFonts w:ascii="仿宋" w:eastAsia="仿宋" w:hAnsi="仿宋" w:cs="仿宋" w:hint="eastAsia"/>
          <w:color w:val="000000" w:themeColor="text1"/>
          <w:sz w:val="30"/>
          <w:szCs w:val="30"/>
        </w:rPr>
        <w:t>品违法案件</w:t>
      </w:r>
      <w:r>
        <w:rPr>
          <w:rFonts w:ascii="仿宋" w:eastAsia="仿宋" w:hAnsi="仿宋" w:cs="仿宋" w:hint="eastAsia"/>
          <w:color w:val="000000" w:themeColor="text1"/>
          <w:sz w:val="30"/>
          <w:szCs w:val="30"/>
        </w:rPr>
        <w:t>119</w:t>
      </w:r>
      <w:r>
        <w:rPr>
          <w:rFonts w:ascii="仿宋" w:eastAsia="仿宋" w:hAnsi="仿宋" w:cs="仿宋" w:hint="eastAsia"/>
          <w:color w:val="000000" w:themeColor="text1"/>
          <w:sz w:val="30"/>
          <w:szCs w:val="30"/>
        </w:rPr>
        <w:t>起，移送司法机关</w:t>
      </w: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起。食品抽检基本覆盖到所有农产品和食品企业、品种、项目，完成制定抽检批次任务，对发现的问题，核查处置达到</w:t>
      </w:r>
      <w:r>
        <w:rPr>
          <w:rFonts w:ascii="仿宋" w:eastAsia="仿宋" w:hAnsi="仿宋" w:cs="仿宋" w:hint="eastAsia"/>
          <w:color w:val="000000" w:themeColor="text1"/>
          <w:sz w:val="30"/>
          <w:szCs w:val="30"/>
        </w:rPr>
        <w:t>100%</w:t>
      </w:r>
      <w:r>
        <w:rPr>
          <w:rFonts w:ascii="仿宋" w:eastAsia="仿宋" w:hAnsi="仿宋" w:cs="仿宋" w:hint="eastAsia"/>
          <w:color w:val="000000" w:themeColor="text1"/>
          <w:sz w:val="30"/>
          <w:szCs w:val="30"/>
        </w:rPr>
        <w:t>。抓牢药品监管，开展世卫组织疫苗国家监管体系评估迎检、新冠肺炎防控工作和《年关守护（</w:t>
      </w:r>
      <w:r>
        <w:rPr>
          <w:rFonts w:ascii="仿宋" w:eastAsia="仿宋" w:hAnsi="仿宋" w:cs="仿宋" w:hint="eastAsia"/>
          <w:color w:val="000000" w:themeColor="text1"/>
          <w:sz w:val="30"/>
          <w:szCs w:val="30"/>
        </w:rPr>
        <w:t>2021</w:t>
      </w:r>
      <w:r>
        <w:rPr>
          <w:rFonts w:ascii="仿宋" w:eastAsia="仿宋" w:hAnsi="仿宋" w:cs="仿宋" w:hint="eastAsia"/>
          <w:color w:val="000000" w:themeColor="text1"/>
          <w:sz w:val="30"/>
          <w:szCs w:val="30"/>
        </w:rPr>
        <w:t>）专项行动》、《关于开展儿童化妆品专项检查》等专项行动，检查药品零售企</w:t>
      </w:r>
      <w:r>
        <w:rPr>
          <w:rFonts w:ascii="仿宋" w:eastAsia="仿宋" w:hAnsi="仿宋" w:cs="仿宋" w:hint="eastAsia"/>
          <w:color w:val="000000" w:themeColor="text1"/>
          <w:sz w:val="30"/>
          <w:szCs w:val="30"/>
        </w:rPr>
        <w:lastRenderedPageBreak/>
        <w:t>业</w:t>
      </w:r>
      <w:r>
        <w:rPr>
          <w:rFonts w:ascii="仿宋" w:eastAsia="仿宋" w:hAnsi="仿宋" w:cs="仿宋" w:hint="eastAsia"/>
          <w:color w:val="000000" w:themeColor="text1"/>
          <w:sz w:val="30"/>
          <w:szCs w:val="30"/>
        </w:rPr>
        <w:t>336</w:t>
      </w:r>
      <w:r>
        <w:rPr>
          <w:rFonts w:ascii="仿宋" w:eastAsia="仿宋" w:hAnsi="仿宋" w:cs="仿宋" w:hint="eastAsia"/>
          <w:color w:val="000000" w:themeColor="text1"/>
          <w:sz w:val="30"/>
          <w:szCs w:val="30"/>
        </w:rPr>
        <w:t>家次，医疗器械零售企业</w:t>
      </w:r>
      <w:r>
        <w:rPr>
          <w:rFonts w:ascii="仿宋" w:eastAsia="仿宋" w:hAnsi="仿宋" w:cs="仿宋" w:hint="eastAsia"/>
          <w:color w:val="000000" w:themeColor="text1"/>
          <w:sz w:val="30"/>
          <w:szCs w:val="30"/>
        </w:rPr>
        <w:t>47</w:t>
      </w:r>
      <w:r>
        <w:rPr>
          <w:rFonts w:ascii="仿宋" w:eastAsia="仿宋" w:hAnsi="仿宋" w:cs="仿宋" w:hint="eastAsia"/>
          <w:color w:val="000000" w:themeColor="text1"/>
          <w:sz w:val="30"/>
          <w:szCs w:val="30"/>
        </w:rPr>
        <w:t>家次，化妆品经营企业</w:t>
      </w:r>
      <w:r>
        <w:rPr>
          <w:rFonts w:ascii="仿宋" w:eastAsia="仿宋" w:hAnsi="仿宋" w:cs="仿宋" w:hint="eastAsia"/>
          <w:color w:val="000000" w:themeColor="text1"/>
          <w:sz w:val="30"/>
          <w:szCs w:val="30"/>
        </w:rPr>
        <w:t>56</w:t>
      </w:r>
      <w:r>
        <w:rPr>
          <w:rFonts w:ascii="仿宋" w:eastAsia="仿宋" w:hAnsi="仿宋" w:cs="仿宋" w:hint="eastAsia"/>
          <w:color w:val="000000" w:themeColor="text1"/>
          <w:sz w:val="30"/>
          <w:szCs w:val="30"/>
        </w:rPr>
        <w:t>家次，检查乡镇卫生院、民营医院</w:t>
      </w:r>
      <w:r>
        <w:rPr>
          <w:rFonts w:ascii="仿宋" w:eastAsia="仿宋" w:hAnsi="仿宋" w:cs="仿宋" w:hint="eastAsia"/>
          <w:color w:val="000000" w:themeColor="text1"/>
          <w:sz w:val="30"/>
          <w:szCs w:val="30"/>
        </w:rPr>
        <w:t>118</w:t>
      </w:r>
      <w:r>
        <w:rPr>
          <w:rFonts w:ascii="仿宋" w:eastAsia="仿宋" w:hAnsi="仿宋" w:cs="仿宋" w:hint="eastAsia"/>
          <w:color w:val="000000" w:themeColor="text1"/>
          <w:sz w:val="30"/>
          <w:szCs w:val="30"/>
        </w:rPr>
        <w:t>家次，发现并处理违规问题</w:t>
      </w:r>
      <w:r>
        <w:rPr>
          <w:rFonts w:ascii="仿宋" w:eastAsia="仿宋" w:hAnsi="仿宋" w:cs="仿宋" w:hint="eastAsia"/>
          <w:color w:val="000000" w:themeColor="text1"/>
          <w:sz w:val="30"/>
          <w:szCs w:val="30"/>
        </w:rPr>
        <w:t>9</w:t>
      </w:r>
      <w:r>
        <w:rPr>
          <w:rFonts w:ascii="仿宋" w:eastAsia="仿宋" w:hAnsi="仿宋" w:cs="仿宋" w:hint="eastAsia"/>
          <w:color w:val="000000" w:themeColor="text1"/>
          <w:sz w:val="30"/>
          <w:szCs w:val="30"/>
        </w:rPr>
        <w:t>起。抓好特种设备监管，贯彻落实《益阳市电梯安全规定》，对全区</w:t>
      </w:r>
      <w:r>
        <w:rPr>
          <w:rFonts w:ascii="仿宋" w:eastAsia="仿宋" w:hAnsi="仿宋" w:cs="仿宋" w:hint="eastAsia"/>
          <w:color w:val="000000" w:themeColor="text1"/>
          <w:sz w:val="30"/>
          <w:szCs w:val="30"/>
        </w:rPr>
        <w:t>1506</w:t>
      </w:r>
      <w:r>
        <w:rPr>
          <w:rFonts w:ascii="仿宋" w:eastAsia="仿宋" w:hAnsi="仿宋" w:cs="仿宋" w:hint="eastAsia"/>
          <w:color w:val="000000" w:themeColor="text1"/>
          <w:sz w:val="30"/>
          <w:szCs w:val="30"/>
        </w:rPr>
        <w:t>家特种设备使用单</w:t>
      </w:r>
      <w:r>
        <w:rPr>
          <w:rFonts w:ascii="仿宋" w:eastAsia="仿宋" w:hAnsi="仿宋" w:cs="仿宋" w:hint="eastAsia"/>
          <w:color w:val="000000" w:themeColor="text1"/>
          <w:sz w:val="30"/>
          <w:szCs w:val="30"/>
        </w:rPr>
        <w:t>位先后开展压力管道安全、液化石油气瓶、特种设备安全隐患治理、特种设备安全生产三年专项整治、迎国庆保安全促发展等专项整治行动，共出动执法人员</w:t>
      </w:r>
      <w:r>
        <w:rPr>
          <w:rFonts w:ascii="仿宋" w:eastAsia="仿宋" w:hAnsi="仿宋" w:cs="仿宋" w:hint="eastAsia"/>
          <w:color w:val="000000" w:themeColor="text1"/>
          <w:sz w:val="30"/>
          <w:szCs w:val="30"/>
        </w:rPr>
        <w:t>2000</w:t>
      </w:r>
      <w:r>
        <w:rPr>
          <w:rFonts w:ascii="仿宋" w:eastAsia="仿宋" w:hAnsi="仿宋" w:cs="仿宋" w:hint="eastAsia"/>
          <w:color w:val="000000" w:themeColor="text1"/>
          <w:sz w:val="30"/>
          <w:szCs w:val="30"/>
        </w:rPr>
        <w:t>余人次，检查特种设备使用单位</w:t>
      </w:r>
      <w:r>
        <w:rPr>
          <w:rFonts w:ascii="仿宋" w:eastAsia="仿宋" w:hAnsi="仿宋" w:cs="仿宋" w:hint="eastAsia"/>
          <w:color w:val="000000" w:themeColor="text1"/>
          <w:sz w:val="30"/>
          <w:szCs w:val="30"/>
        </w:rPr>
        <w:t>650</w:t>
      </w:r>
      <w:r>
        <w:rPr>
          <w:rFonts w:ascii="仿宋" w:eastAsia="仿宋" w:hAnsi="仿宋" w:cs="仿宋" w:hint="eastAsia"/>
          <w:color w:val="000000" w:themeColor="text1"/>
          <w:sz w:val="30"/>
          <w:szCs w:val="30"/>
        </w:rPr>
        <w:t>余家次，发现隐患</w:t>
      </w:r>
      <w:r>
        <w:rPr>
          <w:rFonts w:ascii="仿宋" w:eastAsia="仿宋" w:hAnsi="仿宋" w:cs="仿宋" w:hint="eastAsia"/>
          <w:color w:val="000000" w:themeColor="text1"/>
          <w:sz w:val="30"/>
          <w:szCs w:val="30"/>
        </w:rPr>
        <w:t>167</w:t>
      </w:r>
      <w:r>
        <w:rPr>
          <w:rFonts w:ascii="仿宋" w:eastAsia="仿宋" w:hAnsi="仿宋" w:cs="仿宋" w:hint="eastAsia"/>
          <w:color w:val="000000" w:themeColor="text1"/>
          <w:sz w:val="30"/>
          <w:szCs w:val="30"/>
        </w:rPr>
        <w:t>起，下达了特种设备安全指令书</w:t>
      </w:r>
      <w:r>
        <w:rPr>
          <w:rFonts w:ascii="仿宋" w:eastAsia="仿宋" w:hAnsi="仿宋" w:cs="仿宋" w:hint="eastAsia"/>
          <w:color w:val="000000" w:themeColor="text1"/>
          <w:sz w:val="30"/>
          <w:szCs w:val="30"/>
        </w:rPr>
        <w:t>157</w:t>
      </w:r>
      <w:r>
        <w:rPr>
          <w:rFonts w:ascii="仿宋" w:eastAsia="仿宋" w:hAnsi="仿宋" w:cs="仿宋" w:hint="eastAsia"/>
          <w:color w:val="000000" w:themeColor="text1"/>
          <w:sz w:val="30"/>
          <w:szCs w:val="30"/>
        </w:rPr>
        <w:t>份，立案查处特种设备违法案件</w:t>
      </w:r>
      <w:r>
        <w:rPr>
          <w:rFonts w:ascii="仿宋" w:eastAsia="仿宋" w:hAnsi="仿宋" w:cs="仿宋" w:hint="eastAsia"/>
          <w:color w:val="000000" w:themeColor="text1"/>
          <w:sz w:val="30"/>
          <w:szCs w:val="30"/>
        </w:rPr>
        <w:t>14</w:t>
      </w:r>
      <w:r>
        <w:rPr>
          <w:rFonts w:ascii="仿宋" w:eastAsia="仿宋" w:hAnsi="仿宋" w:cs="仿宋" w:hint="eastAsia"/>
          <w:color w:val="000000" w:themeColor="text1"/>
          <w:sz w:val="30"/>
          <w:szCs w:val="30"/>
        </w:rPr>
        <w:t>起。抓优质量工作监管，有序推进“质量体检进企业”，贴心服务企业开展知识产权保护运用，着力引导企业参争省长质量奖、市长质量奖评选，全面开展“双打”等专项行动，健全理顺了政府质量工作考评制度体系。值得高兴的是，我区华翔翔能和世林食品成功荣获“第三届</w:t>
      </w:r>
      <w:r>
        <w:rPr>
          <w:rFonts w:ascii="仿宋" w:eastAsia="仿宋" w:hAnsi="仿宋" w:cs="仿宋" w:hint="eastAsia"/>
          <w:color w:val="000000" w:themeColor="text1"/>
          <w:sz w:val="30"/>
          <w:szCs w:val="30"/>
        </w:rPr>
        <w:t>市长质量奖”。抓实市场秩序监管，开展日常商品价格监控，重点监管疫情防控期间防疫相关物资，对涉嫌哄抬物价的违法行为进行严厉打击；围绕教育、医疗、药品、食品、保健食品、互联网等重点领域，先后开展违法违规商业营销宣传整治专项行动，有效整顿全区广告市场秩序。围绕创文创卫、禁捕退捕、教育“双减”等政府中心工作，我们立足本职、创新思路、攻坚克难，彰显了市监硬核担当。</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t>七、存在的问题及原因分析</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因部分工作不可预见性，有些支出无法纳入预算，导致预算执行存在偏差。</w:t>
      </w:r>
      <w:r>
        <w:rPr>
          <w:rFonts w:ascii="仿宋" w:eastAsia="仿宋" w:hAnsi="仿宋" w:cs="仿宋" w:hint="eastAsia"/>
          <w:color w:val="000000" w:themeColor="text1"/>
          <w:sz w:val="30"/>
          <w:szCs w:val="30"/>
        </w:rPr>
        <w:t>部分制度不够健全，执行不够严格，缺乏内部控制、绩效管理专业人员</w:t>
      </w:r>
      <w:r>
        <w:rPr>
          <w:rFonts w:ascii="仿宋" w:eastAsia="仿宋" w:hAnsi="仿宋" w:cs="仿宋" w:hint="eastAsia"/>
          <w:color w:val="000000" w:themeColor="text1"/>
          <w:sz w:val="30"/>
          <w:szCs w:val="30"/>
        </w:rPr>
        <w:t>，业务不够熟练。</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lastRenderedPageBreak/>
        <w:t>八、下一步改进措施</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一）加强新行政单位会计制度和新预算法学习培训、规范账务处理加强新《预算法》、《行政单位会计制度》、《会计法》、《行政单位财务规则》等学习培训，规范部门预算收支核算，一是制定和完善基本支出、项目支出等各项支出标准，严格按项目和进度执行预算，增强预算的约束力和严肃性。</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（二）落实预算执行分析，及时了解预算执行差异，合理调整、纠正预算执行偏差，切实提高部门预算收支管理水平。</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（三）细化预算编制工作，认真做好预算的编制。进一步加强内部机构的预算管理意识，严格按照预算编制的相关</w:t>
      </w:r>
      <w:r>
        <w:rPr>
          <w:rFonts w:ascii="仿宋" w:eastAsia="仿宋" w:hAnsi="仿宋" w:cs="仿宋" w:hint="eastAsia"/>
          <w:color w:val="000000" w:themeColor="text1"/>
          <w:kern w:val="0"/>
          <w:sz w:val="30"/>
          <w:szCs w:val="30"/>
        </w:rPr>
        <w:t>制度和要求，本着“勤俭节约、保障运转”的原则进行预算的编制，进一步提高预算编制的科学性、合理性、严谨性和可控性。</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（四）在日常预算管理过程中，进一步加强预算支出的审核、跟踪及预算执行情况分析。</w:t>
      </w:r>
    </w:p>
    <w:p w:rsidR="00066910" w:rsidRDefault="004F1AB9">
      <w:pPr>
        <w:widowControl/>
        <w:shd w:val="clear" w:color="auto" w:fill="FFFFFF"/>
        <w:spacing w:line="6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（五）完善管理制度，进一步加强资产管理</w:t>
      </w:r>
      <w:r>
        <w:rPr>
          <w:rFonts w:ascii="仿宋" w:eastAsia="仿宋" w:hAnsi="仿宋" w:cs="仿宋" w:hint="eastAsia"/>
          <w:color w:val="000000" w:themeColor="text1"/>
          <w:kern w:val="0"/>
          <w:sz w:val="30"/>
          <w:szCs w:val="30"/>
        </w:rPr>
        <w:t xml:space="preserve"> </w:t>
      </w:r>
      <w:r>
        <w:rPr>
          <w:rFonts w:ascii="仿宋" w:eastAsia="仿宋" w:hAnsi="仿宋" w:cs="仿宋" w:hint="eastAsia"/>
          <w:color w:val="000000" w:themeColor="text1"/>
          <w:kern w:val="0"/>
          <w:sz w:val="30"/>
          <w:szCs w:val="30"/>
        </w:rPr>
        <w:t>。进一步贯彻落实中央“八项规定”和湖南省委“九条规定”，加强经费审批和控制，规范支出标准与范围，并严格执行。严格按照《固定资产管理办法》的规定加强固定资产管理，确保账账、账实相符。</w:t>
      </w:r>
    </w:p>
    <w:p w:rsidR="00066910" w:rsidRDefault="004F1AB9">
      <w:pPr>
        <w:widowControl/>
        <w:shd w:val="clear" w:color="auto" w:fill="FFFFFF"/>
        <w:spacing w:line="600" w:lineRule="exact"/>
        <w:ind w:firstLineChars="200" w:firstLine="600"/>
        <w:jc w:val="left"/>
        <w:rPr>
          <w:rFonts w:ascii="黑体" w:eastAsia="黑体" w:hAnsi="黑体" w:cs="黑体"/>
          <w:color w:val="000000" w:themeColor="text1"/>
          <w:kern w:val="0"/>
          <w:sz w:val="30"/>
          <w:szCs w:val="30"/>
        </w:rPr>
      </w:pPr>
      <w:r>
        <w:rPr>
          <w:rFonts w:ascii="黑体" w:eastAsia="黑体" w:hAnsi="黑体" w:cs="黑体" w:hint="eastAsia"/>
          <w:color w:val="000000" w:themeColor="text1"/>
          <w:kern w:val="0"/>
          <w:sz w:val="30"/>
          <w:szCs w:val="30"/>
        </w:rPr>
        <w:t>九、其他需要说明的情况</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赫山区市场监督管理局无其它需要说明的情况。</w:t>
      </w:r>
      <w:r>
        <w:rPr>
          <w:rFonts w:ascii="仿宋" w:eastAsia="仿宋" w:hAnsi="仿宋" w:cs="仿宋" w:hint="eastAsia"/>
          <w:color w:val="000000" w:themeColor="text1"/>
          <w:sz w:val="30"/>
          <w:szCs w:val="30"/>
        </w:rPr>
        <w:t xml:space="preserve"> </w:t>
      </w:r>
    </w:p>
    <w:p w:rsidR="00066910" w:rsidRDefault="004F1AB9">
      <w:pPr>
        <w:widowControl/>
        <w:shd w:val="clear" w:color="auto" w:fill="FFFFFF"/>
        <w:spacing w:line="600" w:lineRule="exact"/>
        <w:ind w:firstLineChars="200" w:firstLine="6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附件：</w:t>
      </w:r>
      <w:r>
        <w:rPr>
          <w:rFonts w:ascii="仿宋" w:eastAsia="仿宋" w:hAnsi="仿宋" w:cs="仿宋" w:hint="eastAsia"/>
          <w:color w:val="000000" w:themeColor="text1"/>
          <w:sz w:val="30"/>
          <w:szCs w:val="30"/>
        </w:rPr>
        <w:t>2021</w:t>
      </w:r>
      <w:r>
        <w:rPr>
          <w:rFonts w:ascii="仿宋" w:eastAsia="仿宋" w:hAnsi="仿宋" w:cs="仿宋" w:hint="eastAsia"/>
          <w:color w:val="000000" w:themeColor="text1"/>
          <w:sz w:val="30"/>
          <w:szCs w:val="30"/>
        </w:rPr>
        <w:t>年度部门整体</w:t>
      </w:r>
      <w:r>
        <w:rPr>
          <w:rFonts w:ascii="仿宋" w:eastAsia="仿宋" w:hAnsi="仿宋" w:cs="仿宋" w:hint="eastAsia"/>
          <w:color w:val="000000" w:themeColor="text1"/>
          <w:sz w:val="30"/>
          <w:szCs w:val="30"/>
        </w:rPr>
        <w:t>支出绩效自评指标计分表</w:t>
      </w:r>
    </w:p>
    <w:p w:rsidR="00066910" w:rsidRDefault="00066910" w:rsidP="00066910">
      <w:pPr>
        <w:spacing w:beforeLines="50" w:afterLines="50"/>
        <w:rPr>
          <w:rFonts w:ascii="方正小标宋简体" w:eastAsia="方正小标宋简体" w:cs="方正小标宋_GBK"/>
          <w:sz w:val="36"/>
          <w:szCs w:val="36"/>
        </w:rPr>
      </w:pPr>
      <w:bookmarkStart w:id="0" w:name="_GoBack"/>
      <w:bookmarkEnd w:id="0"/>
    </w:p>
    <w:p w:rsidR="00066910" w:rsidRDefault="004F1AB9" w:rsidP="00066910">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2021</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3"/>
        <w:gridCol w:w="667"/>
        <w:gridCol w:w="889"/>
        <w:gridCol w:w="667"/>
        <w:gridCol w:w="2804"/>
        <w:gridCol w:w="3319"/>
      </w:tblGrid>
      <w:tr w:rsidR="00066910">
        <w:trPr>
          <w:trHeight w:val="489"/>
          <w:tblHeader/>
          <w:jc w:val="center"/>
        </w:trPr>
        <w:tc>
          <w:tcPr>
            <w:tcW w:w="306" w:type="pct"/>
            <w:tcMar>
              <w:top w:w="10" w:type="dxa"/>
              <w:left w:w="10" w:type="dxa"/>
              <w:bottom w:w="0" w:type="dxa"/>
              <w:right w:w="10" w:type="dxa"/>
            </w:tcMar>
            <w:vAlign w:val="center"/>
          </w:tcPr>
          <w:p w:rsidR="00066910" w:rsidRDefault="004F1AB9">
            <w:pPr>
              <w:spacing w:line="240" w:lineRule="exact"/>
              <w:jc w:val="center"/>
              <w:rPr>
                <w:rFonts w:ascii="宋体" w:hAnsi="宋体" w:cs="宋体"/>
                <w:b/>
                <w:bCs/>
              </w:rPr>
            </w:pPr>
            <w:r>
              <w:rPr>
                <w:rFonts w:ascii="宋体" w:hAnsi="宋体" w:cs="宋体" w:hint="eastAsia"/>
                <w:b/>
                <w:bCs/>
              </w:rPr>
              <w:t>一级</w:t>
            </w:r>
          </w:p>
          <w:p w:rsidR="00066910" w:rsidRDefault="004F1AB9">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066910" w:rsidRDefault="004F1AB9">
            <w:pPr>
              <w:spacing w:line="240" w:lineRule="exact"/>
              <w:ind w:rightChars="-83" w:right="-174"/>
              <w:jc w:val="center"/>
              <w:rPr>
                <w:rFonts w:ascii="宋体" w:cs="宋体"/>
                <w:b/>
                <w:bCs/>
              </w:rPr>
            </w:pPr>
            <w:r>
              <w:rPr>
                <w:rFonts w:ascii="宋体" w:hAnsi="宋体" w:cs="宋体" w:hint="eastAsia"/>
                <w:b/>
                <w:bCs/>
              </w:rPr>
              <w:t>二级</w:t>
            </w:r>
          </w:p>
          <w:p w:rsidR="00066910" w:rsidRDefault="004F1AB9">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b/>
                <w:bCs/>
              </w:rPr>
            </w:pPr>
            <w:r>
              <w:rPr>
                <w:rFonts w:ascii="宋体" w:hAnsi="宋体" w:cs="宋体" w:hint="eastAsia"/>
                <w:b/>
                <w:bCs/>
              </w:rPr>
              <w:t>三级</w:t>
            </w:r>
          </w:p>
          <w:p w:rsidR="00066910" w:rsidRDefault="004F1AB9">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066910" w:rsidRDefault="004F1AB9">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066910" w:rsidRDefault="004F1AB9">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066910">
        <w:trPr>
          <w:trHeight w:val="1892"/>
          <w:jc w:val="center"/>
        </w:trPr>
        <w:tc>
          <w:tcPr>
            <w:tcW w:w="306" w:type="pct"/>
            <w:vMerge w:val="restart"/>
            <w:noWrap/>
            <w:tcMar>
              <w:top w:w="10" w:type="dxa"/>
              <w:left w:w="10" w:type="dxa"/>
              <w:bottom w:w="0" w:type="dxa"/>
              <w:right w:w="10" w:type="dxa"/>
            </w:tcMar>
            <w:textDirection w:val="tbRlV"/>
            <w:vAlign w:val="center"/>
          </w:tcPr>
          <w:p w:rsidR="00066910" w:rsidRDefault="004F1AB9">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066910" w:rsidRDefault="004F1AB9">
            <w:pPr>
              <w:spacing w:line="240" w:lineRule="exact"/>
              <w:jc w:val="center"/>
              <w:rPr>
                <w:rFonts w:ascii="宋体" w:hAnsi="宋体" w:cs="宋体"/>
              </w:rPr>
            </w:pPr>
            <w:r>
              <w:rPr>
                <w:rFonts w:ascii="宋体" w:hAnsi="宋体" w:cs="宋体" w:hint="eastAsia"/>
              </w:rPr>
              <w:t>目标</w:t>
            </w:r>
          </w:p>
          <w:p w:rsidR="00066910" w:rsidRDefault="004F1AB9">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绩效目标</w:t>
            </w:r>
          </w:p>
          <w:p w:rsidR="00066910" w:rsidRDefault="004F1AB9">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rsidP="00066910">
            <w:pPr>
              <w:tabs>
                <w:tab w:val="left" w:pos="2604"/>
              </w:tabs>
              <w:spacing w:line="240" w:lineRule="exact"/>
              <w:ind w:leftChars="50" w:left="105" w:rightChars="50" w:right="105" w:firstLineChars="46" w:firstLine="97"/>
              <w:jc w:val="center"/>
              <w:rPr>
                <w:rFonts w:ascii="宋体" w:cs="宋体"/>
              </w:rPr>
            </w:pPr>
          </w:p>
          <w:p w:rsidR="00066910" w:rsidRDefault="00066910" w:rsidP="00066910">
            <w:pPr>
              <w:tabs>
                <w:tab w:val="left" w:pos="2604"/>
              </w:tabs>
              <w:spacing w:line="240" w:lineRule="exact"/>
              <w:ind w:leftChars="50" w:left="105" w:rightChars="50" w:right="105" w:firstLineChars="46" w:firstLine="97"/>
              <w:jc w:val="center"/>
              <w:rPr>
                <w:rFonts w:ascii="宋体" w:cs="宋体"/>
              </w:rPr>
            </w:pPr>
          </w:p>
          <w:p w:rsidR="00066910" w:rsidRDefault="00066910" w:rsidP="00066910">
            <w:pPr>
              <w:tabs>
                <w:tab w:val="left" w:pos="2604"/>
              </w:tabs>
              <w:spacing w:line="240" w:lineRule="exact"/>
              <w:ind w:leftChars="50" w:left="105" w:rightChars="50" w:right="105" w:firstLineChars="46" w:firstLine="97"/>
              <w:jc w:val="center"/>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1</w:t>
            </w:r>
          </w:p>
          <w:p w:rsidR="00066910" w:rsidRDefault="00066910" w:rsidP="00066910">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评价要点：</w:t>
            </w:r>
          </w:p>
          <w:p w:rsidR="00066910" w:rsidRDefault="004F1AB9">
            <w:pPr>
              <w:spacing w:line="240" w:lineRule="exact"/>
              <w:ind w:leftChars="50" w:left="105" w:rightChars="50" w:right="105"/>
              <w:rPr>
                <w:rFonts w:ascii="宋体" w:hAnsi="宋体" w:cs="宋体"/>
              </w:rPr>
            </w:pPr>
            <w:r>
              <w:rPr>
                <w:rFonts w:ascii="宋体" w:hAnsi="宋体" w:cs="宋体" w:hint="eastAsia"/>
              </w:rPr>
              <w:t>①是否符合国家法律法规、国民经济和社会发展总体规划；</w:t>
            </w:r>
          </w:p>
          <w:p w:rsidR="00066910" w:rsidRDefault="004F1AB9">
            <w:pPr>
              <w:spacing w:line="240" w:lineRule="exact"/>
              <w:ind w:leftChars="50" w:left="105" w:rightChars="50" w:right="105"/>
              <w:rPr>
                <w:rFonts w:ascii="宋体" w:hAnsi="宋体" w:cs="宋体"/>
              </w:rPr>
            </w:pPr>
            <w:r>
              <w:rPr>
                <w:rFonts w:ascii="宋体" w:hAnsi="宋体" w:cs="宋体" w:hint="eastAsia"/>
              </w:rPr>
              <w:t>②是否符合部门“三定”方案确定的职责；</w:t>
            </w:r>
          </w:p>
          <w:p w:rsidR="00066910" w:rsidRDefault="004F1AB9">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066910">
        <w:trPr>
          <w:trHeight w:val="2137"/>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绩效指标</w:t>
            </w:r>
          </w:p>
          <w:p w:rsidR="00066910" w:rsidRDefault="004F1AB9">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Mar>
              <w:top w:w="10" w:type="dxa"/>
              <w:left w:w="10" w:type="dxa"/>
              <w:bottom w:w="0" w:type="dxa"/>
              <w:right w:w="10" w:type="dxa"/>
            </w:tcMar>
          </w:tcPr>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4F1AB9" w:rsidP="00066910">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评价要点：</w:t>
            </w:r>
          </w:p>
          <w:p w:rsidR="00066910" w:rsidRDefault="004F1AB9">
            <w:pPr>
              <w:spacing w:line="240" w:lineRule="exact"/>
              <w:ind w:leftChars="50" w:left="105" w:rightChars="50" w:right="105"/>
              <w:rPr>
                <w:rFonts w:ascii="宋体" w:hAnsi="宋体" w:cs="宋体"/>
              </w:rPr>
            </w:pPr>
            <w:r>
              <w:rPr>
                <w:rFonts w:ascii="宋体" w:hAnsi="宋体" w:cs="宋体" w:hint="eastAsia"/>
              </w:rPr>
              <w:t>①是否将部门整体的绩效目标细化分解为具体的工作任务；</w:t>
            </w:r>
          </w:p>
          <w:p w:rsidR="00066910" w:rsidRDefault="004F1AB9">
            <w:pPr>
              <w:spacing w:line="240" w:lineRule="exact"/>
              <w:ind w:leftChars="50" w:left="105" w:rightChars="50" w:right="105"/>
              <w:rPr>
                <w:rFonts w:ascii="宋体" w:hAnsi="宋体" w:cs="宋体"/>
              </w:rPr>
            </w:pPr>
            <w:r>
              <w:rPr>
                <w:rFonts w:ascii="宋体" w:hAnsi="宋体" w:cs="宋体" w:hint="eastAsia"/>
              </w:rPr>
              <w:t>②是否通过清晰、可衡量的指标值予以体现。③是否与部门年度的任务数或计划数相对应；</w:t>
            </w:r>
          </w:p>
          <w:p w:rsidR="00066910" w:rsidRDefault="004F1AB9">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066910">
        <w:trPr>
          <w:trHeight w:val="1931"/>
          <w:jc w:val="center"/>
        </w:trPr>
        <w:tc>
          <w:tcPr>
            <w:tcW w:w="306" w:type="pct"/>
            <w:vMerge/>
            <w:vAlign w:val="center"/>
          </w:tcPr>
          <w:p w:rsidR="00066910" w:rsidRDefault="00066910">
            <w:pPr>
              <w:spacing w:line="240" w:lineRule="exact"/>
              <w:rPr>
                <w:rFonts w:ascii="宋体" w:cs="宋体"/>
              </w:rPr>
            </w:pPr>
          </w:p>
        </w:tc>
        <w:tc>
          <w:tcPr>
            <w:tcW w:w="375" w:type="pct"/>
            <w:vMerge w:val="restart"/>
            <w:tcMar>
              <w:top w:w="10" w:type="dxa"/>
              <w:left w:w="10" w:type="dxa"/>
              <w:bottom w:w="0" w:type="dxa"/>
              <w:right w:w="10" w:type="dxa"/>
            </w:tcMar>
            <w:vAlign w:val="center"/>
          </w:tcPr>
          <w:p w:rsidR="00066910" w:rsidRDefault="004F1AB9">
            <w:pPr>
              <w:spacing w:line="240" w:lineRule="exact"/>
              <w:jc w:val="center"/>
              <w:rPr>
                <w:rFonts w:ascii="宋体" w:hAnsi="宋体" w:cs="宋体"/>
              </w:rPr>
            </w:pPr>
            <w:r>
              <w:rPr>
                <w:rFonts w:ascii="宋体" w:hAnsi="宋体" w:cs="宋体" w:hint="eastAsia"/>
              </w:rPr>
              <w:t>预算</w:t>
            </w:r>
          </w:p>
          <w:p w:rsidR="00066910" w:rsidRDefault="004F1AB9">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在职人员</w:t>
            </w:r>
          </w:p>
          <w:p w:rsidR="00066910" w:rsidRDefault="004F1AB9">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5</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hAnsi="宋体" w:cs="宋体"/>
              </w:rPr>
            </w:pPr>
            <w:r>
              <w:rPr>
                <w:rFonts w:ascii="宋体" w:hAnsi="宋体" w:cs="宋体" w:hint="eastAsia"/>
              </w:rPr>
              <w:t>在职人员数：部门实际在职人数，以财政部确定的部门决算编制口径为准。</w:t>
            </w:r>
          </w:p>
          <w:p w:rsidR="00066910" w:rsidRDefault="004F1AB9">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066910">
        <w:trPr>
          <w:trHeight w:val="2030"/>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“三公经费”</w:t>
            </w:r>
          </w:p>
          <w:p w:rsidR="00066910" w:rsidRDefault="004F1AB9">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66910" w:rsidRDefault="00066910" w:rsidP="00066910">
            <w:pPr>
              <w:tabs>
                <w:tab w:val="left" w:pos="2604"/>
              </w:tabs>
              <w:spacing w:line="240" w:lineRule="exact"/>
              <w:ind w:leftChars="50" w:left="105" w:rightChars="50" w:right="105" w:firstLineChars="146" w:firstLine="307"/>
              <w:rPr>
                <w:rFonts w:ascii="宋体" w:cs="宋体"/>
              </w:rPr>
            </w:pPr>
          </w:p>
          <w:p w:rsidR="00066910" w:rsidRDefault="00066910" w:rsidP="00066910">
            <w:pPr>
              <w:tabs>
                <w:tab w:val="left" w:pos="2604"/>
              </w:tabs>
              <w:spacing w:line="240" w:lineRule="exact"/>
              <w:ind w:leftChars="50" w:left="105" w:rightChars="50" w:right="105" w:firstLineChars="146" w:firstLine="307"/>
              <w:rPr>
                <w:rFonts w:ascii="宋体" w:cs="宋体"/>
              </w:rPr>
            </w:pPr>
          </w:p>
          <w:p w:rsidR="00066910" w:rsidRDefault="00066910" w:rsidP="00066910">
            <w:pPr>
              <w:tabs>
                <w:tab w:val="left" w:pos="2604"/>
              </w:tabs>
              <w:spacing w:line="240" w:lineRule="exact"/>
              <w:ind w:leftChars="50" w:left="105" w:rightChars="50" w:right="105" w:firstLineChars="146" w:firstLine="307"/>
              <w:rPr>
                <w:rFonts w:ascii="宋体" w:cs="宋体"/>
              </w:rPr>
            </w:pPr>
          </w:p>
          <w:p w:rsidR="00066910" w:rsidRDefault="00066910" w:rsidP="00066910">
            <w:pPr>
              <w:tabs>
                <w:tab w:val="left" w:pos="2604"/>
              </w:tabs>
              <w:spacing w:line="240" w:lineRule="exact"/>
              <w:ind w:leftChars="50" w:left="105" w:rightChars="50" w:right="105" w:firstLineChars="146" w:firstLine="307"/>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5</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066910">
        <w:trPr>
          <w:trHeight w:val="2510"/>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重点支出</w:t>
            </w:r>
          </w:p>
          <w:p w:rsidR="00066910" w:rsidRDefault="004F1AB9">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5</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066910" w:rsidRDefault="004F1AB9">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066910">
        <w:trPr>
          <w:trHeight w:val="1462"/>
          <w:jc w:val="center"/>
        </w:trPr>
        <w:tc>
          <w:tcPr>
            <w:tcW w:w="306" w:type="pct"/>
            <w:vMerge w:val="restart"/>
            <w:noWrap/>
            <w:tcMar>
              <w:top w:w="10" w:type="dxa"/>
              <w:left w:w="10" w:type="dxa"/>
              <w:bottom w:w="0" w:type="dxa"/>
              <w:right w:w="10" w:type="dxa"/>
            </w:tcMar>
            <w:textDirection w:val="tbRlV"/>
            <w:vAlign w:val="center"/>
          </w:tcPr>
          <w:p w:rsidR="00066910" w:rsidRDefault="004F1AB9">
            <w:pPr>
              <w:spacing w:line="240" w:lineRule="exact"/>
              <w:jc w:val="center"/>
              <w:rPr>
                <w:rFonts w:ascii="宋体" w:cs="宋体"/>
              </w:rPr>
            </w:pPr>
            <w:r>
              <w:rPr>
                <w:rFonts w:ascii="宋体" w:hAnsi="宋体" w:cs="宋体" w:hint="eastAsia"/>
              </w:rPr>
              <w:t>过程（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66910" w:rsidRDefault="004F1AB9">
            <w:pPr>
              <w:spacing w:line="240" w:lineRule="exact"/>
              <w:jc w:val="center"/>
              <w:rPr>
                <w:rFonts w:ascii="宋体" w:hAnsi="宋体" w:cs="宋体"/>
              </w:rPr>
            </w:pPr>
            <w:r>
              <w:rPr>
                <w:rFonts w:ascii="宋体" w:hAnsi="宋体" w:cs="宋体" w:hint="eastAsia"/>
              </w:rPr>
              <w:t>预算</w:t>
            </w:r>
          </w:p>
          <w:p w:rsidR="00066910" w:rsidRDefault="004F1AB9">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预算</w:t>
            </w:r>
          </w:p>
          <w:p w:rsidR="00066910" w:rsidRDefault="004F1AB9">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4</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hAnsi="宋体" w:cs="宋体"/>
              </w:rPr>
            </w:pPr>
            <w:r>
              <w:rPr>
                <w:rFonts w:ascii="宋体" w:hAnsi="宋体" w:cs="宋体" w:hint="eastAsia"/>
              </w:rPr>
              <w:t>预算执行数：部门本年度实际完成的预算数。</w:t>
            </w:r>
          </w:p>
          <w:p w:rsidR="00066910" w:rsidRDefault="004F1AB9">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066910">
        <w:trPr>
          <w:trHeight w:val="1824"/>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jc w:val="center"/>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预算</w:t>
            </w:r>
          </w:p>
          <w:p w:rsidR="00066910" w:rsidRDefault="004F1AB9">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2</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066910">
        <w:trPr>
          <w:trHeight w:val="2531"/>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jc w:val="center"/>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支付</w:t>
            </w:r>
          </w:p>
          <w:p w:rsidR="00066910" w:rsidRDefault="004F1AB9">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2</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hAnsi="宋体" w:cs="宋体"/>
              </w:rPr>
            </w:pPr>
            <w:r>
              <w:rPr>
                <w:rFonts w:ascii="宋体" w:hAnsi="宋体" w:cs="宋体" w:hint="eastAsia"/>
              </w:rPr>
              <w:t>实际支付进度：部门在某一时点的支出预算执行总数与年度支出预算数的比率。</w:t>
            </w:r>
          </w:p>
          <w:p w:rsidR="00066910" w:rsidRDefault="004F1AB9">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066910">
        <w:trPr>
          <w:trHeight w:val="1209"/>
          <w:jc w:val="center"/>
        </w:trPr>
        <w:tc>
          <w:tcPr>
            <w:tcW w:w="306" w:type="pct"/>
            <w:vMerge/>
            <w:noWrap/>
            <w:tcMar>
              <w:top w:w="10" w:type="dxa"/>
              <w:left w:w="10" w:type="dxa"/>
              <w:bottom w:w="0" w:type="dxa"/>
              <w:right w:w="10" w:type="dxa"/>
            </w:tcMar>
            <w:textDirection w:val="tbRlV"/>
            <w:vAlign w:val="center"/>
          </w:tcPr>
          <w:p w:rsidR="00066910" w:rsidRDefault="00066910">
            <w:pPr>
              <w:spacing w:line="240" w:lineRule="exact"/>
              <w:jc w:val="center"/>
              <w:rPr>
                <w:rFonts w:ascii="宋体" w:cs="宋体"/>
              </w:rPr>
            </w:pPr>
          </w:p>
        </w:tc>
        <w:tc>
          <w:tcPr>
            <w:tcW w:w="375" w:type="pct"/>
            <w:vMerge/>
            <w:tcMar>
              <w:top w:w="10" w:type="dxa"/>
              <w:left w:w="10" w:type="dxa"/>
              <w:bottom w:w="0" w:type="dxa"/>
              <w:right w:w="10" w:type="dxa"/>
            </w:tcMar>
            <w:vAlign w:val="center"/>
          </w:tcPr>
          <w:p w:rsidR="00066910" w:rsidRDefault="00066910">
            <w:pPr>
              <w:spacing w:line="240" w:lineRule="exact"/>
              <w:jc w:val="center"/>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结转</w:t>
            </w:r>
          </w:p>
          <w:p w:rsidR="00066910" w:rsidRDefault="004F1AB9">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2</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066910">
        <w:trPr>
          <w:trHeight w:val="1113"/>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结转结余</w:t>
            </w:r>
          </w:p>
          <w:p w:rsidR="00066910" w:rsidRDefault="004F1AB9">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2</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066910">
        <w:trPr>
          <w:trHeight w:val="1315"/>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公用经费</w:t>
            </w:r>
          </w:p>
          <w:p w:rsidR="00066910" w:rsidRDefault="004F1AB9">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2</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066910">
        <w:trPr>
          <w:trHeight w:val="1018"/>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jc w:val="center"/>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2</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066910">
        <w:trPr>
          <w:trHeight w:val="1320"/>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政府采购</w:t>
            </w:r>
          </w:p>
          <w:p w:rsidR="00066910" w:rsidRDefault="004F1AB9">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4</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p>
        </w:tc>
      </w:tr>
      <w:tr w:rsidR="00066910">
        <w:trPr>
          <w:trHeight w:val="2029"/>
          <w:jc w:val="center"/>
        </w:trPr>
        <w:tc>
          <w:tcPr>
            <w:tcW w:w="306" w:type="pct"/>
            <w:vMerge w:val="restart"/>
            <w:vAlign w:val="center"/>
          </w:tcPr>
          <w:p w:rsidR="00066910" w:rsidRDefault="004F1AB9">
            <w:pPr>
              <w:spacing w:line="240" w:lineRule="exact"/>
              <w:jc w:val="center"/>
              <w:rPr>
                <w:rFonts w:ascii="宋体" w:cs="宋体"/>
              </w:rPr>
            </w:pPr>
            <w:r>
              <w:rPr>
                <w:rFonts w:ascii="宋体" w:hAnsi="宋体" w:cs="宋体" w:hint="eastAsia"/>
              </w:rPr>
              <w:t>过</w:t>
            </w:r>
          </w:p>
          <w:p w:rsidR="00066910" w:rsidRDefault="004F1AB9">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66910" w:rsidRDefault="004F1AB9">
            <w:pPr>
              <w:spacing w:line="240" w:lineRule="exact"/>
              <w:jc w:val="center"/>
              <w:rPr>
                <w:rFonts w:ascii="宋体" w:hAnsi="宋体" w:cs="宋体"/>
              </w:rPr>
            </w:pPr>
            <w:r>
              <w:rPr>
                <w:rFonts w:ascii="宋体" w:hAnsi="宋体" w:cs="宋体" w:hint="eastAsia"/>
              </w:rPr>
              <w:t>预算</w:t>
            </w:r>
          </w:p>
          <w:p w:rsidR="00066910" w:rsidRDefault="004F1AB9">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066910" w:rsidRDefault="004F1AB9">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管理制度</w:t>
            </w:r>
          </w:p>
          <w:p w:rsidR="00066910" w:rsidRDefault="004F1AB9">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1</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评价要点：</w:t>
            </w:r>
          </w:p>
          <w:p w:rsidR="00066910" w:rsidRDefault="004F1AB9">
            <w:pPr>
              <w:spacing w:line="240" w:lineRule="exact"/>
              <w:ind w:leftChars="50" w:left="105" w:rightChars="50" w:right="105"/>
              <w:rPr>
                <w:rFonts w:ascii="宋体" w:hAnsi="宋体" w:cs="宋体"/>
              </w:rPr>
            </w:pPr>
            <w:r>
              <w:rPr>
                <w:rFonts w:ascii="宋体" w:hAnsi="宋体" w:cs="宋体" w:hint="eastAsia"/>
              </w:rPr>
              <w:t>①是否已制定或具有预算资金管理办法、内部财务管理制度、会计核算制度等管理制度；</w:t>
            </w:r>
          </w:p>
          <w:p w:rsidR="00066910" w:rsidRDefault="004F1AB9">
            <w:pPr>
              <w:spacing w:line="240" w:lineRule="exact"/>
              <w:ind w:leftChars="50" w:left="105" w:rightChars="50" w:right="105"/>
              <w:rPr>
                <w:rFonts w:ascii="宋体" w:hAnsi="宋体" w:cs="宋体"/>
              </w:rPr>
            </w:pPr>
            <w:r>
              <w:rPr>
                <w:rFonts w:ascii="宋体" w:hAnsi="宋体" w:cs="宋体" w:hint="eastAsia"/>
              </w:rPr>
              <w:t>②相关管理制度是否合法、合规、完整；</w:t>
            </w:r>
          </w:p>
          <w:p w:rsidR="00066910" w:rsidRDefault="004F1AB9">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066910">
        <w:trPr>
          <w:trHeight w:val="2537"/>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jc w:val="center"/>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资金使用</w:t>
            </w:r>
          </w:p>
          <w:p w:rsidR="00066910" w:rsidRDefault="004F1AB9">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1</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评价要点：</w:t>
            </w:r>
          </w:p>
          <w:p w:rsidR="00066910" w:rsidRDefault="004F1AB9">
            <w:pPr>
              <w:spacing w:line="240" w:lineRule="exact"/>
              <w:ind w:leftChars="50" w:left="105" w:rightChars="50" w:right="105"/>
              <w:rPr>
                <w:rFonts w:ascii="宋体" w:hAnsi="宋体" w:cs="宋体"/>
              </w:rPr>
            </w:pPr>
            <w:r>
              <w:rPr>
                <w:rFonts w:ascii="宋体" w:hAnsi="宋体" w:cs="宋体" w:hint="eastAsia"/>
              </w:rPr>
              <w:t>①是否符合国家财经法规和财务管理制度规定以及有关预算支出管理办法的规定；</w:t>
            </w:r>
          </w:p>
          <w:p w:rsidR="00066910" w:rsidRDefault="004F1AB9">
            <w:pPr>
              <w:spacing w:line="240" w:lineRule="exact"/>
              <w:ind w:leftChars="50" w:left="105" w:rightChars="50" w:right="105"/>
              <w:rPr>
                <w:rFonts w:ascii="宋体" w:hAnsi="宋体" w:cs="宋体"/>
              </w:rPr>
            </w:pPr>
            <w:r>
              <w:rPr>
                <w:rFonts w:ascii="宋体" w:hAnsi="宋体" w:cs="宋体" w:hint="eastAsia"/>
              </w:rPr>
              <w:t>②资金的拨付是否有完整的审批程序和手续；</w:t>
            </w:r>
          </w:p>
          <w:p w:rsidR="00066910" w:rsidRDefault="004F1AB9">
            <w:pPr>
              <w:spacing w:line="240" w:lineRule="exact"/>
              <w:ind w:leftChars="50" w:left="105" w:rightChars="50" w:right="105"/>
              <w:rPr>
                <w:rFonts w:ascii="宋体" w:hAnsi="宋体" w:cs="宋体"/>
              </w:rPr>
            </w:pPr>
            <w:r>
              <w:rPr>
                <w:rFonts w:ascii="宋体" w:hAnsi="宋体" w:cs="宋体" w:hint="eastAsia"/>
              </w:rPr>
              <w:t>③预算支出的重大开支是否经过评估论证；</w:t>
            </w:r>
          </w:p>
          <w:p w:rsidR="00066910" w:rsidRDefault="004F1AB9">
            <w:pPr>
              <w:spacing w:line="240" w:lineRule="exact"/>
              <w:ind w:leftChars="50" w:left="105" w:rightChars="50" w:right="105"/>
              <w:rPr>
                <w:rFonts w:ascii="宋体" w:hAnsi="宋体" w:cs="宋体"/>
              </w:rPr>
            </w:pPr>
            <w:r>
              <w:rPr>
                <w:rFonts w:ascii="宋体" w:hAnsi="宋体" w:cs="宋体" w:hint="eastAsia"/>
              </w:rPr>
              <w:t>④是否符合部门预算批复的用途；</w:t>
            </w:r>
          </w:p>
          <w:p w:rsidR="00066910" w:rsidRDefault="004F1AB9">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066910">
        <w:trPr>
          <w:trHeight w:val="1272"/>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预决算信</w:t>
            </w:r>
          </w:p>
          <w:p w:rsidR="00066910" w:rsidRDefault="004F1AB9">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1</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评价要点：</w:t>
            </w:r>
          </w:p>
          <w:p w:rsidR="00066910" w:rsidRDefault="004F1AB9">
            <w:pPr>
              <w:spacing w:line="240" w:lineRule="exact"/>
              <w:ind w:leftChars="50" w:left="105" w:rightChars="50" w:right="105"/>
              <w:rPr>
                <w:rFonts w:ascii="宋体" w:hAnsi="宋体" w:cs="宋体"/>
              </w:rPr>
            </w:pPr>
            <w:r>
              <w:rPr>
                <w:rFonts w:ascii="宋体" w:hAnsi="宋体" w:cs="宋体" w:hint="eastAsia"/>
              </w:rPr>
              <w:t>①是否按规定内容公开预决算信息；</w:t>
            </w:r>
          </w:p>
          <w:p w:rsidR="00066910" w:rsidRDefault="004F1AB9">
            <w:pPr>
              <w:spacing w:line="240" w:lineRule="exact"/>
              <w:ind w:leftChars="50" w:left="105" w:rightChars="50" w:right="105"/>
              <w:rPr>
                <w:rFonts w:ascii="宋体" w:hAnsi="宋体" w:cs="宋体"/>
              </w:rPr>
            </w:pPr>
            <w:r>
              <w:rPr>
                <w:rFonts w:ascii="宋体" w:hAnsi="宋体" w:cs="宋体" w:hint="eastAsia"/>
              </w:rPr>
              <w:t>②是否按规定时限公开预决算信息。</w:t>
            </w:r>
          </w:p>
          <w:p w:rsidR="00066910" w:rsidRDefault="004F1AB9">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066910">
        <w:trPr>
          <w:trHeight w:val="1737"/>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jc w:val="center"/>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基础信息</w:t>
            </w:r>
          </w:p>
          <w:p w:rsidR="00066910" w:rsidRDefault="004F1AB9">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1</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评价要点：</w:t>
            </w:r>
          </w:p>
          <w:p w:rsidR="00066910" w:rsidRDefault="004F1AB9">
            <w:pPr>
              <w:spacing w:line="240" w:lineRule="exact"/>
              <w:ind w:leftChars="50" w:left="105" w:rightChars="50" w:right="105"/>
              <w:rPr>
                <w:rFonts w:ascii="宋体" w:hAnsi="宋体" w:cs="宋体"/>
              </w:rPr>
            </w:pPr>
            <w:r>
              <w:rPr>
                <w:rFonts w:ascii="宋体" w:hAnsi="宋体" w:cs="宋体" w:hint="eastAsia"/>
              </w:rPr>
              <w:t>①基础数据信息和会计信息资料是否真实；</w:t>
            </w:r>
          </w:p>
          <w:p w:rsidR="00066910" w:rsidRDefault="004F1AB9">
            <w:pPr>
              <w:spacing w:line="240" w:lineRule="exact"/>
              <w:ind w:leftChars="50" w:left="105" w:rightChars="50" w:right="105"/>
              <w:rPr>
                <w:rFonts w:ascii="宋体" w:hAnsi="宋体" w:cs="宋体"/>
              </w:rPr>
            </w:pPr>
            <w:r>
              <w:rPr>
                <w:rFonts w:ascii="宋体" w:hAnsi="宋体" w:cs="宋体" w:hint="eastAsia"/>
              </w:rPr>
              <w:t>②基础数据信息和会计信息资料是否完整；</w:t>
            </w:r>
          </w:p>
          <w:p w:rsidR="00066910" w:rsidRDefault="004F1AB9">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066910">
        <w:trPr>
          <w:trHeight w:val="1389"/>
          <w:jc w:val="center"/>
        </w:trPr>
        <w:tc>
          <w:tcPr>
            <w:tcW w:w="306" w:type="pct"/>
            <w:vMerge/>
            <w:noWrap/>
            <w:tcMar>
              <w:top w:w="10" w:type="dxa"/>
              <w:left w:w="10" w:type="dxa"/>
              <w:bottom w:w="0" w:type="dxa"/>
              <w:right w:w="10" w:type="dxa"/>
            </w:tcMar>
            <w:textDirection w:val="tbRlV"/>
            <w:vAlign w:val="center"/>
          </w:tcPr>
          <w:p w:rsidR="00066910" w:rsidRDefault="00066910">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066910" w:rsidRDefault="004F1AB9">
            <w:pPr>
              <w:spacing w:line="240" w:lineRule="exact"/>
              <w:jc w:val="center"/>
              <w:rPr>
                <w:rFonts w:ascii="宋体" w:hAnsi="宋体" w:cs="宋体"/>
              </w:rPr>
            </w:pPr>
            <w:r>
              <w:rPr>
                <w:rFonts w:ascii="宋体" w:hAnsi="宋体" w:cs="宋体" w:hint="eastAsia"/>
              </w:rPr>
              <w:t>资产</w:t>
            </w:r>
          </w:p>
          <w:p w:rsidR="00066910" w:rsidRDefault="004F1AB9">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管理制度</w:t>
            </w:r>
          </w:p>
          <w:p w:rsidR="00066910" w:rsidRDefault="004F1AB9">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1</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评价要点：</w:t>
            </w:r>
          </w:p>
          <w:p w:rsidR="00066910" w:rsidRDefault="004F1AB9">
            <w:pPr>
              <w:spacing w:line="240" w:lineRule="exact"/>
              <w:ind w:leftChars="50" w:left="105" w:rightChars="50" w:right="105"/>
              <w:rPr>
                <w:rFonts w:ascii="宋体" w:hAnsi="宋体" w:cs="宋体"/>
              </w:rPr>
            </w:pPr>
            <w:r>
              <w:rPr>
                <w:rFonts w:ascii="宋体" w:hAnsi="宋体" w:cs="宋体" w:hint="eastAsia"/>
              </w:rPr>
              <w:t>①是否已制定或具有资产管理制度；②相关资金管理制度是否合法、合规、完整；</w:t>
            </w:r>
          </w:p>
          <w:p w:rsidR="00066910" w:rsidRDefault="004F1AB9">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066910">
        <w:trPr>
          <w:trHeight w:val="1887"/>
          <w:jc w:val="center"/>
        </w:trPr>
        <w:tc>
          <w:tcPr>
            <w:tcW w:w="306" w:type="pct"/>
            <w:vMerge/>
            <w:vAlign w:val="center"/>
          </w:tcPr>
          <w:p w:rsidR="00066910" w:rsidRDefault="00066910">
            <w:pPr>
              <w:spacing w:line="240" w:lineRule="exact"/>
              <w:jc w:val="center"/>
              <w:rPr>
                <w:rFonts w:ascii="宋体" w:cs="宋体"/>
              </w:rPr>
            </w:pPr>
          </w:p>
        </w:tc>
        <w:tc>
          <w:tcPr>
            <w:tcW w:w="375" w:type="pct"/>
            <w:vMerge/>
            <w:vAlign w:val="center"/>
          </w:tcPr>
          <w:p w:rsidR="00066910" w:rsidRDefault="00066910">
            <w:pPr>
              <w:spacing w:line="240" w:lineRule="exact"/>
              <w:jc w:val="center"/>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资产管理</w:t>
            </w:r>
          </w:p>
          <w:p w:rsidR="00066910" w:rsidRDefault="004F1AB9">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761"/>
                <w:tab w:val="left" w:pos="2604"/>
              </w:tabs>
              <w:spacing w:line="240" w:lineRule="exact"/>
              <w:ind w:rightChars="50" w:right="105"/>
              <w:rPr>
                <w:rFonts w:ascii="宋体" w:cs="宋体"/>
              </w:rPr>
            </w:pPr>
          </w:p>
          <w:p w:rsidR="00066910" w:rsidRDefault="00066910">
            <w:pPr>
              <w:tabs>
                <w:tab w:val="left" w:pos="761"/>
                <w:tab w:val="left" w:pos="2604"/>
              </w:tabs>
              <w:spacing w:line="240" w:lineRule="exact"/>
              <w:ind w:rightChars="50" w:right="105"/>
              <w:rPr>
                <w:rFonts w:ascii="宋体" w:cs="宋体"/>
              </w:rPr>
            </w:pPr>
          </w:p>
          <w:p w:rsidR="00066910" w:rsidRDefault="00066910">
            <w:pPr>
              <w:tabs>
                <w:tab w:val="left" w:pos="761"/>
                <w:tab w:val="left" w:pos="2604"/>
              </w:tabs>
              <w:spacing w:line="240" w:lineRule="exact"/>
              <w:ind w:rightChars="50" w:right="105"/>
              <w:rPr>
                <w:rFonts w:ascii="宋体" w:cs="宋体"/>
              </w:rPr>
            </w:pPr>
          </w:p>
          <w:p w:rsidR="00066910" w:rsidRDefault="004F1AB9">
            <w:pPr>
              <w:tabs>
                <w:tab w:val="left" w:pos="761"/>
                <w:tab w:val="left" w:pos="2604"/>
              </w:tabs>
              <w:spacing w:line="240" w:lineRule="exact"/>
              <w:ind w:rightChars="50" w:right="105"/>
              <w:jc w:val="center"/>
              <w:rPr>
                <w:rFonts w:ascii="宋体" w:cs="宋体"/>
              </w:rPr>
            </w:pPr>
            <w:r>
              <w:rPr>
                <w:rFonts w:ascii="宋体" w:cs="宋体" w:hint="eastAsia"/>
              </w:rPr>
              <w:t xml:space="preserve"> 2</w:t>
            </w:r>
          </w:p>
        </w:tc>
        <w:tc>
          <w:tcPr>
            <w:tcW w:w="1576" w:type="pct"/>
            <w:tcMar>
              <w:top w:w="10" w:type="dxa"/>
              <w:left w:w="10" w:type="dxa"/>
              <w:bottom w:w="0" w:type="dxa"/>
              <w:right w:w="10" w:type="dxa"/>
            </w:tcMar>
            <w:vAlign w:val="center"/>
          </w:tcPr>
          <w:p w:rsidR="00066910" w:rsidRDefault="004F1AB9" w:rsidP="00066910">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评价要点：</w:t>
            </w:r>
          </w:p>
          <w:p w:rsidR="00066910" w:rsidRDefault="004F1AB9">
            <w:pPr>
              <w:spacing w:line="240" w:lineRule="exact"/>
              <w:ind w:leftChars="50" w:left="105" w:rightChars="50" w:right="105"/>
              <w:rPr>
                <w:rFonts w:ascii="宋体" w:hAnsi="宋体" w:cs="宋体"/>
              </w:rPr>
            </w:pPr>
            <w:r>
              <w:rPr>
                <w:rFonts w:ascii="宋体" w:hAnsi="宋体" w:cs="宋体" w:hint="eastAsia"/>
              </w:rPr>
              <w:t>①资产保存是否完整；</w:t>
            </w:r>
          </w:p>
          <w:p w:rsidR="00066910" w:rsidRDefault="004F1AB9">
            <w:pPr>
              <w:spacing w:line="240" w:lineRule="exact"/>
              <w:ind w:leftChars="50" w:left="105" w:rightChars="50" w:right="105"/>
              <w:rPr>
                <w:rFonts w:ascii="宋体" w:hAnsi="宋体" w:cs="宋体"/>
              </w:rPr>
            </w:pPr>
            <w:r>
              <w:rPr>
                <w:rFonts w:ascii="宋体" w:hAnsi="宋体" w:cs="宋体" w:hint="eastAsia"/>
              </w:rPr>
              <w:t>②资产配置是否合理；</w:t>
            </w:r>
          </w:p>
          <w:p w:rsidR="00066910" w:rsidRDefault="004F1AB9">
            <w:pPr>
              <w:spacing w:line="240" w:lineRule="exact"/>
              <w:ind w:leftChars="50" w:left="105" w:rightChars="50" w:right="105"/>
              <w:rPr>
                <w:rFonts w:ascii="宋体" w:hAnsi="宋体" w:cs="宋体"/>
              </w:rPr>
            </w:pPr>
            <w:r>
              <w:rPr>
                <w:rFonts w:ascii="宋体" w:hAnsi="宋体" w:cs="宋体" w:hint="eastAsia"/>
              </w:rPr>
              <w:t>③资产处置是否规范；</w:t>
            </w:r>
          </w:p>
          <w:p w:rsidR="00066910" w:rsidRDefault="004F1AB9">
            <w:pPr>
              <w:spacing w:line="240" w:lineRule="exact"/>
              <w:ind w:leftChars="50" w:left="105" w:rightChars="50" w:right="105"/>
              <w:rPr>
                <w:rFonts w:ascii="宋体" w:hAnsi="宋体" w:cs="宋体"/>
              </w:rPr>
            </w:pPr>
            <w:r>
              <w:rPr>
                <w:rFonts w:ascii="宋体" w:hAnsi="宋体" w:cs="宋体" w:hint="eastAsia"/>
              </w:rPr>
              <w:t>④资产账务管理是否合规，是否帐实相符；</w:t>
            </w:r>
          </w:p>
          <w:p w:rsidR="00066910" w:rsidRDefault="004F1AB9">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066910">
        <w:trPr>
          <w:trHeight w:val="895"/>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固定资产</w:t>
            </w:r>
          </w:p>
          <w:p w:rsidR="00066910" w:rsidRDefault="004F1AB9">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1</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066910">
        <w:trPr>
          <w:trHeight w:val="2171"/>
          <w:jc w:val="center"/>
        </w:trPr>
        <w:tc>
          <w:tcPr>
            <w:tcW w:w="306" w:type="pct"/>
            <w:vMerge w:val="restart"/>
            <w:noWrap/>
            <w:tcMar>
              <w:top w:w="10" w:type="dxa"/>
              <w:left w:w="10" w:type="dxa"/>
              <w:bottom w:w="0" w:type="dxa"/>
              <w:right w:w="10" w:type="dxa"/>
            </w:tcMar>
            <w:textDirection w:val="tbRlV"/>
            <w:vAlign w:val="center"/>
          </w:tcPr>
          <w:p w:rsidR="00066910" w:rsidRDefault="004F1AB9">
            <w:pPr>
              <w:spacing w:line="240" w:lineRule="exact"/>
              <w:jc w:val="center"/>
              <w:rPr>
                <w:rFonts w:ascii="宋体" w:cs="宋体"/>
              </w:rPr>
            </w:pPr>
            <w:r>
              <w:rPr>
                <w:rFonts w:ascii="宋体" w:hAnsi="宋体" w:cs="宋体" w:hint="eastAsia"/>
              </w:rPr>
              <w:t>产出（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66910" w:rsidRDefault="004F1AB9">
            <w:pPr>
              <w:spacing w:line="240" w:lineRule="exact"/>
              <w:jc w:val="center"/>
              <w:rPr>
                <w:rFonts w:ascii="宋体" w:hAnsi="宋体" w:cs="宋体"/>
              </w:rPr>
            </w:pPr>
            <w:r>
              <w:rPr>
                <w:rFonts w:ascii="宋体" w:hAnsi="宋体" w:cs="宋体" w:hint="eastAsia"/>
              </w:rPr>
              <w:t>职责</w:t>
            </w:r>
          </w:p>
          <w:p w:rsidR="00066910" w:rsidRDefault="004F1AB9">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实际</w:t>
            </w:r>
          </w:p>
          <w:p w:rsidR="00066910" w:rsidRDefault="004F1AB9">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8</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hAnsi="宋体" w:cs="宋体"/>
              </w:rPr>
            </w:pPr>
            <w:r>
              <w:rPr>
                <w:rFonts w:ascii="宋体" w:hAnsi="宋体" w:cs="宋体" w:hint="eastAsia"/>
              </w:rPr>
              <w:t>实际完成工作数：一定时期（年度或规划期）内部门实际完成工作任务的数量。</w:t>
            </w:r>
          </w:p>
          <w:p w:rsidR="00066910" w:rsidRDefault="004F1AB9">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066910">
        <w:trPr>
          <w:trHeight w:val="1393"/>
          <w:jc w:val="center"/>
        </w:trPr>
        <w:tc>
          <w:tcPr>
            <w:tcW w:w="306" w:type="pct"/>
            <w:vMerge/>
            <w:textDirection w:val="tbRlV"/>
            <w:vAlign w:val="center"/>
          </w:tcPr>
          <w:p w:rsidR="00066910" w:rsidRDefault="00066910">
            <w:pPr>
              <w:spacing w:line="240" w:lineRule="exact"/>
              <w:ind w:left="113"/>
              <w:jc w:val="center"/>
              <w:rPr>
                <w:rFonts w:ascii="宋体" w:cs="宋体"/>
              </w:rPr>
            </w:pPr>
          </w:p>
        </w:tc>
        <w:tc>
          <w:tcPr>
            <w:tcW w:w="375" w:type="pct"/>
            <w:vMerge/>
            <w:vAlign w:val="center"/>
          </w:tcPr>
          <w:p w:rsidR="00066910" w:rsidRDefault="00066910">
            <w:pPr>
              <w:spacing w:line="240" w:lineRule="exact"/>
              <w:jc w:val="center"/>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完成</w:t>
            </w:r>
          </w:p>
          <w:p w:rsidR="00066910" w:rsidRDefault="004F1AB9">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4</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066910">
        <w:trPr>
          <w:trHeight w:val="1675"/>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质量</w:t>
            </w:r>
          </w:p>
          <w:p w:rsidR="00066910" w:rsidRDefault="004F1AB9">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8</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066910">
        <w:trPr>
          <w:trHeight w:val="1125"/>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重点工作</w:t>
            </w:r>
          </w:p>
          <w:p w:rsidR="00066910" w:rsidRDefault="004F1AB9">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10</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066910" w:rsidRDefault="004F1AB9">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066910">
        <w:trPr>
          <w:trHeight w:val="709"/>
          <w:jc w:val="center"/>
        </w:trPr>
        <w:tc>
          <w:tcPr>
            <w:tcW w:w="306" w:type="pct"/>
            <w:vMerge w:val="restart"/>
            <w:noWrap/>
            <w:tcMar>
              <w:top w:w="10" w:type="dxa"/>
              <w:left w:w="10" w:type="dxa"/>
              <w:bottom w:w="0" w:type="dxa"/>
              <w:right w:w="10" w:type="dxa"/>
            </w:tcMar>
            <w:textDirection w:val="tbRlV"/>
            <w:vAlign w:val="center"/>
          </w:tcPr>
          <w:p w:rsidR="00066910" w:rsidRDefault="004F1AB9">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066910" w:rsidRDefault="004F1AB9">
            <w:pPr>
              <w:spacing w:line="240" w:lineRule="exact"/>
              <w:jc w:val="center"/>
              <w:rPr>
                <w:rFonts w:ascii="宋体" w:hAnsi="宋体" w:cs="宋体"/>
              </w:rPr>
            </w:pPr>
            <w:r>
              <w:rPr>
                <w:rFonts w:ascii="宋体" w:hAnsi="宋体" w:cs="宋体" w:hint="eastAsia"/>
              </w:rPr>
              <w:t>履职</w:t>
            </w:r>
          </w:p>
          <w:p w:rsidR="00066910" w:rsidRDefault="004F1AB9">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4</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6" w:type="pct"/>
            <w:vMerge w:val="restart"/>
            <w:tcMar>
              <w:top w:w="10" w:type="dxa"/>
              <w:left w:w="10" w:type="dxa"/>
              <w:bottom w:w="0" w:type="dxa"/>
              <w:right w:w="10" w:type="dxa"/>
            </w:tcMar>
            <w:vAlign w:val="center"/>
          </w:tcPr>
          <w:p w:rsidR="00066910" w:rsidRDefault="004F1AB9">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066910">
        <w:trPr>
          <w:trHeight w:val="709"/>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4 </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6" w:type="pct"/>
            <w:vMerge/>
            <w:vAlign w:val="center"/>
          </w:tcPr>
          <w:p w:rsidR="00066910" w:rsidRDefault="00066910">
            <w:pPr>
              <w:spacing w:line="240" w:lineRule="exact"/>
              <w:ind w:leftChars="50" w:left="105" w:rightChars="50" w:right="105"/>
              <w:rPr>
                <w:rFonts w:ascii="宋体" w:cs="宋体"/>
              </w:rPr>
            </w:pPr>
          </w:p>
        </w:tc>
      </w:tr>
      <w:tr w:rsidR="00066910">
        <w:trPr>
          <w:trHeight w:val="709"/>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4</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6" w:type="pct"/>
            <w:vMerge/>
            <w:vAlign w:val="center"/>
          </w:tcPr>
          <w:p w:rsidR="00066910" w:rsidRDefault="00066910">
            <w:pPr>
              <w:spacing w:line="240" w:lineRule="exact"/>
              <w:ind w:leftChars="50" w:left="105" w:rightChars="50" w:right="105"/>
              <w:rPr>
                <w:rFonts w:ascii="宋体" w:cs="宋体"/>
              </w:rPr>
            </w:pPr>
          </w:p>
        </w:tc>
      </w:tr>
      <w:tr w:rsidR="00066910">
        <w:trPr>
          <w:trHeight w:val="1063"/>
          <w:jc w:val="center"/>
        </w:trPr>
        <w:tc>
          <w:tcPr>
            <w:tcW w:w="306" w:type="pct"/>
            <w:vMerge/>
            <w:vAlign w:val="center"/>
          </w:tcPr>
          <w:p w:rsidR="00066910" w:rsidRDefault="00066910">
            <w:pPr>
              <w:spacing w:line="240" w:lineRule="exact"/>
              <w:rPr>
                <w:rFonts w:ascii="宋体" w:cs="宋体"/>
              </w:rPr>
            </w:pPr>
          </w:p>
        </w:tc>
        <w:tc>
          <w:tcPr>
            <w:tcW w:w="375" w:type="pct"/>
            <w:vMerge/>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4F1AB9">
            <w:pPr>
              <w:spacing w:line="240" w:lineRule="exact"/>
              <w:jc w:val="center"/>
              <w:rPr>
                <w:rFonts w:ascii="宋体" w:cs="宋体"/>
              </w:rPr>
            </w:pPr>
            <w:r>
              <w:rPr>
                <w:rFonts w:ascii="宋体" w:hAnsi="宋体" w:cs="宋体" w:hint="eastAsia"/>
              </w:rPr>
              <w:t>社会公众</w:t>
            </w:r>
          </w:p>
          <w:p w:rsidR="00066910" w:rsidRDefault="004F1AB9">
            <w:pPr>
              <w:spacing w:line="240" w:lineRule="exact"/>
              <w:jc w:val="center"/>
              <w:rPr>
                <w:rFonts w:ascii="宋体" w:cs="宋体"/>
              </w:rPr>
            </w:pPr>
            <w:r>
              <w:rPr>
                <w:rFonts w:ascii="宋体" w:hAnsi="宋体" w:cs="宋体" w:hint="eastAsia"/>
              </w:rPr>
              <w:t>或服务对</w:t>
            </w:r>
          </w:p>
          <w:p w:rsidR="00066910" w:rsidRDefault="004F1AB9">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66910" w:rsidRDefault="00066910">
            <w:pPr>
              <w:tabs>
                <w:tab w:val="left" w:pos="2604"/>
              </w:tabs>
              <w:spacing w:line="240" w:lineRule="exact"/>
              <w:ind w:rightChars="50" w:right="105"/>
              <w:rPr>
                <w:rFonts w:ascii="宋体" w:cs="宋体"/>
              </w:rPr>
            </w:pPr>
          </w:p>
          <w:p w:rsidR="00066910" w:rsidRDefault="00066910">
            <w:pPr>
              <w:tabs>
                <w:tab w:val="left" w:pos="2604"/>
              </w:tabs>
              <w:spacing w:line="240" w:lineRule="exact"/>
              <w:ind w:rightChars="50" w:right="105"/>
              <w:rPr>
                <w:rFonts w:ascii="宋体" w:cs="宋体"/>
              </w:rPr>
            </w:pPr>
          </w:p>
          <w:p w:rsidR="00066910" w:rsidRDefault="004F1AB9">
            <w:pPr>
              <w:tabs>
                <w:tab w:val="left" w:pos="2604"/>
              </w:tabs>
              <w:spacing w:line="240" w:lineRule="exact"/>
              <w:ind w:rightChars="50" w:right="105"/>
              <w:jc w:val="center"/>
              <w:rPr>
                <w:rFonts w:ascii="宋体" w:cs="宋体"/>
              </w:rPr>
            </w:pPr>
            <w:r>
              <w:rPr>
                <w:rFonts w:ascii="宋体" w:cs="宋体" w:hint="eastAsia"/>
              </w:rPr>
              <w:t xml:space="preserve"> 4 </w:t>
            </w:r>
          </w:p>
        </w:tc>
        <w:tc>
          <w:tcPr>
            <w:tcW w:w="1576" w:type="pct"/>
            <w:tcMar>
              <w:top w:w="10" w:type="dxa"/>
              <w:left w:w="10" w:type="dxa"/>
              <w:bottom w:w="0" w:type="dxa"/>
              <w:right w:w="10" w:type="dxa"/>
            </w:tcMar>
            <w:vAlign w:val="center"/>
          </w:tcPr>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6" w:type="pct"/>
            <w:tcMar>
              <w:top w:w="10" w:type="dxa"/>
              <w:left w:w="10" w:type="dxa"/>
              <w:bottom w:w="0" w:type="dxa"/>
              <w:right w:w="10" w:type="dxa"/>
            </w:tcMar>
            <w:vAlign w:val="center"/>
          </w:tcPr>
          <w:p w:rsidR="00066910" w:rsidRDefault="004F1AB9">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066910">
        <w:trPr>
          <w:trHeight w:val="692"/>
          <w:jc w:val="center"/>
        </w:trPr>
        <w:tc>
          <w:tcPr>
            <w:tcW w:w="306" w:type="pct"/>
            <w:vAlign w:val="center"/>
          </w:tcPr>
          <w:p w:rsidR="00066910" w:rsidRDefault="004F1AB9">
            <w:pPr>
              <w:spacing w:line="240" w:lineRule="exact"/>
              <w:rPr>
                <w:rFonts w:ascii="宋体" w:cs="宋体"/>
              </w:rPr>
            </w:pPr>
            <w:r>
              <w:rPr>
                <w:rFonts w:ascii="宋体" w:hAnsi="宋体" w:cs="宋体" w:hint="eastAsia"/>
              </w:rPr>
              <w:t>总分</w:t>
            </w:r>
          </w:p>
        </w:tc>
        <w:tc>
          <w:tcPr>
            <w:tcW w:w="375" w:type="pct"/>
            <w:vAlign w:val="center"/>
          </w:tcPr>
          <w:p w:rsidR="00066910" w:rsidRDefault="00066910">
            <w:pPr>
              <w:spacing w:line="240" w:lineRule="exact"/>
              <w:rPr>
                <w:rFonts w:ascii="宋体" w:cs="宋体"/>
              </w:rPr>
            </w:pPr>
          </w:p>
        </w:tc>
        <w:tc>
          <w:tcPr>
            <w:tcW w:w="500" w:type="pct"/>
            <w:tcMar>
              <w:top w:w="10" w:type="dxa"/>
              <w:left w:w="10" w:type="dxa"/>
              <w:bottom w:w="0" w:type="dxa"/>
              <w:right w:w="10" w:type="dxa"/>
            </w:tcMar>
            <w:vAlign w:val="center"/>
          </w:tcPr>
          <w:p w:rsidR="00066910" w:rsidRDefault="00066910">
            <w:pPr>
              <w:spacing w:line="240" w:lineRule="exact"/>
              <w:jc w:val="center"/>
              <w:rPr>
                <w:rFonts w:ascii="宋体" w:cs="宋体"/>
              </w:rPr>
            </w:pPr>
          </w:p>
        </w:tc>
        <w:tc>
          <w:tcPr>
            <w:tcW w:w="375" w:type="pct"/>
            <w:tcMar>
              <w:top w:w="10" w:type="dxa"/>
              <w:left w:w="10" w:type="dxa"/>
              <w:bottom w:w="0" w:type="dxa"/>
              <w:right w:w="10" w:type="dxa"/>
            </w:tcMar>
          </w:tcPr>
          <w:p w:rsidR="00066910" w:rsidRDefault="00066910" w:rsidP="00066910">
            <w:pPr>
              <w:tabs>
                <w:tab w:val="left" w:pos="2604"/>
              </w:tabs>
              <w:spacing w:line="240" w:lineRule="exact"/>
              <w:ind w:leftChars="50" w:left="105" w:rightChars="50" w:right="105" w:firstLineChars="46" w:firstLine="97"/>
              <w:rPr>
                <w:rFonts w:ascii="宋体" w:cs="宋体"/>
              </w:rPr>
            </w:pPr>
          </w:p>
          <w:p w:rsidR="00066910" w:rsidRDefault="004F1AB9" w:rsidP="00066910">
            <w:pPr>
              <w:tabs>
                <w:tab w:val="left" w:pos="2604"/>
              </w:tabs>
              <w:spacing w:line="240" w:lineRule="exact"/>
              <w:ind w:leftChars="50" w:left="105" w:rightChars="50" w:right="105" w:firstLineChars="46" w:firstLine="97"/>
              <w:rPr>
                <w:rFonts w:ascii="宋体" w:cs="宋体"/>
              </w:rPr>
            </w:pPr>
            <w:r>
              <w:rPr>
                <w:rFonts w:ascii="宋体" w:cs="宋体" w:hint="eastAsia"/>
              </w:rPr>
              <w:t>93</w:t>
            </w:r>
          </w:p>
        </w:tc>
        <w:tc>
          <w:tcPr>
            <w:tcW w:w="1576" w:type="pct"/>
            <w:tcMar>
              <w:top w:w="10" w:type="dxa"/>
              <w:left w:w="10" w:type="dxa"/>
              <w:bottom w:w="0" w:type="dxa"/>
              <w:right w:w="10" w:type="dxa"/>
            </w:tcMar>
            <w:vAlign w:val="center"/>
          </w:tcPr>
          <w:p w:rsidR="00066910" w:rsidRDefault="00066910" w:rsidP="00066910">
            <w:pPr>
              <w:tabs>
                <w:tab w:val="left" w:pos="2604"/>
              </w:tabs>
              <w:spacing w:line="240" w:lineRule="exact"/>
              <w:ind w:leftChars="50" w:left="105" w:rightChars="50" w:right="105" w:firstLineChars="46" w:firstLine="97"/>
              <w:rPr>
                <w:rFonts w:ascii="宋体" w:cs="宋体"/>
              </w:rPr>
            </w:pPr>
          </w:p>
        </w:tc>
        <w:tc>
          <w:tcPr>
            <w:tcW w:w="1866" w:type="pct"/>
            <w:tcMar>
              <w:top w:w="10" w:type="dxa"/>
              <w:left w:w="10" w:type="dxa"/>
              <w:bottom w:w="0" w:type="dxa"/>
              <w:right w:w="10" w:type="dxa"/>
            </w:tcMar>
            <w:vAlign w:val="center"/>
          </w:tcPr>
          <w:p w:rsidR="00066910" w:rsidRDefault="00066910">
            <w:pPr>
              <w:spacing w:line="240" w:lineRule="exact"/>
              <w:ind w:leftChars="50" w:left="105" w:rightChars="50" w:right="105"/>
              <w:rPr>
                <w:rFonts w:ascii="宋体" w:cs="宋体"/>
              </w:rPr>
            </w:pPr>
          </w:p>
        </w:tc>
      </w:tr>
    </w:tbl>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pPr>
        <w:ind w:firstLineChars="200" w:firstLine="640"/>
        <w:jc w:val="left"/>
        <w:rPr>
          <w:rFonts w:asciiTheme="minorEastAsia" w:hAnsiTheme="minorEastAsia" w:cs="黑体"/>
          <w:color w:val="000000" w:themeColor="text1"/>
          <w:kern w:val="0"/>
          <w:sz w:val="32"/>
          <w:szCs w:val="32"/>
        </w:rPr>
      </w:pPr>
    </w:p>
    <w:p w:rsidR="00066910" w:rsidRDefault="00066910"/>
    <w:sectPr w:rsidR="00066910" w:rsidSect="000669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张">
    <w15:presenceInfo w15:providerId="None" w15:userId="小小张"/>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066910"/>
    <w:rsid w:val="00066910"/>
    <w:rsid w:val="00376197"/>
    <w:rsid w:val="004F1AB9"/>
    <w:rsid w:val="57340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9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66910"/>
    <w:pPr>
      <w:jc w:val="left"/>
    </w:pPr>
  </w:style>
  <w:style w:type="paragraph" w:styleId="a4">
    <w:name w:val="Normal (Web)"/>
    <w:basedOn w:val="a"/>
    <w:uiPriority w:val="99"/>
    <w:unhideWhenUsed/>
    <w:qFormat/>
    <w:rsid w:val="00066910"/>
    <w:pPr>
      <w:widowControl/>
      <w:jc w:val="left"/>
    </w:pPr>
    <w:rPr>
      <w:rFonts w:ascii="宋体" w:eastAsia="宋体" w:hAnsi="宋体" w:cs="宋体"/>
      <w:kern w:val="0"/>
      <w:sz w:val="24"/>
      <w:szCs w:val="24"/>
    </w:rPr>
  </w:style>
  <w:style w:type="character" w:styleId="a5">
    <w:name w:val="annotation reference"/>
    <w:basedOn w:val="a0"/>
    <w:rsid w:val="00066910"/>
    <w:rPr>
      <w:sz w:val="21"/>
      <w:szCs w:val="21"/>
    </w:rPr>
  </w:style>
  <w:style w:type="paragraph" w:styleId="a6">
    <w:name w:val="Balloon Text"/>
    <w:basedOn w:val="a"/>
    <w:link w:val="Char"/>
    <w:rsid w:val="00376197"/>
    <w:rPr>
      <w:sz w:val="18"/>
      <w:szCs w:val="18"/>
    </w:rPr>
  </w:style>
  <w:style w:type="character" w:customStyle="1" w:styleId="Char">
    <w:name w:val="批注框文本 Char"/>
    <w:basedOn w:val="a0"/>
    <w:link w:val="a6"/>
    <w:rsid w:val="0037619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8628</Words>
  <Characters>665</Characters>
  <Application>Microsoft Office Word</Application>
  <DocSecurity>0</DocSecurity>
  <Lines>5</Lines>
  <Paragraphs>18</Paragraphs>
  <ScaleCrop>false</ScaleCrop>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3</cp:revision>
  <dcterms:created xsi:type="dcterms:W3CDTF">2023-06-25T05:48:00Z</dcterms:created>
  <dcterms:modified xsi:type="dcterms:W3CDTF">2023-10-05T02:57:00Z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33EBCFB5BB6843698730A56F62825BDC_12</vt:lpwstr>
  </property>
</Properties>
</file>