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黑体" w:hAnsi="黑体" w:eastAsia="黑体" w:cs="黑体"/>
          <w:color w:val="333333"/>
          <w:kern w:val="0"/>
          <w:sz w:val="36"/>
          <w:szCs w:val="36"/>
          <w:shd w:val="clear" w:color="auto" w:fill="FFFFFF"/>
        </w:rPr>
      </w:pPr>
    </w:p>
    <w:p>
      <w:pPr>
        <w:widowControl/>
        <w:spacing w:line="600" w:lineRule="exact"/>
        <w:jc w:val="center"/>
        <w:rPr>
          <w:rFonts w:hint="eastAsia" w:ascii="黑体" w:hAnsi="黑体" w:eastAsia="黑体" w:cs="黑体"/>
          <w:color w:val="333333"/>
          <w:kern w:val="0"/>
          <w:sz w:val="36"/>
          <w:szCs w:val="36"/>
          <w:shd w:val="clear" w:color="auto" w:fill="FFFFFF"/>
        </w:rPr>
      </w:pPr>
      <w:r>
        <w:rPr>
          <w:rFonts w:hint="eastAsia" w:ascii="黑体" w:hAnsi="黑体" w:eastAsia="黑体" w:cs="黑体"/>
          <w:color w:val="333333"/>
          <w:kern w:val="0"/>
          <w:sz w:val="36"/>
          <w:szCs w:val="36"/>
          <w:shd w:val="clear" w:color="auto" w:fill="FFFFFF"/>
        </w:rPr>
        <w:t>益阳市赫山区欧江岔镇人民政府2021年度部门</w:t>
      </w:r>
    </w:p>
    <w:p>
      <w:pPr>
        <w:widowControl/>
        <w:spacing w:line="600" w:lineRule="exact"/>
        <w:jc w:val="center"/>
        <w:rPr>
          <w:rFonts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rPr>
        <w:t>整体支出绩效评价报告</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一、基本情况</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益阳市欧江岔镇人民政府主要负责拟定镇区发展规划、产业政策和优惠政策以及各项具体管理办法、服务工作规定并组织实施。负责管理、协调涉及规划、建设、环保、国土等行政职能部门的相关工作；管理协调全镇企业项目建设，承担镇区内各项基础设施、公用设施及建设项目的管理责任，组织实施镇区内基础设施及公用设施的建设管理工作。负责镇区内项目招商引资工作。负责镇区农业、民政、社会保障、社会治安、卫生和计划生育、文化等社会事务工作。负责镇区企业和施工项目安全生产工作和经区安全生产监管机构依法依程序委托的有关工作。协调、管理有关部门设在镇区内的派出机构或分支机构。完成上级政府交办的其它事项。</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本单位内设12个机构，其中包括行政机构3个，分别为：党政办公室、党群和政务中心、党建办公室，事业单位9个，分别为自然资源和生态环境办公室、经济发展办公室、农业综合服务中心、社会治安和应急管理办公室、财政所、社会事务办、社会事务综合服务中心、退役军人服务站、综合行政执法大队。</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截止2021年12月31日，本单位经区编委核定的编制人数133人(其中行政编制52人，事业编制75人)。实有人数为88人（其中行政编制30人，事业编制58 人)，分流人员66人。遗属24人。</w:t>
      </w:r>
    </w:p>
    <w:p>
      <w:pPr>
        <w:widowControl/>
        <w:spacing w:line="600" w:lineRule="exact"/>
        <w:ind w:firstLine="602"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（一）部门整体支出概况</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2021年度财政拨款支出4501.23万元，占本年支出合计的98.17%，与上年相比，财政拨款支出减少737.71万元，减少14.08%，主要</w:t>
      </w:r>
      <w:r>
        <w:rPr>
          <w:rFonts w:hint="eastAsia" w:ascii="仿宋" w:hAnsi="仿宋" w:eastAsia="仿宋" w:cs="仿宋"/>
          <w:sz w:val="30"/>
          <w:szCs w:val="30"/>
        </w:rPr>
        <w:t>是节能环保、人居环境卫生方面以及拨付镇村破损路面修复项目资金减少。</w:t>
      </w:r>
      <w:r>
        <w:rPr>
          <w:rFonts w:hint="eastAsia" w:ascii="仿宋" w:hAnsi="仿宋" w:eastAsia="仿宋" w:cs="仿宋"/>
          <w:color w:val="333333"/>
          <w:kern w:val="0"/>
          <w:sz w:val="30"/>
          <w:szCs w:val="30"/>
          <w:shd w:val="clear" w:color="auto" w:fill="FFFFFF"/>
        </w:rPr>
        <w:t xml:space="preserve"> </w:t>
      </w:r>
      <w:r>
        <w:rPr>
          <w:rFonts w:ascii="仿宋" w:hAnsi="仿宋" w:eastAsia="仿宋" w:cs="仿宋"/>
          <w:color w:val="333333"/>
          <w:kern w:val="0"/>
          <w:sz w:val="30"/>
          <w:szCs w:val="30"/>
          <w:shd w:val="clear" w:color="auto" w:fill="FFFFFF"/>
        </w:rPr>
        <w:t xml:space="preserve">              </w:t>
      </w:r>
    </w:p>
    <w:p>
      <w:pPr>
        <w:widowControl/>
        <w:spacing w:line="600" w:lineRule="exact"/>
        <w:ind w:firstLine="602"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（二）部门整体支出绩效目标</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预决算编制情况。预算编制工作严格遵循合法性、真实性、完整性、重点性、绩效性，实行零基预算，按定额标准编制部门。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三公经费控制情况。2021年全年单位未购置公务用车，年末开支运行维护费的公务用车保有量2辆，年初批复预算的三公经费为46万元，其中公务接待费30万元，公务用车运行维护费16万元。2021年决算支出三公经费中公务接待费30万元；公务用车运行维护费16万元；2021年无因公出国（境）费。</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3.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pPr>
        <w:widowControl/>
        <w:spacing w:line="600" w:lineRule="exact"/>
        <w:ind w:firstLine="602" w:firstLineChars="200"/>
        <w:jc w:val="left"/>
        <w:rPr>
          <w:rFonts w:ascii="仿宋" w:hAnsi="仿宋" w:eastAsia="仿宋" w:cs="仿宋"/>
          <w:b/>
          <w:bCs/>
          <w:color w:val="333333"/>
          <w:kern w:val="0"/>
          <w:sz w:val="30"/>
          <w:szCs w:val="30"/>
          <w:shd w:val="clear" w:color="auto" w:fill="FFFFFF"/>
        </w:rPr>
      </w:pPr>
      <w:r>
        <w:rPr>
          <w:rFonts w:hint="eastAsia" w:ascii="仿宋" w:hAnsi="仿宋" w:eastAsia="仿宋" w:cs="仿宋"/>
          <w:b/>
          <w:bCs/>
          <w:color w:val="333333"/>
          <w:kern w:val="0"/>
          <w:sz w:val="30"/>
          <w:szCs w:val="30"/>
          <w:shd w:val="clear" w:color="auto" w:fill="FFFFFF"/>
        </w:rPr>
        <w:t>（三）整体绩效及执行管理情况</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2021年，</w:t>
      </w:r>
      <w:r>
        <w:rPr>
          <w:rFonts w:hint="eastAsia" w:ascii="仿宋" w:hAnsi="仿宋" w:eastAsia="仿宋" w:cs="仿宋"/>
          <w:color w:val="333333"/>
          <w:kern w:val="0"/>
          <w:sz w:val="30"/>
          <w:szCs w:val="30"/>
          <w:shd w:val="clear" w:color="auto" w:fill="FFFFFF"/>
          <w:lang w:eastAsia="zh-CN"/>
        </w:rPr>
        <w:t>本部门</w:t>
      </w:r>
      <w:r>
        <w:rPr>
          <w:rFonts w:hint="eastAsia" w:ascii="仿宋" w:hAnsi="仿宋" w:eastAsia="仿宋" w:cs="仿宋"/>
          <w:color w:val="333333"/>
          <w:kern w:val="0"/>
          <w:sz w:val="30"/>
          <w:szCs w:val="30"/>
          <w:shd w:val="clear" w:color="auto" w:fill="FFFFFF"/>
        </w:rPr>
        <w:t>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二、绩效评价工作情况</w:t>
      </w:r>
    </w:p>
    <w:p>
      <w:pPr>
        <w:widowControl/>
        <w:spacing w:line="600" w:lineRule="exact"/>
        <w:ind w:firstLine="602"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（一）绩效评价目的</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通过绩效评价，树立绩效意识、成本意识和责任意识，完善预算编制、执行、监督体系，提升绩效管理质量，提高财政资金使用效益，促进更好地履职尽责。</w:t>
      </w:r>
    </w:p>
    <w:p>
      <w:pPr>
        <w:widowControl/>
        <w:spacing w:line="600" w:lineRule="exact"/>
        <w:ind w:firstLine="602"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（二）绩效评价工作过程</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欧江岔镇部门预算整体绩效评价本着客观、科学、实用的原则，成立了欧江岔镇政府项目绩效评估领导小组，镇党委书记任组长，镇长为副组长，纪委书记、人大主席、财政所长等为成员。评估小组根据年初项目绩效申报内容对年终项目实施情况绩效评估考核。针对2021年初部门整体支出绩效涉及到的资金进行财务核实，按照年初整体支出绩效申报表的一、二、三级指标逐项调查、核实、对比，对欧江岔镇2021年部门整体支出绩效分为投入（20分）、过程（30分）、产出（30分）、效果（20分）4个一级指标进行评价，4个一指标下共设7个二级指标和27个三级指标，通过细化逐项进行了评估。</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三、主要绩效及评价结论</w:t>
      </w:r>
    </w:p>
    <w:p>
      <w:pPr>
        <w:widowControl/>
        <w:spacing w:line="600" w:lineRule="exact"/>
        <w:ind w:firstLine="602"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（一）评价结论</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欧江岔镇政府项目绩效评估领导小组通过评估，欧江岔部门整体支出绩效得分93.5分。</w:t>
      </w:r>
    </w:p>
    <w:p>
      <w:pPr>
        <w:widowControl/>
        <w:spacing w:line="600" w:lineRule="exact"/>
        <w:ind w:firstLine="602" w:firstLineChars="200"/>
        <w:jc w:val="left"/>
        <w:rPr>
          <w:rFonts w:ascii="仿宋" w:hAnsi="仿宋" w:eastAsia="仿宋" w:cs="仿宋"/>
          <w:b/>
          <w:bCs/>
          <w:color w:val="333333"/>
          <w:sz w:val="30"/>
          <w:szCs w:val="30"/>
        </w:rPr>
      </w:pPr>
      <w:r>
        <w:rPr>
          <w:rFonts w:hint="eastAsia" w:ascii="仿宋" w:hAnsi="仿宋" w:eastAsia="仿宋" w:cs="仿宋"/>
          <w:b/>
          <w:bCs/>
          <w:color w:val="333333"/>
          <w:kern w:val="0"/>
          <w:sz w:val="30"/>
          <w:szCs w:val="30"/>
          <w:shd w:val="clear" w:color="auto" w:fill="FFFFFF"/>
        </w:rPr>
        <w:t>（二）绩效分析</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1.投入得20分，基础信息更新按照县级部门预算编制通知和有关要求，按时完成基础库、项目库报送工作，预算编制准确，部门预算审查合法，部门整体绩效目标编制完整、合理，项目绩效目标编制明确、量化。</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2.过程得27.5分，按规定及时分配上级财力专项预算，部门按要求严格预算执行管理，行政成本严格执行节能降耗、严格执行“三公经费”预算。</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3.产出得28.5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4.效果得17.5分，履行法定职责，完成县委、县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四、存在的问题</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1.预算编制工作有待细化。预算编制不够精确和细化，预算编制的合理性需要提高，预算执行力度还需进一步加强。</w:t>
      </w:r>
    </w:p>
    <w:p>
      <w:pPr>
        <w:widowControl/>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2.资产管理有待加强。政府办后勤管理制度中专门明确了资产管理制度，但由于多方面的原因，资产入账、报废未能及时处理，资产领用登记台账不健全。</w:t>
      </w:r>
    </w:p>
    <w:p>
      <w:pPr>
        <w:widowControl/>
        <w:spacing w:line="600" w:lineRule="exact"/>
        <w:ind w:firstLine="600" w:firstLineChars="200"/>
        <w:jc w:val="left"/>
        <w:rPr>
          <w:rFonts w:ascii="黑体" w:hAnsi="黑体" w:eastAsia="黑体" w:cs="黑体"/>
          <w:color w:val="333333"/>
          <w:sz w:val="30"/>
          <w:szCs w:val="30"/>
        </w:rPr>
      </w:pPr>
      <w:r>
        <w:rPr>
          <w:rFonts w:hint="eastAsia" w:ascii="黑体" w:hAnsi="黑体" w:eastAsia="黑体" w:cs="黑体"/>
          <w:color w:val="333333"/>
          <w:kern w:val="0"/>
          <w:sz w:val="30"/>
          <w:szCs w:val="30"/>
          <w:shd w:val="clear" w:color="auto" w:fill="FFFFFF"/>
        </w:rPr>
        <w:t>五、有关建议</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ascii="仿宋" w:hAnsi="仿宋" w:eastAsia="仿宋" w:cs="仿宋"/>
          <w:color w:val="333333"/>
          <w:kern w:val="0"/>
          <w:sz w:val="30"/>
          <w:szCs w:val="30"/>
          <w:shd w:val="clear" w:color="auto" w:fill="FFFFFF"/>
        </w:rPr>
        <w:t>1.</w:t>
      </w:r>
      <w:r>
        <w:rPr>
          <w:rFonts w:hint="eastAsia" w:ascii="仿宋" w:hAnsi="仿宋" w:eastAsia="仿宋" w:cs="仿宋"/>
          <w:color w:val="333333"/>
          <w:kern w:val="0"/>
          <w:sz w:val="30"/>
          <w:szCs w:val="30"/>
          <w:shd w:val="clear" w:color="auto" w:fill="FFFFFF"/>
        </w:rPr>
        <w:t>细化预算编制工作，进一步加强内设机构的预算管理意识，严格按照预算编制的相关制度和要求进行预算编制。</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ascii="仿宋" w:hAnsi="仿宋" w:eastAsia="仿宋" w:cs="仿宋"/>
          <w:color w:val="333333"/>
          <w:kern w:val="0"/>
          <w:sz w:val="30"/>
          <w:szCs w:val="30"/>
          <w:shd w:val="clear" w:color="auto" w:fill="FFFFFF"/>
        </w:rPr>
        <w:t>2.</w:t>
      </w:r>
      <w:r>
        <w:rPr>
          <w:rFonts w:hint="eastAsia" w:ascii="仿宋" w:hAnsi="仿宋" w:eastAsia="仿宋" w:cs="仿宋"/>
          <w:color w:val="333333"/>
          <w:kern w:val="0"/>
          <w:sz w:val="30"/>
          <w:szCs w:val="30"/>
          <w:shd w:val="clear" w:color="auto" w:fill="FFFFFF"/>
        </w:rPr>
        <w:t>加强财务管理，严格财务审核。加强单位财务管理，健全单位财务管理制度体系，规范单位财务行为。在费用报账支付时，按照预算规定的费用项目和用途进行资金使用审核、财务严格核算，杜绝超支现象的发生。</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ascii="仿宋" w:hAnsi="仿宋" w:eastAsia="仿宋" w:cs="仿宋"/>
          <w:color w:val="333333"/>
          <w:kern w:val="0"/>
          <w:sz w:val="30"/>
          <w:szCs w:val="30"/>
          <w:shd w:val="clear" w:color="auto" w:fill="FFFFFF"/>
        </w:rPr>
        <w:t>3.</w:t>
      </w:r>
      <w:r>
        <w:rPr>
          <w:rFonts w:hint="eastAsia" w:ascii="仿宋" w:hAnsi="仿宋" w:eastAsia="仿宋" w:cs="仿宋"/>
          <w:color w:val="333333"/>
          <w:kern w:val="0"/>
          <w:sz w:val="30"/>
          <w:szCs w:val="30"/>
          <w:shd w:val="clear" w:color="auto" w:fill="FFFFFF"/>
        </w:rPr>
        <w:t>合理安排会计岗位，增加业务知识培训，加强决算工作与账务处理工作衔接。</w:t>
      </w:r>
    </w:p>
    <w:p>
      <w:pPr>
        <w:widowControl/>
        <w:spacing w:line="600" w:lineRule="exact"/>
        <w:ind w:firstLine="600" w:firstLineChars="200"/>
        <w:jc w:val="left"/>
        <w:rPr>
          <w:rFonts w:ascii="黑体" w:hAnsi="黑体" w:eastAsia="黑体" w:cs="黑体"/>
          <w:color w:val="333333"/>
          <w:kern w:val="0"/>
          <w:sz w:val="30"/>
          <w:szCs w:val="30"/>
          <w:shd w:val="clear" w:color="auto" w:fill="FFFFFF"/>
        </w:rPr>
      </w:pPr>
      <w:r>
        <w:rPr>
          <w:rFonts w:hint="eastAsia" w:ascii="黑体" w:hAnsi="黑体" w:eastAsia="黑体" w:cs="黑体"/>
          <w:color w:val="333333"/>
          <w:kern w:val="0"/>
          <w:sz w:val="30"/>
          <w:szCs w:val="30"/>
          <w:shd w:val="clear" w:color="auto" w:fill="FFFFFF"/>
        </w:rPr>
        <w:t>六、其他需要说明的问题</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无</w:t>
      </w:r>
    </w:p>
    <w:p>
      <w:pPr>
        <w:widowControl/>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附件：益阳市欧江岔镇人民政府2021年度部门整体支出绩效自评指标计分表</w:t>
      </w:r>
    </w:p>
    <w:p>
      <w:pPr>
        <w:pStyle w:val="2"/>
        <w:widowControl/>
        <w:spacing w:beforeAutospacing="0" w:afterAutospacing="0" w:line="600" w:lineRule="exact"/>
        <w:jc w:val="both"/>
        <w:rPr>
          <w:rFonts w:ascii="仿宋" w:hAnsi="仿宋" w:eastAsia="仿宋" w:cs="仿宋"/>
          <w:b/>
          <w:bCs/>
          <w:color w:val="333333"/>
          <w:sz w:val="30"/>
          <w:szCs w:val="30"/>
        </w:rPr>
      </w:pPr>
      <w:bookmarkStart w:id="0" w:name="_GoBack"/>
      <w:bookmarkEnd w:id="0"/>
    </w:p>
    <w:p>
      <w:pPr>
        <w:pStyle w:val="2"/>
        <w:widowControl/>
        <w:spacing w:beforeAutospacing="0" w:afterAutospacing="0" w:line="600" w:lineRule="exact"/>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rPr>
        <w:t>益阳市欧江岔镇人民政府</w:t>
      </w:r>
      <w:r>
        <w:rPr>
          <w:rFonts w:hint="eastAsia" w:ascii="黑体" w:hAnsi="黑体" w:eastAsia="黑体" w:cs="黑体"/>
          <w:color w:val="333333"/>
          <w:sz w:val="32"/>
          <w:szCs w:val="32"/>
          <w:shd w:val="clear" w:color="auto" w:fill="FFFFFF"/>
        </w:rPr>
        <w:t>2021年度</w:t>
      </w:r>
    </w:p>
    <w:p>
      <w:pPr>
        <w:pStyle w:val="2"/>
        <w:widowControl/>
        <w:spacing w:beforeAutospacing="0" w:afterAutospacing="0" w:line="600" w:lineRule="exact"/>
        <w:jc w:val="center"/>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部门整体支出绩效自评指标计分表</w:t>
      </w:r>
    </w:p>
    <w:tbl>
      <w:tblPr>
        <w:tblStyle w:val="3"/>
        <w:tblW w:w="832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623"/>
        <w:gridCol w:w="704"/>
        <w:gridCol w:w="595"/>
        <w:gridCol w:w="2289"/>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590"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80" w:lineRule="atLeast"/>
              <w:jc w:val="both"/>
              <w:rPr>
                <w:rFonts w:asciiTheme="minorEastAsia" w:hAnsiTheme="minorEastAsia" w:cstheme="minorEastAsia"/>
                <w:color w:val="333333"/>
                <w:sz w:val="20"/>
                <w:szCs w:val="20"/>
              </w:rPr>
            </w:pPr>
            <w:r>
              <w:rPr>
                <w:rFonts w:ascii="仿宋" w:hAnsi="仿宋" w:eastAsia="仿宋" w:cs="仿宋"/>
                <w:b/>
                <w:bCs/>
                <w:color w:val="333333"/>
                <w:sz w:val="36"/>
                <w:szCs w:val="36"/>
                <w:shd w:val="clear" w:color="auto" w:fill="FFFFFF"/>
              </w:rPr>
              <w:t> </w:t>
            </w:r>
            <w:r>
              <w:rPr>
                <w:rFonts w:hint="eastAsia" w:asciiTheme="minorEastAsia" w:hAnsiTheme="minorEastAsia" w:cstheme="minorEastAsia"/>
                <w:color w:val="333333"/>
                <w:sz w:val="20"/>
                <w:szCs w:val="20"/>
              </w:rPr>
              <w:t>一级</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指标</w:t>
            </w:r>
          </w:p>
        </w:tc>
        <w:tc>
          <w:tcPr>
            <w:tcW w:w="623"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二级指标</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三级指标</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自评分</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指标解释</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投入（20分）</w:t>
            </w: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目标</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设定（5分）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绩效目标合理性（2分）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部门所设立的整体绩效目标依据是否充分，是否符合客观实际，用以反映和考核部门整体绩效目标与部门履职、年度工作任务的相符性情况。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绩效指标明确性（3分）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3</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部门依据整体绩效目标所设定的绩效指标是否清晰、细化、可衡量，用以反映和考核部门整体绩效目标的明细化情况。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配置（15分）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在职人员控制率（5分）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部门本年度实际在职人员数与编制数的比率，用以反映和考核部门对人员成本的控制程度。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“三公经费”</w:t>
            </w:r>
          </w:p>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变动率（5分）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部门本年度“三公经费”预算数与上年度“三公经费”预算数的变动比率，用以反映和考核部门对控制重点行政成本的努力程度。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重点支出安排率（5分）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部门本年度预算安排的重点项目支出与部门项目总支出的比率，用以反映和考核部门对履行主要职责或完成重点任务的保障程度。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过程（30分）</w:t>
            </w: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执行</w:t>
            </w:r>
          </w:p>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（20分）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预算完成率（4分）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w:t>
            </w:r>
            <w:r>
              <w:rPr>
                <w:rFonts w:asciiTheme="minorEastAsia" w:hAnsiTheme="minorEastAsia" w:cstheme="minorEastAsia"/>
                <w:color w:val="333333"/>
                <w:sz w:val="20"/>
                <w:szCs w:val="20"/>
              </w:rPr>
              <w:t>3.5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部门本年度预算完成数与预算数的比率，用以反映和考核部门预算完成程度。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2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预算调整率（2分）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w:t>
            </w:r>
          </w:p>
          <w:p>
            <w:pPr>
              <w:pStyle w:val="2"/>
              <w:widowControl/>
              <w:spacing w:beforeAutospacing="0" w:afterAutospacing="0" w:line="240" w:lineRule="atLeast"/>
              <w:jc w:val="center"/>
              <w:rPr>
                <w:rFonts w:asciiTheme="minorEastAsia" w:hAnsiTheme="minorEastAsia" w:cstheme="minorEastAsia"/>
                <w:color w:val="333333"/>
                <w:sz w:val="20"/>
                <w:szCs w:val="20"/>
              </w:rPr>
            </w:pPr>
          </w:p>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部门本年度预算调整数与预算数的比率，用以反映和考核部门预算的调整程度。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2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支付进度率（2分）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部门实际支付进度与既定支付进度的比率，用以反映和考核部门预算执行的及时性和均衡性程度。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2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ind w:left="113"/>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过程（30分）</w:t>
            </w: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执行</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（20分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结转结余控制率（4分）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3</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部门本年度结转结余总额与上年结转结余总额增减比例，用以反映和考核部门对存量资金的实际控制程度。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公用经费</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控制率（2分）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部门本年度实际支出的公用经费总额与预算安排的公用经费总额的比率，用以反映和考核部门对机构运转成本的实际控制程度。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“三公经费”控制率（2分）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2 </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部门本年度“三公经费”实际支出数与预算安排数的比率，用以反映和考核部门对“三公经费”的实际控制程度。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政府采购</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执行率（4分）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3.5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部门本年度实际政府采购金额与年初政府采购预算的比率，用以反映和考核部门政府采购预算执行情况。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预算</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管理</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管理制度</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健全性（2分）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部门为加强预算管理、规范财务行为而制定的管理制度是否健全完整，用以反映和考核部门预算管理制度对完成主要职责或促进事业发展的保障情况。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资金使用</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合规性（1分）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1 </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部门使用预算资金是否符合相关的预算财务管理制度的规定，用以反映和考核部门预算资金的规范运行情况。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预决算信</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息公开性（1分）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1</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部门是否按照政府信息公开有关规定公开相关预决算信息，用以反映和考核部门预决算管理的公开透明情况。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基础信息</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完善性（1分）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1 </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部门基础信息是否完善，用以反映和考核基础信息对预算管理工作的支撑情况。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资产</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管理</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管理制度</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健全性（2分）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部门为加强资产管理、规范资产管理行为而制定的管理制度是否健全完整，用以反映和考核部门资产管理制度对完成主要职责或促进社会发展的保障情况。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vAlign w:val="center"/>
          </w:tcPr>
          <w:p>
            <w:pPr>
              <w:pStyle w:val="2"/>
              <w:widowControl/>
              <w:spacing w:beforeAutospacing="0" w:afterAutospacing="0" w:line="240" w:lineRule="atLeast"/>
              <w:ind w:left="113"/>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过程（30分）</w:t>
            </w:r>
          </w:p>
        </w:tc>
        <w:tc>
          <w:tcPr>
            <w:tcW w:w="623" w:type="dxa"/>
            <w:vMerge w:val="restart"/>
            <w:tcBorders>
              <w:tl2br w:val="nil"/>
              <w:tr2bl w:val="nil"/>
            </w:tcBorders>
            <w:shd w:val="clear" w:color="auto" w:fill="auto"/>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资产</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管理</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（5分）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资产管理</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安全性（2分）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2</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部门的资产是否保存完整、使用合规、配置合理、处置规范、收入及时足额上缴，用以反映和考核部门资产安全运行情况。</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固定资产</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利用率（1分）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1 </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部门实际在用固定资产总额与所有固定资产总额的比率，用以反映和考核部门固定资产使用效率程度。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产出（30分）</w:t>
            </w: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职责</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履行</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实际完成率（8分）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7</w:t>
            </w:r>
            <w:r>
              <w:rPr>
                <w:rFonts w:asciiTheme="minorEastAsia" w:hAnsiTheme="minorEastAsia" w:cstheme="minorEastAsia"/>
                <w:color w:val="333333"/>
                <w:sz w:val="20"/>
                <w:szCs w:val="20"/>
              </w:rPr>
              <w:t>.5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部门履行职责而实际完成工作数与计划工作数的比率，用以反映和考核部门履职工作任务目标的实现程度。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完成及时率（4分）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3</w:t>
            </w:r>
            <w:r>
              <w:rPr>
                <w:rFonts w:asciiTheme="minorEastAsia" w:hAnsiTheme="minorEastAsia" w:cstheme="minorEastAsia"/>
                <w:color w:val="333333"/>
                <w:sz w:val="20"/>
                <w:szCs w:val="20"/>
              </w:rPr>
              <w:t>.5</w:t>
            </w:r>
            <w:r>
              <w:rPr>
                <w:rFonts w:hint="eastAsia" w:asciiTheme="minorEastAsia" w:hAnsiTheme="minorEastAsia" w:cstheme="minorEastAsia"/>
                <w:color w:val="333333"/>
                <w:sz w:val="20"/>
                <w:szCs w:val="20"/>
              </w:rPr>
              <w:t> </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部门在规定时限内及时完成的实际工作数与计划工作数的比率,用以反映和考核部门履职时效目标的实现程度。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21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完成及时率=（及时完成实际工作数/计划工作数）×100%。1-4季度各得1分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质量达标率（8分）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8 </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达到质量标准（绩效标准值）的实际工作数与计划工作数的比率,用以反映和考核部门履职质量目标的实现程度。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重点工作</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办结率（10分）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9</w:t>
            </w:r>
            <w:r>
              <w:rPr>
                <w:rFonts w:asciiTheme="minorEastAsia" w:hAnsiTheme="minorEastAsia" w:cstheme="minorEastAsia"/>
                <w:color w:val="333333"/>
                <w:sz w:val="20"/>
                <w:szCs w:val="20"/>
              </w:rPr>
              <w:t>.5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部门年度重点工作实际完成数与交办或下达数的比率，用以反映部门对重点工作的办理落实程度。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4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效果（20分）</w:t>
            </w:r>
          </w:p>
        </w:tc>
        <w:tc>
          <w:tcPr>
            <w:tcW w:w="623"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履职</w:t>
            </w:r>
            <w:r>
              <w:rPr>
                <w:rFonts w:hint="eastAsia" w:asciiTheme="minorEastAsia" w:hAnsiTheme="minorEastAsia" w:cstheme="minorEastAsia"/>
                <w:color w:val="333333"/>
                <w:sz w:val="20"/>
                <w:szCs w:val="20"/>
              </w:rPr>
              <w:br w:type="textWrapping"/>
            </w:r>
            <w:r>
              <w:rPr>
                <w:rFonts w:hint="eastAsia" w:asciiTheme="minorEastAsia" w:hAnsiTheme="minorEastAsia" w:cstheme="minorEastAsia"/>
                <w:color w:val="333333"/>
                <w:sz w:val="20"/>
                <w:szCs w:val="20"/>
              </w:rPr>
              <w:t>效益（20分）</w:t>
            </w: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经济效益（5分）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部门履行职责对经济发展所带来的直接或间接影响。</w:t>
            </w:r>
          </w:p>
        </w:tc>
        <w:tc>
          <w:tcPr>
            <w:tcW w:w="3525" w:type="dxa"/>
            <w:vMerge w:val="restart"/>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社会效益（5分）</w:t>
            </w:r>
          </w:p>
        </w:tc>
        <w:tc>
          <w:tcPr>
            <w:tcW w:w="595" w:type="dxa"/>
            <w:tcBorders>
              <w:tl2br w:val="nil"/>
              <w:tr2bl w:val="nil"/>
            </w:tcBorders>
            <w:shd w:val="clear" w:color="auto" w:fill="auto"/>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部门履行职责对社会发展所带来的直接或间接影响。</w:t>
            </w:r>
          </w:p>
        </w:tc>
        <w:tc>
          <w:tcPr>
            <w:tcW w:w="3525"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生态效益（5分）</w:t>
            </w:r>
          </w:p>
        </w:tc>
        <w:tc>
          <w:tcPr>
            <w:tcW w:w="595" w:type="dxa"/>
            <w:tcBorders>
              <w:tl2br w:val="nil"/>
              <w:tr2bl w:val="nil"/>
            </w:tcBorders>
            <w:shd w:val="clear" w:color="auto" w:fill="auto"/>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部门履行职责对生态环境所带来的直接或间接影响。</w:t>
            </w:r>
          </w:p>
        </w:tc>
        <w:tc>
          <w:tcPr>
            <w:tcW w:w="3525"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590"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623" w:type="dxa"/>
            <w:vMerge w:val="continue"/>
            <w:tcBorders>
              <w:tl2br w:val="nil"/>
              <w:tr2bl w:val="nil"/>
            </w:tcBorders>
            <w:shd w:val="clear" w:color="auto" w:fill="auto"/>
            <w:tcMar>
              <w:top w:w="10" w:type="dxa"/>
              <w:left w:w="10" w:type="dxa"/>
              <w:right w:w="10" w:type="dxa"/>
            </w:tcMar>
            <w:vAlign w:val="center"/>
          </w:tcPr>
          <w:p>
            <w:pPr>
              <w:rPr>
                <w:rFonts w:asciiTheme="minorEastAsia" w:hAnsiTheme="minorEastAsia" w:cstheme="minorEastAsia"/>
                <w:color w:val="333333"/>
                <w:sz w:val="20"/>
                <w:szCs w:val="20"/>
              </w:rPr>
            </w:pPr>
          </w:p>
        </w:tc>
        <w:tc>
          <w:tcPr>
            <w:tcW w:w="704"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社会公众</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或服务对</w:t>
            </w:r>
          </w:p>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象满意度（5分）</w:t>
            </w:r>
          </w:p>
        </w:tc>
        <w:tc>
          <w:tcPr>
            <w:tcW w:w="59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center"/>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 4.5</w:t>
            </w:r>
          </w:p>
        </w:tc>
        <w:tc>
          <w:tcPr>
            <w:tcW w:w="2289"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333333"/>
                <w:sz w:val="20"/>
                <w:szCs w:val="20"/>
              </w:rPr>
            </w:pPr>
            <w:r>
              <w:rPr>
                <w:rFonts w:hint="eastAsia" w:asciiTheme="minorEastAsia" w:hAnsiTheme="minorEastAsia" w:cstheme="minorEastAsia"/>
                <w:color w:val="333333"/>
                <w:sz w:val="20"/>
                <w:szCs w:val="20"/>
              </w:rPr>
              <w:t>社会公众或部门的服务对象对部门履职效果的满意程度。</w:t>
            </w:r>
          </w:p>
        </w:tc>
        <w:tc>
          <w:tcPr>
            <w:tcW w:w="3525" w:type="dxa"/>
            <w:tcBorders>
              <w:tl2br w:val="nil"/>
              <w:tr2bl w:val="nil"/>
            </w:tcBorders>
            <w:shd w:val="clear" w:color="auto" w:fill="auto"/>
            <w:tcMar>
              <w:top w:w="10" w:type="dxa"/>
              <w:left w:w="10" w:type="dxa"/>
              <w:right w:w="10" w:type="dxa"/>
            </w:tcMar>
            <w:vAlign w:val="center"/>
          </w:tcPr>
          <w:p>
            <w:pPr>
              <w:pStyle w:val="2"/>
              <w:widowControl/>
              <w:spacing w:beforeAutospacing="0" w:afterAutospacing="0" w:line="260" w:lineRule="atLeast"/>
              <w:jc w:val="both"/>
              <w:rPr>
                <w:rFonts w:asciiTheme="minorEastAsia" w:hAnsiTheme="minorEastAsia" w:cstheme="minorEastAsia"/>
                <w:color w:val="000000"/>
                <w:sz w:val="20"/>
                <w:szCs w:val="20"/>
              </w:rPr>
            </w:pPr>
            <w:r>
              <w:rPr>
                <w:rFonts w:hint="eastAsia" w:asciiTheme="minorEastAsia" w:hAnsiTheme="minorEastAsia" w:cstheme="minorEastAsia"/>
                <w:color w:val="000000"/>
                <w:sz w:val="20"/>
                <w:szCs w:val="20"/>
              </w:rPr>
              <w:t>按收集到的服务对象的满意率计算得分（5分）</w:t>
            </w:r>
          </w:p>
        </w:tc>
      </w:tr>
    </w:tbl>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pPr>
        <w:jc w:val="left"/>
        <w:rPr>
          <w:rFonts w:ascii="宋体" w:cs="黑体"/>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39A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2023-06-25T06:55:47Z</dcterms:created>
  <dc:creator>admin-3</dc:creator>
  <cp:lastModifiedBy>admin-3</cp:lastModifiedBy>
  <dcterms:modified xsi:type="dcterms:W3CDTF">2023-06-25T06:56:34Z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689F5FB1B46C440194D1DC0BD245BFD2_12</vt:lpwstr>
  </property>
</Properties>
</file>